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CDE" w:rsidRDefault="00744CDE" w:rsidP="00744CDE">
      <w:pPr>
        <w:pStyle w:val="Heading2"/>
      </w:pPr>
      <w:bookmarkStart w:id="0" w:name="_GoBack"/>
      <w:bookmarkEnd w:id="0"/>
      <w:r>
        <w:t>Gates</w:t>
      </w:r>
    </w:p>
    <w:p w:rsidR="00744CDE" w:rsidRDefault="00744CDE" w:rsidP="00744CDE">
      <w:pPr>
        <w:pStyle w:val="Heading3"/>
      </w:pPr>
      <w:r>
        <w:lastRenderedPageBreak/>
        <w:t>2NC Overview</w:t>
      </w:r>
    </w:p>
    <w:p w:rsidR="00744CDE" w:rsidRDefault="00744CDE" w:rsidP="00744CDE">
      <w:pPr>
        <w:pStyle w:val="Heading4"/>
      </w:pPr>
      <w:r>
        <w:t xml:space="preserve">3) Death of product – they hang their project up in the gallery of debate to be criticized and torn apart by negative teams – turns the case </w:t>
      </w:r>
    </w:p>
    <w:p w:rsidR="00744CDE" w:rsidRPr="00FC505A" w:rsidRDefault="00744CDE" w:rsidP="00744CDE">
      <w:r w:rsidRPr="00494637">
        <w:rPr>
          <w:rStyle w:val="StyleStyleBold12pt"/>
        </w:rPr>
        <w:t>T</w:t>
      </w:r>
      <w:r>
        <w:rPr>
          <w:rStyle w:val="StyleStyleBold12pt"/>
        </w:rPr>
        <w:t>sianos et al. 0</w:t>
      </w:r>
      <w:r w:rsidRPr="00494637">
        <w:rPr>
          <w:rStyle w:val="StyleStyleBold12pt"/>
        </w:rPr>
        <w:t>8</w:t>
      </w:r>
      <w:r w:rsidRPr="00FC505A">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744CDE" w:rsidRDefault="00744CDE" w:rsidP="00744CDE">
      <w:pPr>
        <w:pStyle w:val="BodyText"/>
        <w:shd w:val="clear" w:color="auto" w:fill="auto"/>
        <w:spacing w:before="0"/>
        <w:ind w:left="20" w:right="20"/>
        <w:rPr>
          <w:rStyle w:val="BodyTextChar1"/>
          <w:rFonts w:ascii="Georgia" w:hAnsi="Georgia"/>
          <w:b/>
          <w:color w:val="000000"/>
          <w:sz w:val="22"/>
          <w:szCs w:val="22"/>
        </w:rPr>
      </w:pPr>
    </w:p>
    <w:p w:rsidR="00744CDE" w:rsidRDefault="00744CDE" w:rsidP="00744CDE">
      <w:pPr>
        <w:pStyle w:val="BodyText"/>
        <w:shd w:val="clear" w:color="auto" w:fill="auto"/>
        <w:spacing w:before="0" w:line="240" w:lineRule="auto"/>
        <w:ind w:left="20" w:right="20"/>
        <w:jc w:val="left"/>
        <w:rPr>
          <w:rStyle w:val="StyleBoldUnderline"/>
          <w:rFonts w:asciiTheme="minorHAnsi" w:hAnsiTheme="minorHAnsi"/>
        </w:rPr>
      </w:pPr>
      <w:r w:rsidRPr="00B704C8">
        <w:rPr>
          <w:rStyle w:val="BodyTextChar1"/>
          <w:rFonts w:asciiTheme="minorHAnsi" w:hAnsiTheme="minorHAnsi"/>
          <w:color w:val="000000"/>
          <w:sz w:val="16"/>
          <w:szCs w:val="22"/>
        </w:rPr>
        <w:t xml:space="preserve">In this sense </w:t>
      </w:r>
      <w:r w:rsidRPr="00B704C8">
        <w:rPr>
          <w:rStyle w:val="StyleBoldUnderline"/>
          <w:rFonts w:asciiTheme="minorHAnsi" w:hAnsiTheme="minorHAnsi"/>
        </w:rPr>
        <w:t xml:space="preserve">imperceptible politics does not necessarily differ from or oppose other prevalent forms </w:t>
      </w:r>
    </w:p>
    <w:p w:rsidR="00744CDE" w:rsidRDefault="00744CDE" w:rsidP="00744CDE">
      <w:pPr>
        <w:pStyle w:val="BodyText"/>
        <w:shd w:val="clear" w:color="auto" w:fill="auto"/>
        <w:spacing w:before="0" w:line="240" w:lineRule="auto"/>
        <w:ind w:left="20" w:right="20"/>
        <w:jc w:val="left"/>
        <w:rPr>
          <w:rStyle w:val="StyleBoldUnderline"/>
          <w:rFonts w:asciiTheme="minorHAnsi" w:hAnsiTheme="minorHAnsi"/>
        </w:rPr>
      </w:pPr>
      <w:r>
        <w:rPr>
          <w:rStyle w:val="StyleBoldUnderline"/>
          <w:rFonts w:asciiTheme="minorHAnsi" w:hAnsiTheme="minorHAnsi"/>
        </w:rPr>
        <w:t>AND</w:t>
      </w:r>
    </w:p>
    <w:p w:rsidR="00744CDE" w:rsidRPr="00B704C8" w:rsidRDefault="00744CDE" w:rsidP="00744CDE">
      <w:pPr>
        <w:pStyle w:val="BodyText"/>
        <w:shd w:val="clear" w:color="auto" w:fill="auto"/>
        <w:spacing w:before="0" w:line="240" w:lineRule="auto"/>
        <w:ind w:left="20" w:right="20"/>
        <w:jc w:val="left"/>
        <w:rPr>
          <w:rStyle w:val="StyleBoldUnderline"/>
          <w:rFonts w:asciiTheme="minorHAnsi" w:hAnsiTheme="minorHAnsi"/>
        </w:rPr>
      </w:pPr>
      <w:r w:rsidRPr="00324157">
        <w:rPr>
          <w:rStyle w:val="StyleBoldUnderline"/>
          <w:rFonts w:asciiTheme="minorHAnsi" w:hAnsiTheme="minorHAnsi"/>
          <w:highlight w:val="green"/>
        </w:rPr>
        <w:t xml:space="preserve">this void into everyday politics that becomes the vital force </w:t>
      </w:r>
      <w:r w:rsidRPr="00B704C8">
        <w:rPr>
          <w:rStyle w:val="StyleBoldUnderline"/>
          <w:rFonts w:asciiTheme="minorHAnsi" w:hAnsiTheme="minorHAnsi"/>
        </w:rPr>
        <w:t>for imperceptible politics</w:t>
      </w:r>
      <w:r w:rsidRPr="00324157">
        <w:rPr>
          <w:rStyle w:val="StyleBoldUnderline"/>
          <w:rFonts w:asciiTheme="minorHAnsi" w:hAnsiTheme="minorHAnsi"/>
          <w:highlight w:val="green"/>
        </w:rPr>
        <w:t>.</w:t>
      </w:r>
    </w:p>
    <w:p w:rsidR="00744CDE" w:rsidRPr="00CF41C0" w:rsidRDefault="00744CDE" w:rsidP="00744CDE"/>
    <w:p w:rsidR="00744CDE" w:rsidRDefault="00744CDE" w:rsidP="00744CDE"/>
    <w:p w:rsidR="00744CDE" w:rsidRPr="00832607" w:rsidRDefault="00744CDE" w:rsidP="00744CDE">
      <w:pPr>
        <w:rPr>
          <w:rFonts w:eastAsia="Times New Roman"/>
          <w:b/>
          <w:sz w:val="24"/>
          <w:szCs w:val="20"/>
        </w:rPr>
      </w:pPr>
      <w:r w:rsidRPr="00832607">
        <w:rPr>
          <w:rFonts w:eastAsia="Times New Roman"/>
          <w:b/>
          <w:sz w:val="24"/>
          <w:szCs w:val="20"/>
        </w:rPr>
        <w:t xml:space="preserve">They overstate the importance of genealogy – merely exposing a power relation is insufficient.  We need political action to generate traction for alternatives </w:t>
      </w:r>
    </w:p>
    <w:p w:rsidR="00744CDE" w:rsidRPr="00832607" w:rsidRDefault="00744CDE" w:rsidP="00744CDE">
      <w:pPr>
        <w:rPr>
          <w:rFonts w:eastAsia="Times New Roman"/>
          <w:sz w:val="16"/>
          <w:szCs w:val="20"/>
        </w:rPr>
      </w:pPr>
      <w:r w:rsidRPr="00832607">
        <w:rPr>
          <w:rFonts w:eastAsia="Times New Roman"/>
          <w:b/>
          <w:sz w:val="24"/>
          <w:szCs w:val="20"/>
          <w:u w:val="single"/>
        </w:rPr>
        <w:t>Owen, 2005</w:t>
      </w:r>
      <w:r w:rsidRPr="00832607">
        <w:rPr>
          <w:rFonts w:eastAsia="Times New Roman"/>
          <w:sz w:val="16"/>
          <w:szCs w:val="20"/>
        </w:rPr>
        <w:t xml:space="preserve"> (David, Reader in the Department of Politics and IR at the University of Southampton, POLITICAL THEORY, February, p. 113)</w:t>
      </w:r>
    </w:p>
    <w:p w:rsidR="00744CDE" w:rsidRPr="00832607" w:rsidRDefault="00744CDE" w:rsidP="00744CDE">
      <w:pPr>
        <w:rPr>
          <w:rFonts w:eastAsia="Times New Roman"/>
          <w:sz w:val="16"/>
          <w:szCs w:val="20"/>
        </w:rPr>
      </w:pPr>
    </w:p>
    <w:p w:rsidR="00744CDE" w:rsidRDefault="00744CDE" w:rsidP="00744CDE">
      <w:pPr>
        <w:rPr>
          <w:rFonts w:eastAsia="Times New Roman"/>
          <w:sz w:val="16"/>
          <w:szCs w:val="20"/>
        </w:rPr>
      </w:pPr>
      <w:r w:rsidRPr="00832607">
        <w:rPr>
          <w:rFonts w:eastAsia="Times New Roman"/>
          <w:sz w:val="16"/>
          <w:szCs w:val="20"/>
        </w:rPr>
        <w:t xml:space="preserve">Yet even if we set aside this concern, there remains a more general issue </w:t>
      </w:r>
    </w:p>
    <w:p w:rsidR="00744CDE" w:rsidRDefault="00744CDE" w:rsidP="00744CDE">
      <w:pPr>
        <w:rPr>
          <w:rFonts w:eastAsia="Times New Roman"/>
          <w:sz w:val="16"/>
          <w:szCs w:val="20"/>
        </w:rPr>
      </w:pPr>
      <w:r>
        <w:rPr>
          <w:rFonts w:eastAsia="Times New Roman"/>
          <w:sz w:val="16"/>
          <w:szCs w:val="20"/>
        </w:rPr>
        <w:t>AND</w:t>
      </w:r>
    </w:p>
    <w:p w:rsidR="00744CDE" w:rsidRPr="00832607" w:rsidRDefault="00744CDE" w:rsidP="00744CDE">
      <w:pPr>
        <w:rPr>
          <w:rFonts w:eastAsia="Times New Roman"/>
          <w:sz w:val="16"/>
          <w:szCs w:val="20"/>
        </w:rPr>
      </w:pPr>
      <w:r w:rsidRPr="00832607">
        <w:rPr>
          <w:rFonts w:eastAsia="Times New Roman"/>
          <w:sz w:val="16"/>
          <w:szCs w:val="20"/>
        </w:rPr>
        <w:t xml:space="preserve">that to </w:t>
      </w:r>
      <w:r w:rsidRPr="00832607">
        <w:rPr>
          <w:rStyle w:val="StyleBoldUnderline"/>
          <w:highlight w:val="green"/>
        </w:rPr>
        <w:t>conflate the two is unlikely to aid cultural or political reflection</w:t>
      </w:r>
      <w:r w:rsidRPr="00832607">
        <w:rPr>
          <w:rFonts w:eastAsia="Times New Roman"/>
          <w:sz w:val="16"/>
          <w:szCs w:val="20"/>
          <w:highlight w:val="green"/>
        </w:rPr>
        <w:t>.</w:t>
      </w:r>
    </w:p>
    <w:p w:rsidR="00744CDE" w:rsidRPr="00BB011C" w:rsidRDefault="00744CDE" w:rsidP="00744CDE"/>
    <w:p w:rsidR="00744CDE" w:rsidRDefault="00744CDE" w:rsidP="00744CDE">
      <w:pPr>
        <w:pStyle w:val="Heading3"/>
      </w:pPr>
      <w:r>
        <w:lastRenderedPageBreak/>
        <w:t>AT: Agency</w:t>
      </w:r>
    </w:p>
    <w:p w:rsidR="00744CDE" w:rsidRPr="00055BD8" w:rsidRDefault="00744CDE" w:rsidP="00744CDE">
      <w:pPr>
        <w:pStyle w:val="Heading4"/>
      </w:pPr>
      <w:r>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744CDE" w:rsidRPr="00B704C8" w:rsidRDefault="00744CDE" w:rsidP="00744CDE">
      <w:r w:rsidRPr="00B704C8">
        <w:rPr>
          <w:rStyle w:val="StyleStyleBold12pt"/>
        </w:rPr>
        <w:t>Hershock</w:t>
      </w:r>
      <w:r>
        <w:rPr>
          <w:rStyle w:val="StyleStyleBold12pt"/>
        </w:rPr>
        <w:t xml:space="preserve"> 99 </w:t>
      </w:r>
      <w:r w:rsidRPr="00B704C8">
        <w:t xml:space="preserve">East-West Center, 1999.  [“Changing the way society changes”, Journal of Buddhist Ethics, 6, 154; </w:t>
      </w:r>
      <w:hyperlink r:id="rId9" w:history="1">
        <w:r w:rsidRPr="00B704C8">
          <w:rPr>
            <w:rStyle w:val="Hyperlink"/>
          </w:rPr>
          <w:t>http://jbe.gold.ac.uk/6/hershock991.html</w:t>
        </w:r>
      </w:hyperlink>
      <w:r w:rsidRPr="00B704C8">
        <w:t xml:space="preserve">] </w:t>
      </w:r>
    </w:p>
    <w:p w:rsidR="00744CDE" w:rsidRPr="00055BD8" w:rsidRDefault="00744CDE" w:rsidP="00744CDE"/>
    <w:p w:rsidR="00744CDE" w:rsidRDefault="00744CDE" w:rsidP="00744CDE">
      <w:pPr>
        <w:rPr>
          <w:b/>
          <w:highlight w:val="green"/>
          <w:u w:val="single"/>
        </w:rPr>
      </w:pPr>
      <w:r w:rsidRPr="00494637">
        <w:rPr>
          <w:sz w:val="16"/>
        </w:rPr>
        <w:t>The trouble is that, like other technologies biased toward control, t</w:t>
      </w:r>
      <w:r w:rsidRPr="00A71447">
        <w:rPr>
          <w:b/>
          <w:highlight w:val="green"/>
          <w:u w:val="single"/>
        </w:rPr>
        <w:t xml:space="preserve">he more successful </w:t>
      </w:r>
    </w:p>
    <w:p w:rsidR="00744CDE" w:rsidRDefault="00744CDE" w:rsidP="00744CDE">
      <w:pPr>
        <w:rPr>
          <w:b/>
          <w:highlight w:val="green"/>
          <w:u w:val="single"/>
        </w:rPr>
      </w:pPr>
      <w:r>
        <w:rPr>
          <w:b/>
          <w:highlight w:val="green"/>
          <w:u w:val="single"/>
        </w:rPr>
        <w:t>AND</w:t>
      </w:r>
    </w:p>
    <w:p w:rsidR="00744CDE" w:rsidRPr="00A71447" w:rsidRDefault="00744CDE" w:rsidP="00744CDE">
      <w:pPr>
        <w:rPr>
          <w:b/>
          <w:highlight w:val="green"/>
          <w:u w:val="single"/>
        </w:rPr>
      </w:pPr>
      <w:r w:rsidRPr="00A71447">
        <w:rPr>
          <w:b/>
          <w:highlight w:val="green"/>
          <w:u w:val="single"/>
        </w:rPr>
        <w:t>depletion of our resources for meaningfully improvised and liberating intimacy with all things.</w:t>
      </w:r>
    </w:p>
    <w:p w:rsidR="00744CDE" w:rsidRDefault="00744CDE" w:rsidP="00744CDE"/>
    <w:p w:rsidR="00744CDE" w:rsidRPr="00C567DE" w:rsidRDefault="00744CDE" w:rsidP="00744CDE"/>
    <w:p w:rsidR="00744CDE" w:rsidRDefault="00744CDE" w:rsidP="00744CDE">
      <w:pPr>
        <w:pStyle w:val="Heading3"/>
      </w:pPr>
      <w:r>
        <w:lastRenderedPageBreak/>
        <w:t>AT: Debate Works</w:t>
      </w:r>
    </w:p>
    <w:p w:rsidR="00744CDE" w:rsidRDefault="00744CDE" w:rsidP="00744CDE">
      <w:pPr>
        <w:pStyle w:val="Heading4"/>
      </w:pPr>
      <w:r w:rsidRPr="00CD38CA">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t>voting neg to reject politics is the only political act</w:t>
      </w:r>
    </w:p>
    <w:p w:rsidR="00744CDE" w:rsidRDefault="00744CDE" w:rsidP="00744CDE">
      <w:pPr>
        <w:rPr>
          <w:sz w:val="16"/>
        </w:rPr>
      </w:pPr>
      <w:r>
        <w:rPr>
          <w:rStyle w:val="StyleStyleBold12pt"/>
        </w:rPr>
        <w:t>The Invisible Committee 0</w:t>
      </w:r>
      <w:r w:rsidRPr="00B704C8">
        <w:rPr>
          <w:rStyle w:val="StyleStyleBold12pt"/>
        </w:rPr>
        <w:t>7</w:t>
      </w:r>
      <w:r w:rsidRPr="00320AC4">
        <w:rPr>
          <w:sz w:val="16"/>
        </w:rPr>
        <w:t xml:space="preserve"> [</w:t>
      </w:r>
      <w:r w:rsidRPr="00320AC4">
        <w:rPr>
          <w:rStyle w:val="apple-style-span"/>
          <w:rFonts w:cs="Arial"/>
          <w:color w:val="000000"/>
          <w:sz w:val="16"/>
        </w:rPr>
        <w:t xml:space="preserve">an anonymous group of </w:t>
      </w:r>
      <w:r>
        <w:rPr>
          <w:rStyle w:val="apple-style-span"/>
          <w:rFonts w:cs="Arial"/>
          <w:color w:val="000000"/>
          <w:sz w:val="16"/>
        </w:rPr>
        <w:t>French professors, phd candidates, and intellectuals, in the book “The Coming Insurrection” published by Semiotext(e)</w:t>
      </w:r>
      <w:r w:rsidRPr="00320AC4">
        <w:rPr>
          <w:rStyle w:val="apple-style-span"/>
          <w:rFonts w:cs="Arial"/>
          <w:color w:val="000000"/>
          <w:sz w:val="16"/>
        </w:rPr>
        <w:t xml:space="preserve"> (attributed to the</w:t>
      </w:r>
      <w:r w:rsidRPr="00320AC4">
        <w:rPr>
          <w:rStyle w:val="apple-converted-space"/>
          <w:rFonts w:cs="Arial"/>
          <w:color w:val="000000"/>
          <w:sz w:val="16"/>
          <w:szCs w:val="20"/>
        </w:rPr>
        <w:t> </w:t>
      </w:r>
      <w:hyperlink r:id="rId10" w:history="1">
        <w:r w:rsidRPr="00320AC4">
          <w:rPr>
            <w:rStyle w:val="Hyperlink"/>
            <w:rFonts w:cs="Arial"/>
            <w:color w:val="0645AD"/>
            <w:sz w:val="16"/>
            <w:szCs w:val="20"/>
          </w:rPr>
          <w:t>Tarnac Nine</w:t>
        </w:r>
      </w:hyperlink>
      <w:r w:rsidRPr="00320AC4">
        <w:rPr>
          <w:rStyle w:val="apple-converted-space"/>
          <w:rFonts w:cs="Arial"/>
          <w:color w:val="000000"/>
          <w:sz w:val="16"/>
          <w:szCs w:val="20"/>
        </w:rPr>
        <w:t> </w:t>
      </w:r>
      <w:r w:rsidRPr="00320AC4">
        <w:rPr>
          <w:rStyle w:val="apple-style-span"/>
          <w:rFonts w:cs="Arial"/>
          <w:color w:val="000000"/>
          <w:sz w:val="16"/>
        </w:rPr>
        <w:t>by the French police),</w:t>
      </w:r>
      <w:r w:rsidRPr="00320AC4">
        <w:rPr>
          <w:sz w:val="16"/>
        </w:rPr>
        <w:t xml:space="preserve"> </w:t>
      </w:r>
      <w:hyperlink r:id="rId11" w:history="1">
        <w:r w:rsidRPr="00320AC4">
          <w:rPr>
            <w:rStyle w:val="Hyperlink"/>
            <w:sz w:val="16"/>
          </w:rPr>
          <w:t>http://tarnac9.noblogs.org/gallery/5188/insurrection_english.pdf</w:t>
        </w:r>
      </w:hyperlink>
      <w:r w:rsidRPr="00320AC4">
        <w:rPr>
          <w:sz w:val="16"/>
        </w:rPr>
        <w:t>]</w:t>
      </w:r>
    </w:p>
    <w:p w:rsidR="00744CDE" w:rsidRDefault="00744CDE" w:rsidP="00744CDE"/>
    <w:p w:rsidR="00744CDE" w:rsidRDefault="00744CDE" w:rsidP="00744CDE">
      <w:pPr>
        <w:rPr>
          <w:b/>
        </w:rPr>
      </w:pPr>
      <w:r w:rsidRPr="00B704C8">
        <w:rPr>
          <w:b/>
          <w:u w:val="single"/>
        </w:rPr>
        <w:t xml:space="preserve">Whatever angle you look at it from, </w:t>
      </w:r>
      <w:r w:rsidRPr="00A71447">
        <w:rPr>
          <w:b/>
          <w:highlight w:val="green"/>
          <w:u w:val="single"/>
        </w:rPr>
        <w:t>there's no escape from the present.</w:t>
      </w:r>
      <w:r w:rsidRPr="003D3E9C">
        <w:rPr>
          <w:b/>
        </w:rPr>
        <w:t xml:space="preserve"> </w:t>
      </w:r>
    </w:p>
    <w:p w:rsidR="00744CDE" w:rsidRDefault="00744CDE" w:rsidP="00744CDE">
      <w:pPr>
        <w:rPr>
          <w:b/>
        </w:rPr>
      </w:pPr>
      <w:r>
        <w:rPr>
          <w:b/>
        </w:rPr>
        <w:t>AND</w:t>
      </w:r>
    </w:p>
    <w:p w:rsidR="00744CDE" w:rsidRPr="00AC69CA" w:rsidRDefault="00744CDE" w:rsidP="00744CDE">
      <w:r w:rsidRPr="003D3E9C">
        <w:rPr>
          <w:sz w:val="16"/>
        </w:rPr>
        <w:t>we can see and not avoid the conclusions to be drawn from it.</w:t>
      </w:r>
    </w:p>
    <w:p w:rsidR="00744CDE" w:rsidRPr="00964BAC" w:rsidRDefault="00744CDE" w:rsidP="00744CDE">
      <w:pPr>
        <w:pStyle w:val="Heading4"/>
      </w:pPr>
      <w:r w:rsidRPr="00964BAC">
        <w:t xml:space="preserve">The affirmative’s deferral of freedom is what sustains an exclusionary national culture.  We reinvest in the sentimental scene of national belonging over and over again while racism, sexism, and exploitation materially thrive.  They turn debate into one more site of reinvestment, another place to locate ourselves and others on the path to shared prosperity.  Through the toxic fantasy of speculative democracy, we can celebrate an abstract freedom that leaves genocide, slavery and murder in its wake.  </w:t>
      </w:r>
    </w:p>
    <w:p w:rsidR="00744CDE" w:rsidRDefault="00744CDE" w:rsidP="00744CDE">
      <w:r>
        <w:rPr>
          <w:rStyle w:val="StyleStyleBold12pt"/>
        </w:rPr>
        <w:t xml:space="preserve">Hoescht </w:t>
      </w:r>
      <w:r w:rsidRPr="00964BAC">
        <w:rPr>
          <w:rStyle w:val="StyleStyleBold12pt"/>
        </w:rPr>
        <w:t>08</w:t>
      </w:r>
      <w:r w:rsidRPr="00964BAC">
        <w:t xml:space="preserve"> (Heidi, PhD in Literature from UCSD, “Refusable Pasts: Speculative Democracy, Spectator Citizens, and the Dislocation of Freedom in the United States,” Proquest Dissertations)</w:t>
      </w:r>
    </w:p>
    <w:p w:rsidR="00744CDE" w:rsidRPr="00964BAC" w:rsidRDefault="00744CDE" w:rsidP="00744CDE"/>
    <w:p w:rsidR="00744CDE" w:rsidRDefault="00744CDE" w:rsidP="00744CDE">
      <w:pPr>
        <w:rPr>
          <w:rStyle w:val="StyleBoldUnderline"/>
          <w:highlight w:val="green"/>
        </w:rPr>
      </w:pPr>
      <w:r w:rsidRPr="00015901">
        <w:rPr>
          <w:sz w:val="12"/>
        </w:rPr>
        <w:t xml:space="preserve">The </w:t>
      </w:r>
      <w:r w:rsidRPr="00324157">
        <w:rPr>
          <w:rStyle w:val="StyleBoldUnderline"/>
          <w:highlight w:val="green"/>
        </w:rPr>
        <w:t>omissions</w:t>
      </w:r>
      <w:r w:rsidRPr="00964BAC">
        <w:rPr>
          <w:rStyle w:val="StyleBoldUnderline"/>
        </w:rPr>
        <w:t xml:space="preserve"> and occlusions </w:t>
      </w:r>
      <w:r w:rsidRPr="00324157">
        <w:rPr>
          <w:rStyle w:val="StyleBoldUnderline"/>
          <w:highlight w:val="green"/>
        </w:rPr>
        <w:t>about</w:t>
      </w:r>
      <w:r w:rsidRPr="00964BAC">
        <w:rPr>
          <w:rStyle w:val="StyleBoldUnderline"/>
        </w:rPr>
        <w:t xml:space="preserve"> the </w:t>
      </w:r>
      <w:r w:rsidRPr="00324157">
        <w:rPr>
          <w:rStyle w:val="StyleBoldUnderline"/>
          <w:highlight w:val="green"/>
        </w:rPr>
        <w:t xml:space="preserve">national history inside national culture depend on the idea </w:t>
      </w:r>
    </w:p>
    <w:p w:rsidR="00744CDE" w:rsidRDefault="00744CDE" w:rsidP="00744CDE">
      <w:pPr>
        <w:rPr>
          <w:rStyle w:val="StyleBoldUnderline"/>
          <w:highlight w:val="green"/>
        </w:rPr>
      </w:pPr>
      <w:r>
        <w:rPr>
          <w:rStyle w:val="StyleBoldUnderline"/>
          <w:highlight w:val="green"/>
        </w:rPr>
        <w:t>AND</w:t>
      </w:r>
    </w:p>
    <w:p w:rsidR="00744CDE" w:rsidRPr="00015901" w:rsidRDefault="00744CDE" w:rsidP="00744CDE">
      <w:pPr>
        <w:rPr>
          <w:sz w:val="12"/>
        </w:rPr>
      </w:pPr>
      <w:r w:rsidRPr="00964BAC">
        <w:rPr>
          <w:rStyle w:val="StyleBoldUnderline"/>
        </w:rPr>
        <w:t>or market-based inclusion to the groups they exploit to suppress conflict</w:t>
      </w:r>
      <w:r w:rsidRPr="00015901">
        <w:rPr>
          <w:sz w:val="12"/>
        </w:rPr>
        <w:t xml:space="preserve">. </w:t>
      </w:r>
    </w:p>
    <w:p w:rsidR="00744CDE" w:rsidRPr="00CF41C0" w:rsidRDefault="00744CDE" w:rsidP="00744CDE"/>
    <w:p w:rsidR="00744CDE" w:rsidRDefault="00744CDE" w:rsidP="00744CDE">
      <w:pPr>
        <w:pStyle w:val="Heading3"/>
      </w:pPr>
      <w:r>
        <w:lastRenderedPageBreak/>
        <w:t>AT: Perm</w:t>
      </w:r>
    </w:p>
    <w:p w:rsidR="00744CDE" w:rsidRPr="008773BD" w:rsidRDefault="00744CDE" w:rsidP="00744CDE">
      <w:pPr>
        <w:pStyle w:val="Heading4"/>
      </w:pPr>
      <w:r w:rsidRPr="00490F8E">
        <w:t>Attempting to combine discursive interrogation with the concrete historical example of the plan fails- it always collapses back into reinforcing dominant themes</w:t>
      </w:r>
    </w:p>
    <w:p w:rsidR="00744CDE" w:rsidRPr="00CF41C0" w:rsidRDefault="00744CDE" w:rsidP="00744CDE">
      <w:pPr>
        <w:rPr>
          <w:sz w:val="16"/>
          <w:szCs w:val="16"/>
        </w:rPr>
      </w:pPr>
      <w:r w:rsidRPr="008773BD">
        <w:rPr>
          <w:rStyle w:val="StyleStyleBold12pt"/>
        </w:rPr>
        <w:t>Mann 91</w:t>
      </w:r>
      <w:r w:rsidRPr="00490F8E">
        <w:rPr>
          <w:b/>
        </w:rPr>
        <w:t xml:space="preserve"> </w:t>
      </w:r>
      <w:r>
        <w:rPr>
          <w:sz w:val="16"/>
          <w:szCs w:val="16"/>
        </w:rPr>
        <w:t>(</w:t>
      </w:r>
      <w:r w:rsidRPr="00CF41C0">
        <w:rPr>
          <w:sz w:val="16"/>
          <w:szCs w:val="16"/>
        </w:rPr>
        <w:t>Paul, Philosopher, “The Theory-Death of the Avant-Garde,” Book, 1991, page 28</w:t>
      </w:r>
      <w:r>
        <w:rPr>
          <w:sz w:val="16"/>
          <w:szCs w:val="16"/>
        </w:rPr>
        <w:t>)</w:t>
      </w:r>
    </w:p>
    <w:p w:rsidR="00744CDE" w:rsidRPr="00CF41C0" w:rsidRDefault="00744CDE" w:rsidP="00744CDE">
      <w:pPr>
        <w:rPr>
          <w:sz w:val="16"/>
          <w:szCs w:val="16"/>
        </w:rPr>
      </w:pPr>
    </w:p>
    <w:p w:rsidR="00744CDE" w:rsidRDefault="00744CDE" w:rsidP="00744CDE">
      <w:pPr>
        <w:rPr>
          <w:rStyle w:val="StyleBoldUnderline"/>
        </w:rPr>
      </w:pPr>
      <w:r w:rsidRPr="00CF41C0">
        <w:rPr>
          <w:sz w:val="16"/>
          <w:szCs w:val="16"/>
        </w:rPr>
        <w:t xml:space="preserve">Perhaps Althusser's </w:t>
      </w:r>
      <w:r w:rsidRPr="00324157">
        <w:rPr>
          <w:rStyle w:val="StyleBoldUnderline"/>
          <w:highlight w:val="green"/>
        </w:rPr>
        <w:t xml:space="preserve">nonexistent generality </w:t>
      </w:r>
      <w:r w:rsidRPr="00324157">
        <w:rPr>
          <w:rStyle w:val="Emphasis"/>
          <w:highlight w:val="green"/>
        </w:rPr>
        <w:t>is the sign of a desire to have it both ways</w:t>
      </w:r>
    </w:p>
    <w:p w:rsidR="00744CDE" w:rsidRDefault="00744CDE" w:rsidP="00744CDE">
      <w:pPr>
        <w:rPr>
          <w:rStyle w:val="StyleBoldUnderline"/>
        </w:rPr>
      </w:pPr>
      <w:r>
        <w:rPr>
          <w:rStyle w:val="StyleBoldUnderline"/>
        </w:rPr>
        <w:t>AND</w:t>
      </w:r>
    </w:p>
    <w:p w:rsidR="00744CDE" w:rsidRPr="00CF41C0" w:rsidRDefault="00744CDE" w:rsidP="00744CDE">
      <w:pPr>
        <w:rPr>
          <w:sz w:val="16"/>
          <w:szCs w:val="16"/>
        </w:rPr>
      </w:pPr>
      <w:r w:rsidRPr="00CF41C0">
        <w:rPr>
          <w:sz w:val="16"/>
          <w:szCs w:val="16"/>
        </w:rPr>
        <w:t>then it must come to assert itself as such and make itself known.</w:t>
      </w:r>
    </w:p>
    <w:p w:rsidR="00744CDE" w:rsidRDefault="00744CDE" w:rsidP="00744CDE"/>
    <w:p w:rsidR="00744CDE" w:rsidRPr="00B704C8" w:rsidRDefault="00744CDE" w:rsidP="00744CDE">
      <w:pPr>
        <w:pStyle w:val="Heading4"/>
        <w:rPr>
          <w:rFonts w:asciiTheme="minorHAnsi" w:hAnsiTheme="minorHAnsi"/>
        </w:rPr>
      </w:pPr>
      <w:r w:rsidRPr="00B704C8">
        <w:rPr>
          <w:rFonts w:asciiTheme="minorHAnsi" w:hAnsiTheme="minorHAnsi"/>
        </w:rPr>
        <w:t>INCLUDING ANY ELEMENT of the political strategy of the 1AC ONLY RISKS short-circuiting the radical potential of the alternative by making protest visible. Invisibility is a precondition for freedom of action</w:t>
      </w:r>
    </w:p>
    <w:p w:rsidR="00744CDE" w:rsidRPr="00B704C8" w:rsidRDefault="00744CDE" w:rsidP="00744CDE">
      <w:pPr>
        <w:rPr>
          <w:rFonts w:asciiTheme="minorHAnsi" w:hAnsiTheme="minorHAnsi"/>
        </w:rPr>
      </w:pPr>
      <w:r w:rsidRPr="00B704C8">
        <w:rPr>
          <w:rStyle w:val="StyleStyleBold12pt"/>
          <w:rFonts w:asciiTheme="minorHAnsi" w:hAnsiTheme="minorHAnsi"/>
        </w:rPr>
        <w:t>The Invisible Committee 07</w:t>
      </w:r>
      <w:r w:rsidRPr="00B704C8">
        <w:rPr>
          <w:rFonts w:asciiTheme="minorHAnsi" w:hAnsiTheme="minorHAnsi"/>
        </w:rPr>
        <w:t xml:space="preserve"> </w:t>
      </w:r>
      <w:r w:rsidRPr="00B704C8">
        <w:rPr>
          <w:rFonts w:asciiTheme="minorHAnsi" w:hAnsiTheme="minorHAnsi"/>
          <w:sz w:val="16"/>
          <w:szCs w:val="16"/>
        </w:rPr>
        <w:t>(an anonymous group of French professors, phd candidates, and intellectuals, in the book “The Coming Insurrection” published by Semiotext(e) (attributed to the </w:t>
      </w:r>
      <w:hyperlink r:id="rId12" w:history="1">
        <w:r w:rsidRPr="00B704C8">
          <w:rPr>
            <w:rStyle w:val="Hyperlink"/>
            <w:rFonts w:asciiTheme="minorHAnsi" w:hAnsiTheme="minorHAnsi"/>
            <w:sz w:val="16"/>
            <w:szCs w:val="16"/>
          </w:rPr>
          <w:t>Tarnac Nine</w:t>
        </w:r>
      </w:hyperlink>
      <w:r w:rsidRPr="00B704C8">
        <w:rPr>
          <w:rFonts w:asciiTheme="minorHAnsi" w:hAnsiTheme="minorHAnsi"/>
          <w:sz w:val="16"/>
          <w:szCs w:val="16"/>
        </w:rPr>
        <w:t xml:space="preserve"> by the French police), </w:t>
      </w:r>
      <w:hyperlink r:id="rId13" w:history="1">
        <w:r w:rsidRPr="00B704C8">
          <w:rPr>
            <w:rStyle w:val="Hyperlink"/>
            <w:rFonts w:asciiTheme="minorHAnsi" w:hAnsiTheme="minorHAnsi"/>
            <w:sz w:val="16"/>
            <w:szCs w:val="16"/>
          </w:rPr>
          <w:t>http://tarnac9.noblogs.org/gallery/5188/insurrection_english.pdf</w:t>
        </w:r>
      </w:hyperlink>
      <w:r w:rsidRPr="00B704C8">
        <w:rPr>
          <w:rFonts w:asciiTheme="minorHAnsi" w:hAnsiTheme="minorHAnsi"/>
          <w:sz w:val="16"/>
          <w:szCs w:val="16"/>
        </w:rPr>
        <w:t>)</w:t>
      </w:r>
    </w:p>
    <w:p w:rsidR="00744CDE" w:rsidRPr="00B704C8" w:rsidRDefault="00744CDE" w:rsidP="00744CDE">
      <w:pPr>
        <w:rPr>
          <w:rFonts w:asciiTheme="minorHAnsi" w:hAnsiTheme="minorHAnsi"/>
        </w:rPr>
      </w:pPr>
    </w:p>
    <w:p w:rsidR="00744CDE" w:rsidRDefault="00744CDE" w:rsidP="00744CDE">
      <w:pPr>
        <w:rPr>
          <w:rFonts w:asciiTheme="minorHAnsi" w:hAnsiTheme="minorHAnsi"/>
          <w:sz w:val="16"/>
        </w:rPr>
      </w:pPr>
      <w:r w:rsidRPr="00324157">
        <w:rPr>
          <w:rStyle w:val="Emphasis"/>
          <w:rFonts w:asciiTheme="minorHAnsi" w:hAnsiTheme="minorHAnsi"/>
          <w:highlight w:val="green"/>
        </w:rPr>
        <w:t>Stay invisible.</w:t>
      </w:r>
      <w:r w:rsidRPr="00324157">
        <w:rPr>
          <w:rFonts w:asciiTheme="minorHAnsi" w:hAnsiTheme="minorHAnsi"/>
          <w:b/>
          <w:highlight w:val="green"/>
          <w:u w:val="single"/>
        </w:rPr>
        <w:t xml:space="preserve"> Put anonymity on the offense</w:t>
      </w:r>
      <w:r w:rsidRPr="00B704C8">
        <w:rPr>
          <w:rFonts w:asciiTheme="minorHAnsi" w:hAnsiTheme="minorHAnsi"/>
          <w:b/>
          <w:u w:val="single"/>
        </w:rPr>
        <w:t xml:space="preserve">. </w:t>
      </w:r>
      <w:r w:rsidRPr="00B704C8">
        <w:rPr>
          <w:rFonts w:asciiTheme="minorHAnsi" w:hAnsiTheme="minorHAnsi"/>
          <w:sz w:val="16"/>
        </w:rPr>
        <w:t xml:space="preserve">In a demonstration, a unionist </w:t>
      </w:r>
    </w:p>
    <w:p w:rsidR="00744CDE" w:rsidRDefault="00744CDE" w:rsidP="00744CDE">
      <w:pPr>
        <w:rPr>
          <w:rFonts w:asciiTheme="minorHAnsi" w:hAnsiTheme="minorHAnsi"/>
          <w:sz w:val="16"/>
        </w:rPr>
      </w:pPr>
      <w:r>
        <w:rPr>
          <w:rFonts w:asciiTheme="minorHAnsi" w:hAnsiTheme="minorHAnsi"/>
          <w:sz w:val="16"/>
        </w:rPr>
        <w:t>AND</w:t>
      </w:r>
    </w:p>
    <w:p w:rsidR="00744CDE" w:rsidRPr="00B704C8" w:rsidRDefault="00744CDE" w:rsidP="00744CDE">
      <w:pPr>
        <w:rPr>
          <w:rFonts w:asciiTheme="minorHAnsi" w:hAnsiTheme="minorHAnsi"/>
          <w:sz w:val="16"/>
        </w:rPr>
      </w:pPr>
      <w:r w:rsidRPr="00B704C8">
        <w:rPr>
          <w:rFonts w:asciiTheme="minorHAnsi" w:hAnsiTheme="minorHAnsi"/>
          <w:sz w:val="16"/>
        </w:rPr>
        <w:t>this society if you want help understanding the joy of being no one.</w:t>
      </w:r>
    </w:p>
    <w:p w:rsidR="00744CDE" w:rsidRDefault="00744CDE" w:rsidP="00744CDE"/>
    <w:p w:rsidR="00744CDE" w:rsidRPr="008773BD" w:rsidRDefault="00744CDE" w:rsidP="00744CDE"/>
    <w:p w:rsidR="00744CDE" w:rsidRPr="00CF41C0" w:rsidRDefault="00744CDE" w:rsidP="00744CDE"/>
    <w:p w:rsidR="00744CDE" w:rsidRDefault="00744CDE" w:rsidP="00744CDE">
      <w:pPr>
        <w:pStyle w:val="Heading3"/>
      </w:pPr>
      <w:r>
        <w:lastRenderedPageBreak/>
        <w:t>2NC Alt</w:t>
      </w:r>
    </w:p>
    <w:p w:rsidR="00744CDE" w:rsidRPr="00D42502" w:rsidRDefault="00744CDE" w:rsidP="00744CDE">
      <w:pPr>
        <w:pStyle w:val="Heading4"/>
      </w:pPr>
      <w:r>
        <w:t>To make micropolitics visible is to coopt it by giving resistance an object – this understanding allows resistance to be framed, to be declared a failure and prevents the immanence of imperceptible politics from coalescing around mundane practices and habitudes of existence</w:t>
      </w:r>
    </w:p>
    <w:p w:rsidR="00744CDE" w:rsidRPr="00FC505A" w:rsidRDefault="00744CDE" w:rsidP="00744CDE">
      <w:r w:rsidRPr="00494637">
        <w:rPr>
          <w:rStyle w:val="StyleStyleBold12pt"/>
        </w:rPr>
        <w:t>T</w:t>
      </w:r>
      <w:r>
        <w:rPr>
          <w:rStyle w:val="StyleStyleBold12pt"/>
        </w:rPr>
        <w:t>sianos et al. 0</w:t>
      </w:r>
      <w:r w:rsidRPr="00494637">
        <w:rPr>
          <w:rStyle w:val="StyleStyleBold12pt"/>
        </w:rPr>
        <w:t>8</w:t>
      </w:r>
      <w:r w:rsidRPr="00FC505A">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744CDE" w:rsidRDefault="00744CDE" w:rsidP="00744CDE">
      <w:pPr>
        <w:pStyle w:val="BodyText"/>
        <w:shd w:val="clear" w:color="auto" w:fill="auto"/>
        <w:spacing w:before="0"/>
        <w:ind w:left="20" w:right="20"/>
        <w:rPr>
          <w:rStyle w:val="BodyTextChar1"/>
          <w:rFonts w:ascii="Georgia" w:hAnsi="Georgia"/>
          <w:b/>
          <w:color w:val="000000"/>
          <w:sz w:val="22"/>
          <w:szCs w:val="22"/>
        </w:rPr>
      </w:pPr>
    </w:p>
    <w:p w:rsidR="00744CDE" w:rsidRDefault="00744CDE" w:rsidP="00744CDE">
      <w:pPr>
        <w:pStyle w:val="BodyText"/>
        <w:shd w:val="clear" w:color="auto" w:fill="auto"/>
        <w:spacing w:before="0" w:line="240" w:lineRule="auto"/>
        <w:ind w:left="20" w:right="20"/>
        <w:jc w:val="left"/>
        <w:rPr>
          <w:rStyle w:val="StyleBoldUnderline"/>
          <w:rFonts w:asciiTheme="minorHAnsi" w:hAnsiTheme="minorHAnsi"/>
        </w:rPr>
      </w:pPr>
      <w:r w:rsidRPr="00B704C8">
        <w:rPr>
          <w:rStyle w:val="BodyTextChar1"/>
          <w:rFonts w:asciiTheme="minorHAnsi" w:hAnsiTheme="minorHAnsi"/>
          <w:color w:val="000000"/>
          <w:sz w:val="16"/>
          <w:szCs w:val="22"/>
        </w:rPr>
        <w:t xml:space="preserve">In this sense </w:t>
      </w:r>
      <w:r w:rsidRPr="00B704C8">
        <w:rPr>
          <w:rStyle w:val="StyleBoldUnderline"/>
          <w:rFonts w:asciiTheme="minorHAnsi" w:hAnsiTheme="minorHAnsi"/>
        </w:rPr>
        <w:t xml:space="preserve">imperceptible politics does not necessarily differ from or oppose other prevalent forms </w:t>
      </w:r>
    </w:p>
    <w:p w:rsidR="00744CDE" w:rsidRDefault="00744CDE" w:rsidP="00744CDE">
      <w:pPr>
        <w:pStyle w:val="BodyText"/>
        <w:shd w:val="clear" w:color="auto" w:fill="auto"/>
        <w:spacing w:before="0" w:line="240" w:lineRule="auto"/>
        <w:ind w:left="20" w:right="20"/>
        <w:jc w:val="left"/>
        <w:rPr>
          <w:rStyle w:val="StyleBoldUnderline"/>
          <w:rFonts w:asciiTheme="minorHAnsi" w:hAnsiTheme="minorHAnsi"/>
        </w:rPr>
      </w:pPr>
      <w:r>
        <w:rPr>
          <w:rStyle w:val="StyleBoldUnderline"/>
          <w:rFonts w:asciiTheme="minorHAnsi" w:hAnsiTheme="minorHAnsi"/>
        </w:rPr>
        <w:t>AND</w:t>
      </w:r>
    </w:p>
    <w:p w:rsidR="00744CDE" w:rsidRPr="00B704C8" w:rsidRDefault="00744CDE" w:rsidP="00744CDE">
      <w:pPr>
        <w:pStyle w:val="BodyText"/>
        <w:shd w:val="clear" w:color="auto" w:fill="auto"/>
        <w:spacing w:before="0" w:line="240" w:lineRule="auto"/>
        <w:ind w:left="20" w:right="20"/>
        <w:jc w:val="left"/>
        <w:rPr>
          <w:rStyle w:val="StyleBoldUnderline"/>
          <w:rFonts w:asciiTheme="minorHAnsi" w:hAnsiTheme="minorHAnsi"/>
        </w:rPr>
      </w:pPr>
      <w:r w:rsidRPr="00A71447">
        <w:rPr>
          <w:rStyle w:val="StyleBoldUnderline"/>
          <w:rFonts w:asciiTheme="minorHAnsi" w:hAnsiTheme="minorHAnsi"/>
          <w:highlight w:val="green"/>
        </w:rPr>
        <w:t xml:space="preserve">this void into everyday politics that becomes the vital force </w:t>
      </w:r>
      <w:r w:rsidRPr="00B704C8">
        <w:rPr>
          <w:rStyle w:val="StyleBoldUnderline"/>
          <w:rFonts w:asciiTheme="minorHAnsi" w:hAnsiTheme="minorHAnsi"/>
        </w:rPr>
        <w:t>for imperceptible politics</w:t>
      </w:r>
      <w:r w:rsidRPr="00A71447">
        <w:rPr>
          <w:rStyle w:val="StyleBoldUnderline"/>
          <w:rFonts w:asciiTheme="minorHAnsi" w:hAnsiTheme="minorHAnsi"/>
          <w:highlight w:val="green"/>
        </w:rPr>
        <w:t>.</w:t>
      </w:r>
    </w:p>
    <w:p w:rsidR="00744CDE" w:rsidRPr="00CF41C0" w:rsidRDefault="00744CDE" w:rsidP="00744CDE"/>
    <w:p w:rsidR="00744CDE" w:rsidRDefault="00744CDE" w:rsidP="00744CDE">
      <w:pPr>
        <w:pStyle w:val="Heading3"/>
      </w:pPr>
      <w:r>
        <w:lastRenderedPageBreak/>
        <w:t>2NC Absorbtion Link</w:t>
      </w:r>
    </w:p>
    <w:p w:rsidR="00744CDE" w:rsidRPr="00AC69CA" w:rsidRDefault="00744CDE" w:rsidP="00744CDE">
      <w:pPr>
        <w:pStyle w:val="Heading4"/>
        <w:rPr>
          <w:rStyle w:val="StyleStyleBold12pt"/>
          <w:b/>
          <w:u w:val="none"/>
        </w:rPr>
      </w:pPr>
      <w:r w:rsidRPr="00AC69CA">
        <w:rPr>
          <w:rStyle w:val="StyleStyleBold12pt"/>
          <w:b/>
          <w:u w:val="none"/>
        </w:rPr>
        <w:t xml:space="preserve">Absorption – the affirmative performs their position of opposition. This performance is trapped by its “Avant-garde”ness. It becomes a slogan, advertising a commodity. The Idea of resistance becomes a product to sell. </w:t>
      </w:r>
    </w:p>
    <w:p w:rsidR="00744CDE" w:rsidRPr="00CF41C0" w:rsidRDefault="00744CDE" w:rsidP="00744CDE">
      <w:pPr>
        <w:rPr>
          <w:sz w:val="16"/>
          <w:szCs w:val="16"/>
        </w:rPr>
      </w:pPr>
      <w:r w:rsidRPr="008773BD">
        <w:rPr>
          <w:rStyle w:val="StyleStyleBold12pt"/>
        </w:rPr>
        <w:t>Mann 91</w:t>
      </w:r>
      <w:r w:rsidRPr="00490F8E">
        <w:rPr>
          <w:b/>
        </w:rPr>
        <w:t xml:space="preserve"> </w:t>
      </w:r>
      <w:r w:rsidRPr="00CF41C0">
        <w:rPr>
          <w:sz w:val="16"/>
          <w:szCs w:val="16"/>
        </w:rPr>
        <w:t>[Paul, Philosopher, “The Theory-Death of the Avant-Garde,” Book, 1991, page 108, 7/20/12]</w:t>
      </w:r>
    </w:p>
    <w:p w:rsidR="00744CDE" w:rsidRPr="00CF41C0" w:rsidRDefault="00744CDE" w:rsidP="00744CDE">
      <w:pPr>
        <w:rPr>
          <w:sz w:val="16"/>
          <w:szCs w:val="16"/>
        </w:rPr>
      </w:pPr>
    </w:p>
    <w:p w:rsidR="00744CDE" w:rsidRDefault="00744CDE" w:rsidP="00744CDE">
      <w:pPr>
        <w:rPr>
          <w:sz w:val="16"/>
          <w:szCs w:val="16"/>
        </w:rPr>
      </w:pPr>
      <w:r w:rsidRPr="00CF41C0">
        <w:rPr>
          <w:sz w:val="16"/>
          <w:szCs w:val="16"/>
        </w:rPr>
        <w:t xml:space="preserve">It is not just that manifestos come to be written artfully but that a literary </w:t>
      </w:r>
    </w:p>
    <w:p w:rsidR="00744CDE" w:rsidRDefault="00744CDE" w:rsidP="00744CDE">
      <w:pPr>
        <w:rPr>
          <w:sz w:val="16"/>
          <w:szCs w:val="16"/>
        </w:rPr>
      </w:pPr>
      <w:r>
        <w:rPr>
          <w:sz w:val="16"/>
          <w:szCs w:val="16"/>
        </w:rPr>
        <w:t>AND</w:t>
      </w:r>
    </w:p>
    <w:p w:rsidR="00744CDE" w:rsidRPr="00CF41C0" w:rsidRDefault="00744CDE" w:rsidP="00744CDE">
      <w:pPr>
        <w:rPr>
          <w:sz w:val="16"/>
          <w:szCs w:val="16"/>
        </w:rPr>
      </w:pPr>
      <w:r w:rsidRPr="00CF41C0">
        <w:rPr>
          <w:sz w:val="16"/>
          <w:szCs w:val="16"/>
        </w:rPr>
        <w:t>is a guide to governing the exceptions it endorses: a pataphysical handbook.</w:t>
      </w:r>
    </w:p>
    <w:p w:rsidR="00744CDE" w:rsidRDefault="00744CDE" w:rsidP="00744CDE"/>
    <w:p w:rsidR="00744CDE" w:rsidRPr="00C567DE" w:rsidRDefault="00744CDE" w:rsidP="00744CD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CDE" w:rsidRDefault="00744CDE" w:rsidP="005F5576">
      <w:r>
        <w:separator/>
      </w:r>
    </w:p>
  </w:endnote>
  <w:endnote w:type="continuationSeparator" w:id="0">
    <w:p w:rsidR="00744CDE" w:rsidRDefault="00744C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CDE" w:rsidRDefault="00744CDE" w:rsidP="005F5576">
      <w:r>
        <w:separator/>
      </w:r>
    </w:p>
  </w:footnote>
  <w:footnote w:type="continuationSeparator" w:id="0">
    <w:p w:rsidR="00744CDE" w:rsidRDefault="00744C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CDE"/>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B12"/>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A95"/>
    <w:rsid w:val="00714BC9"/>
    <w:rsid w:val="00723F91"/>
    <w:rsid w:val="00725623"/>
    <w:rsid w:val="00743059"/>
    <w:rsid w:val="00744CDE"/>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D8C94F39-1268-4D90-88FC-92E77B00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44CD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Citation,Heading 3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1,No Spacing112,No Spacing1121,no read,No Spacing211,No Spacing12,No Spacing2111,No Spacing4,No Spacing11111,No Spacing5,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Heading 3 Char1 Char Char Char,Underline Char,Style Underline,Intense Emphasis3,Heading 3 Char1,Heading 3 Char Char Char Char Char,Intense Emphasis111,Intense Emphasis1111,Intense Emphasis11111,Intense Emphasis4,Bold,Styl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1 Char,No Spacing112 Char,No Spacing1121 Char,no read Char,tags Char"/>
    <w:basedOn w:val="DefaultParagraphFont"/>
    <w:link w:val="Heading4"/>
    <w:uiPriority w:val="4"/>
    <w:qFormat/>
    <w:rsid w:val="00D176BE"/>
    <w:rPr>
      <w:rFonts w:ascii="Calibri" w:eastAsiaTheme="majorEastAsia" w:hAnsi="Calibri" w:cstheme="majorBidi"/>
      <w:b/>
      <w:bCs/>
      <w:iCs/>
      <w:sz w:val="26"/>
    </w:rPr>
  </w:style>
  <w:style w:type="character" w:customStyle="1" w:styleId="BodyTextChar1">
    <w:name w:val="Body Text Char1"/>
    <w:link w:val="BodyText"/>
    <w:uiPriority w:val="99"/>
    <w:rsid w:val="00744CDE"/>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44CDE"/>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744CDE"/>
    <w:rPr>
      <w:rFonts w:ascii="Calibri" w:hAnsi="Calibri" w:cs="Calibri"/>
    </w:rPr>
  </w:style>
  <w:style w:type="character" w:customStyle="1" w:styleId="BodytextItalic">
    <w:name w:val="Body text + Italic"/>
    <w:aliases w:val="Spacing 0 pt,Body text + CordiaUPC,12 pt,Italic,Body text + 9 pt"/>
    <w:uiPriority w:val="99"/>
    <w:rsid w:val="00744CDE"/>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744CDE"/>
    <w:rPr>
      <w:rFonts w:ascii="Sylfaen" w:hAnsi="Sylfaen" w:cs="Sylfaen"/>
      <w:i/>
      <w:iCs/>
      <w:sz w:val="19"/>
      <w:szCs w:val="19"/>
      <w:u w:val="none"/>
      <w:shd w:val="clear" w:color="auto" w:fill="FFFFFF"/>
    </w:rPr>
  </w:style>
  <w:style w:type="character" w:customStyle="1" w:styleId="apple-converted-space">
    <w:name w:val="apple-converted-space"/>
    <w:rsid w:val="00744CDE"/>
  </w:style>
  <w:style w:type="character" w:customStyle="1" w:styleId="apple-style-span">
    <w:name w:val="apple-style-span"/>
    <w:rsid w:val="0074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rnac9.noblogs.org/gallery/5188/insurrection_english.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n.wikipedia.org/wiki/Tarnac_Ni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rnac9.noblogs.org/gallery/5188/insurrection_english.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Tarnac_Nine" TargetMode="External"/><Relationship Id="rId4" Type="http://schemas.openxmlformats.org/officeDocument/2006/relationships/styles" Target="styles.xml"/><Relationship Id="rId9" Type="http://schemas.openxmlformats.org/officeDocument/2006/relationships/hyperlink" Target="http://jbe.gold.ac.uk/6/hershock99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872</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2013-04-28T14:02:00Z</dcterms:created>
  <dcterms:modified xsi:type="dcterms:W3CDTF">2013-04-28T14:03:00Z</dcterms:modified>
</cp:coreProperties>
</file>