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FFB" w:rsidRPr="00D81FFB" w:rsidRDefault="00D81FFB" w:rsidP="00D81FFB">
      <w:pPr>
        <w:pStyle w:val="Heading4"/>
        <w:rPr>
          <w:rFonts w:ascii="Times New Roman" w:hAnsi="Times New Roman" w:cs="Times New Roman"/>
        </w:rPr>
      </w:pPr>
      <w:bookmarkStart w:id="0" w:name="_GoBack"/>
      <w:bookmarkEnd w:id="0"/>
      <w:r w:rsidRPr="00D81FFB">
        <w:rPr>
          <w:rFonts w:ascii="Times New Roman" w:hAnsi="Times New Roman" w:cs="Times New Roman"/>
        </w:rPr>
        <w:t>Plan: The United States federal government should substantially increase investment in universally designed transportation infrastructure in the United States.</w:t>
      </w:r>
    </w:p>
    <w:p w:rsidR="00D81FFB" w:rsidRPr="00D81FFB" w:rsidRDefault="00D81FFB" w:rsidP="00D81FFB">
      <w:pPr>
        <w:pStyle w:val="Heading3"/>
        <w:jc w:val="left"/>
        <w:rPr>
          <w:rFonts w:ascii="Times New Roman" w:hAnsi="Times New Roman" w:cs="Times New Roman"/>
          <w:u w:val="none"/>
        </w:rPr>
      </w:pPr>
      <w:r w:rsidRPr="00D81FFB">
        <w:rPr>
          <w:rFonts w:ascii="Times New Roman" w:hAnsi="Times New Roman" w:cs="Times New Roman"/>
          <w:u w:val="none"/>
        </w:rPr>
        <w:lastRenderedPageBreak/>
        <w:t xml:space="preserve">Contention </w:t>
      </w:r>
      <w:proofErr w:type="gramStart"/>
      <w:r w:rsidRPr="00D81FFB">
        <w:rPr>
          <w:rFonts w:ascii="Times New Roman" w:hAnsi="Times New Roman" w:cs="Times New Roman"/>
          <w:u w:val="none"/>
        </w:rPr>
        <w:t>One</w:t>
      </w:r>
      <w:proofErr w:type="gramEnd"/>
      <w:r w:rsidRPr="00D81FFB">
        <w:rPr>
          <w:rFonts w:ascii="Times New Roman" w:hAnsi="Times New Roman" w:cs="Times New Roman"/>
          <w:u w:val="none"/>
        </w:rPr>
        <w:t xml:space="preserve"> is Inherency</w:t>
      </w:r>
    </w:p>
    <w:p w:rsidR="00D81FFB" w:rsidRPr="00D81FFB" w:rsidRDefault="00D81FFB" w:rsidP="00D81FFB">
      <w:pPr>
        <w:pStyle w:val="Heading4"/>
        <w:rPr>
          <w:rFonts w:ascii="Times New Roman" w:eastAsiaTheme="minorHAnsi" w:hAnsi="Times New Roman" w:cs="Times New Roman"/>
        </w:rPr>
      </w:pPr>
      <w:r w:rsidRPr="00D81FFB">
        <w:rPr>
          <w:rFonts w:ascii="Times New Roman" w:hAnsi="Times New Roman" w:cs="Times New Roman"/>
        </w:rPr>
        <w:t>Current modes of transportation design reinforce the medical model of disability and result in forced social exclusion.</w:t>
      </w:r>
    </w:p>
    <w:p w:rsidR="00D81FFB" w:rsidRPr="00D81FFB" w:rsidRDefault="00D81FFB" w:rsidP="00D81FFB">
      <w:pPr>
        <w:rPr>
          <w:rFonts w:ascii="Times New Roman" w:hAnsi="Times New Roman" w:cs="Times New Roman"/>
        </w:rPr>
      </w:pPr>
      <w:proofErr w:type="spellStart"/>
      <w:r w:rsidRPr="00D81FFB">
        <w:rPr>
          <w:rFonts w:ascii="Times New Roman" w:hAnsi="Times New Roman" w:cs="Times New Roman"/>
        </w:rPr>
        <w:t>Ivonne</w:t>
      </w:r>
      <w:proofErr w:type="spellEnd"/>
      <w:r w:rsidRPr="00D81FFB">
        <w:rPr>
          <w:rFonts w:ascii="Times New Roman" w:hAnsi="Times New Roman" w:cs="Times New Roman"/>
        </w:rPr>
        <w:t xml:space="preserve"> </w:t>
      </w:r>
      <w:proofErr w:type="spellStart"/>
      <w:r w:rsidRPr="00D81FFB">
        <w:rPr>
          <w:rStyle w:val="StyleStyleBold12pt"/>
          <w:rFonts w:ascii="Times New Roman" w:hAnsi="Times New Roman" w:cs="Times New Roman"/>
        </w:rPr>
        <w:t>Audirac</w:t>
      </w:r>
      <w:proofErr w:type="spellEnd"/>
      <w:r w:rsidRPr="00D81FFB">
        <w:rPr>
          <w:rFonts w:ascii="Times New Roman" w:hAnsi="Times New Roman" w:cs="Times New Roman"/>
        </w:rPr>
        <w:t>, Florida State University, 5/16/20</w:t>
      </w:r>
      <w:r w:rsidRPr="00D81FFB">
        <w:rPr>
          <w:rStyle w:val="StyleStyleBold12pt"/>
          <w:rFonts w:ascii="Times New Roman" w:hAnsi="Times New Roman" w:cs="Times New Roman"/>
        </w:rPr>
        <w:t>08</w:t>
      </w:r>
      <w:r w:rsidRPr="00D81FFB">
        <w:rPr>
          <w:rFonts w:ascii="Times New Roman" w:hAnsi="Times New Roman" w:cs="Times New Roman"/>
        </w:rPr>
        <w:t>[“Accessing Transit as Universal Design”, Journal of Planning Literature 2008, Sage Journals, http://jpl.sagepub.com/content/23/1/4.full.pdf+html]MW</w:t>
      </w:r>
    </w:p>
    <w:p w:rsidR="00D81FFB" w:rsidRPr="00D81FFB" w:rsidRDefault="00D81FFB" w:rsidP="00D81FFB">
      <w:r w:rsidRPr="00D81FFB">
        <w:t xml:space="preserve">Although influential transportation planners believe that given the low share of transit travel, transit cannot be the public strategy for improving </w:t>
      </w:r>
      <w:proofErr w:type="spellStart"/>
      <w:r w:rsidRPr="00D81FFB">
        <w:t>mobilitydisadvantaged</w:t>
      </w:r>
      <w:proofErr w:type="spellEnd"/>
      <w:r w:rsidRPr="00D81FFB">
        <w:t xml:space="preserve"> individuals (</w:t>
      </w:r>
      <w:proofErr w:type="spellStart"/>
      <w:r w:rsidRPr="00D81FFB">
        <w:t>Pucher</w:t>
      </w:r>
      <w:proofErr w:type="spellEnd"/>
      <w:r w:rsidRPr="00D81FFB">
        <w:t xml:space="preserve"> and </w:t>
      </w:r>
      <w:proofErr w:type="spellStart"/>
      <w:r w:rsidRPr="00D81FFB">
        <w:t>Renne</w:t>
      </w:r>
      <w:proofErr w:type="spellEnd"/>
      <w:r w:rsidRPr="00D81FFB">
        <w:t xml:space="preserve"> 2003, 74),4 disability theory and activism have challenged these views as exclusionary on several fronts (Corker and Shakespeare 2002; </w:t>
      </w:r>
      <w:proofErr w:type="spellStart"/>
      <w:r w:rsidRPr="00D81FFB">
        <w:t>Pothier</w:t>
      </w:r>
      <w:proofErr w:type="spellEnd"/>
      <w:r w:rsidRPr="00D81FFB">
        <w:t xml:space="preserve"> and Devlin 2006). First, on the basis that mode-split statistics are a poor measure of transit demand, since they do not account for suppressed trips (i.e., forgone trips for lack of transit service or impaired accesses to it) (Hine and </w:t>
      </w:r>
      <w:proofErr w:type="spellStart"/>
      <w:r w:rsidRPr="00D81FFB">
        <w:t>Grieco</w:t>
      </w:r>
      <w:proofErr w:type="spellEnd"/>
      <w:r w:rsidRPr="00D81FFB">
        <w:t xml:space="preserve"> 2002). Second, that mainstream transportation planning and design are based on the notion of a “universally able and disembodied” subject (i.e., without biological and social attributes) (Hine and Mitchell 2001; </w:t>
      </w:r>
      <w:proofErr w:type="spellStart"/>
      <w:r w:rsidRPr="00D81FFB">
        <w:t>Imrie</w:t>
      </w:r>
      <w:proofErr w:type="spellEnd"/>
      <w:r w:rsidRPr="00D81FFB">
        <w:t xml:space="preserve"> 2000; </w:t>
      </w:r>
      <w:proofErr w:type="spellStart"/>
      <w:r w:rsidRPr="00D81FFB">
        <w:t>Langan</w:t>
      </w:r>
      <w:proofErr w:type="spellEnd"/>
      <w:r w:rsidRPr="00D81FFB">
        <w:t xml:space="preserve"> 2001) and thus exclude not only impaired but also many </w:t>
      </w:r>
      <w:proofErr w:type="spellStart"/>
      <w:r w:rsidRPr="00D81FFB">
        <w:t>nonimpaired</w:t>
      </w:r>
      <w:proofErr w:type="spellEnd"/>
      <w:r w:rsidRPr="00D81FFB">
        <w:t xml:space="preserve"> people. Third, that transportation planning espouses the medical model of disability whereby the individual’s body, rather than the built environment and social attitudes against disabled people, is the main debilitating cause in personal mobility (</w:t>
      </w:r>
      <w:proofErr w:type="spellStart"/>
      <w:r w:rsidRPr="00D81FFB">
        <w:t>Langan</w:t>
      </w:r>
      <w:proofErr w:type="spellEnd"/>
      <w:r w:rsidRPr="00D81FFB">
        <w:t xml:space="preserve"> 2001). Fourth, that the transportation disciplines and lobbies have endorsed and promoted a universal system of auto-mobility that alienates impaired people and discriminates against all who, for financial, physical, temporal, or psychological reasons, cannot access or use automobiles (</w:t>
      </w:r>
      <w:proofErr w:type="spellStart"/>
      <w:r w:rsidRPr="00D81FFB">
        <w:t>Imrie</w:t>
      </w:r>
      <w:proofErr w:type="spellEnd"/>
      <w:r w:rsidRPr="00D81FFB">
        <w:t xml:space="preserve"> 2000; Hine and Mitchell 2001; </w:t>
      </w:r>
      <w:proofErr w:type="spellStart"/>
      <w:r w:rsidRPr="00D81FFB">
        <w:t>Langan</w:t>
      </w:r>
      <w:proofErr w:type="spellEnd"/>
      <w:r w:rsidRPr="00D81FFB">
        <w:t xml:space="preserve"> 2001). The literature on mobility and exclusion research identifies several forms of social exclusion (i.e., physical, geographical, from facilities) resulting from the organization of transportation and the quality of transit service provision and its relation to the built environment, urban form, and land use patterns (see Table 2). These mobility-limiting factors also include economic, fear-based, and time-based exclusions, which condition people’s immobility and capacity to participate in mainstream society (Cass, Shove, and </w:t>
      </w:r>
      <w:proofErr w:type="spellStart"/>
      <w:r w:rsidRPr="00D81FFB">
        <w:t>Urry</w:t>
      </w:r>
      <w:proofErr w:type="spellEnd"/>
      <w:r w:rsidRPr="00D81FFB">
        <w:t xml:space="preserve"> 2005; Church, Frost, and Sullivan 2000; </w:t>
      </w:r>
      <w:proofErr w:type="spellStart"/>
      <w:r w:rsidRPr="00D81FFB">
        <w:t>Grieco</w:t>
      </w:r>
      <w:proofErr w:type="spellEnd"/>
      <w:r w:rsidRPr="00D81FFB">
        <w:t xml:space="preserve"> 2003; Hine and Mitchell 2001; TCRP 1999).</w:t>
      </w:r>
    </w:p>
    <w:p w:rsidR="00D81FFB" w:rsidRPr="00D81FFB" w:rsidRDefault="00D81FFB" w:rsidP="00D81FFB">
      <w:pPr>
        <w:rPr>
          <w:rFonts w:ascii="Times New Roman" w:hAnsi="Times New Roman" w:cs="Times New Roman"/>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MPO compliance with ADA mandates will continue to decline absent federal funding. Investment now transitions to more inclusive infrastructure</w:t>
      </w:r>
    </w:p>
    <w:p w:rsidR="00D81FFB" w:rsidRPr="00D81FFB" w:rsidRDefault="00D81FFB" w:rsidP="00D81FFB">
      <w:pPr>
        <w:rPr>
          <w:rFonts w:ascii="Times New Roman" w:hAnsi="Times New Roman" w:cs="Times New Roman"/>
        </w:rPr>
      </w:pPr>
      <w:proofErr w:type="spellStart"/>
      <w:r w:rsidRPr="00D81FFB">
        <w:rPr>
          <w:rFonts w:ascii="Times New Roman" w:hAnsi="Times New Roman" w:cs="Times New Roman"/>
        </w:rPr>
        <w:t>Ivonne</w:t>
      </w:r>
      <w:proofErr w:type="spellEnd"/>
      <w:r w:rsidRPr="00D81FFB">
        <w:rPr>
          <w:rFonts w:ascii="Times New Roman" w:hAnsi="Times New Roman" w:cs="Times New Roman"/>
        </w:rPr>
        <w:t xml:space="preserve"> </w:t>
      </w:r>
      <w:proofErr w:type="spellStart"/>
      <w:r w:rsidRPr="00D81FFB">
        <w:rPr>
          <w:rStyle w:val="StyleStyleBold12pt"/>
          <w:rFonts w:ascii="Times New Roman" w:hAnsi="Times New Roman" w:cs="Times New Roman"/>
        </w:rPr>
        <w:t>Audirac</w:t>
      </w:r>
      <w:proofErr w:type="spellEnd"/>
      <w:r w:rsidRPr="00D81FFB">
        <w:rPr>
          <w:rFonts w:ascii="Times New Roman" w:hAnsi="Times New Roman" w:cs="Times New Roman"/>
        </w:rPr>
        <w:t>, Florida State University, 5/16/20</w:t>
      </w:r>
      <w:r w:rsidRPr="00D81FFB">
        <w:rPr>
          <w:rStyle w:val="StyleStyleBold12pt"/>
          <w:rFonts w:ascii="Times New Roman" w:hAnsi="Times New Roman" w:cs="Times New Roman"/>
        </w:rPr>
        <w:t>08</w:t>
      </w:r>
      <w:r w:rsidRPr="00D81FFB">
        <w:rPr>
          <w:rFonts w:ascii="Times New Roman" w:hAnsi="Times New Roman" w:cs="Times New Roman"/>
        </w:rPr>
        <w:t>[“Accessing Transit as Universal Design”, Journal of Planning Literature 2008, Sage Journals, http://jpl.sagepub.com/content/23/1/4.full.pdf+html]MW</w:t>
      </w:r>
    </w:p>
    <w:p w:rsidR="00D81FFB" w:rsidRPr="00D81FFB" w:rsidRDefault="00D81FFB" w:rsidP="00D81FFB">
      <w:r w:rsidRPr="00D81FFB">
        <w:t xml:space="preserve">In an environment of diminishing public funding and transit patronage, to this day, some transit agencies have been slow in complying with ADA requirements. Disabled patrons complain of bus stops not being announced and bus drivers failing to stop for people with disabilities who are waiting to ride the bus (National Council on Disability 2005). Additionally, problems persist concerning maintenance of accessibility equipment (e.g., bus lifts), and ADA complementary </w:t>
      </w:r>
      <w:proofErr w:type="spellStart"/>
      <w:r w:rsidRPr="00D81FFB">
        <w:t>paratransit</w:t>
      </w:r>
      <w:proofErr w:type="spellEnd"/>
      <w:r w:rsidRPr="00D81FFB">
        <w:t xml:space="preserve"> systems are fraught with quality-of-service, reliability, trip-booking, and pick-up problems. Finally, inaccessible streets, sidewalks, bus stops, intersections, and crossings for people with disabilities remain a persistent problem throughout the United States (National Council on Disability 2005). Experience shows, even in European countries with the most advanced and integrated transit systems, that inaccessible pedestrian and transit facilities, vehicle fleets, and information and way-finding devices and services are the most difficult to get right. They also require the most attention from planners and operators, as well as the largest share of operating funds (Ireland National Disability Authority 2004, 16). Furthermore, inaccessible pedestrian and transit facilities are partially the result of poor coordination between local governments and transit agencies. In the United States, metropolitan planning organizations under the </w:t>
      </w:r>
      <w:r w:rsidRPr="00D81FFB">
        <w:lastRenderedPageBreak/>
        <w:t xml:space="preserve">Intermodal Surface Transportation Efficiency Act of 1991 and subsequent reauthorizations are mandated to address these issues in Metropolitan Transportation Plans specifically focused on pedestrian and transit mobility and ADA-mandated accessibility. Yet funding shortages limit the capacity of many transit agencies to adequately meet </w:t>
      </w:r>
      <w:proofErr w:type="gramStart"/>
      <w:r w:rsidRPr="00D81FFB">
        <w:t>these</w:t>
      </w:r>
      <w:proofErr w:type="gramEnd"/>
      <w:r w:rsidRPr="00D81FFB">
        <w:t xml:space="preserve"> mandates.8 Furthermore, the notion that all users benefit from transit that meets the needs of Americans aged 65 and older, whose population is estimated to increase 80% by the year 2025, has encountered both skeptical and optimistic assessments. </w:t>
      </w:r>
      <w:proofErr w:type="spellStart"/>
      <w:r w:rsidRPr="00D81FFB">
        <w:t>Giuliano’s</w:t>
      </w:r>
      <w:proofErr w:type="spellEnd"/>
      <w:r w:rsidRPr="00D81FFB">
        <w:t xml:space="preserve"> (2004, 204) research finds that rather than shifting to transit, older people “prefer automobile travel and compensate for physical limitations by traveling less.” Her research also “suggests caution in considering more transit environments as a mobility strategy for the elderly,” since the transit service will have to be very high quality and mimic the car to effectively attract the elderly to transit (p. 204). Similarly, </w:t>
      </w:r>
      <w:proofErr w:type="spellStart"/>
      <w:r w:rsidRPr="00D81FFB">
        <w:t>Rosenbloom</w:t>
      </w:r>
      <w:proofErr w:type="spellEnd"/>
      <w:r w:rsidRPr="00D81FFB">
        <w:t xml:space="preserve"> (2003) asserts that older Americans prefer to drive and that restructuring transit and development patterns will provide more travel choices but not necessarily cause older drivers to switch to walking and transit for the majority of their trips. On the other hand, Bailey (2004), using data from the 2001 National Household Transportation Survey, finds that in 2001, public transportation trips by older </w:t>
      </w:r>
      <w:proofErr w:type="spellStart"/>
      <w:r w:rsidRPr="00D81FFB">
        <w:t>nondrivers</w:t>
      </w:r>
      <w:proofErr w:type="spellEnd"/>
      <w:r w:rsidRPr="00D81FFB">
        <w:t xml:space="preserve"> totaled an estimated 310 million—with older minority populations more than twice as likely to use transit than their white counterparts. Bailey (2004, 1) also finds that social exclusion through suppressed travel is high among older citizens with “more than 50% of non-drivers age 65 and older— staying home on any given day partially because they lack transportation options.” This confirms that for many older </w:t>
      </w:r>
      <w:proofErr w:type="spellStart"/>
      <w:r w:rsidRPr="00D81FFB">
        <w:t>nondrivers</w:t>
      </w:r>
      <w:proofErr w:type="spellEnd"/>
      <w:r w:rsidRPr="00D81FFB">
        <w:t xml:space="preserve">, public transit is the only alternative to asking for a ride. Bailey recommends substantial increases in funding and investment in the Federal Transit Administration’s Section 5310 Grant: Specialized Transportation Program for the Elderly and Persons with Disabilities. Having carried out focus-group research on travel preferences of driver and </w:t>
      </w:r>
      <w:proofErr w:type="spellStart"/>
      <w:r w:rsidRPr="00D81FFB">
        <w:t>nondriver</w:t>
      </w:r>
      <w:proofErr w:type="spellEnd"/>
      <w:r w:rsidRPr="00D81FFB">
        <w:t xml:space="preserve"> senior citizens, proponents of the new “mobility management” both agree with the above skepticism and concede suppressed travel. They underscore the fact that tomorrow’s older persons are likely to have been car drivers all their lives, having lived in suburban and exurban areas lacking good public transit, and would be likely to demand </w:t>
      </w:r>
      <w:proofErr w:type="spellStart"/>
      <w:r w:rsidRPr="00D81FFB">
        <w:t>highquality</w:t>
      </w:r>
      <w:proofErr w:type="spellEnd"/>
      <w:r w:rsidRPr="00D81FFB">
        <w:t xml:space="preserve"> door-to-door services that can compete with cars. However, concurring also with the need for transit that addresses the immobility of impaired and senior citizens, they emphasize that geographical inaccessibility to jobs and regional services and facilities demands a regional approach beyond the neighborhood and city (</w:t>
      </w:r>
      <w:proofErr w:type="spellStart"/>
      <w:r w:rsidRPr="00D81FFB">
        <w:t>Burkhardt</w:t>
      </w:r>
      <w:proofErr w:type="spellEnd"/>
      <w:r w:rsidRPr="00D81FFB">
        <w:t xml:space="preserve">, </w:t>
      </w:r>
      <w:proofErr w:type="spellStart"/>
      <w:r w:rsidRPr="00D81FFB">
        <w:t>McGavock</w:t>
      </w:r>
      <w:proofErr w:type="spellEnd"/>
      <w:r w:rsidRPr="00D81FFB">
        <w:t>, and Nelson 2002). Metropolitan planning organizations and regional transit authorities are poised to tackle this issue by becoming mobility managers of traditional and nontraditional transit services that expand mobility choices for all (TCRP 1999). This implies “</w:t>
      </w:r>
      <w:proofErr w:type="spellStart"/>
      <w:r w:rsidRPr="00D81FFB">
        <w:t>costeffective</w:t>
      </w:r>
      <w:proofErr w:type="spellEnd"/>
      <w:r w:rsidRPr="00D81FFB">
        <w:t xml:space="preserve"> public transit solutions for low-density areas that can address the travel needs of high-income and high-mobility seniors while at the same time addressing the travel needs of low-income and low-mobility seniors” (</w:t>
      </w:r>
      <w:proofErr w:type="spellStart"/>
      <w:r w:rsidRPr="00D81FFB">
        <w:t>Burkhardt</w:t>
      </w:r>
      <w:proofErr w:type="spellEnd"/>
      <w:r w:rsidRPr="00D81FFB">
        <w:t xml:space="preserve">, </w:t>
      </w:r>
      <w:proofErr w:type="spellStart"/>
      <w:r w:rsidRPr="00D81FFB">
        <w:t>McGavock</w:t>
      </w:r>
      <w:proofErr w:type="spellEnd"/>
      <w:r w:rsidRPr="00D81FFB">
        <w:t xml:space="preserve">, and Nelson 2002, 44). Lack of funding and reluctance to change transit to fit users’ needs (rather than the current practice of fitting users to transit) are major roadblocks for which multiple studies and research, commissioned by the TCRP, offer guidance for addressing and overcoming (TCRP 1997, 2000). Although a review of this research is outside the purview of this article, it would suffice to say that TCRP literature converges on a paradigm shift along the line described here as UD of transit.9 Time will tell whether cities, transit authorities, and the Federal Transit Administration will fully embrace the paradigm. However, some progress in this direction has started to occur. In the United States, a few transit agencies have restructured their service model from fixed-route models focused on downtown to a family of services combining fixed and rider-request routes designed to serve both downtown and suburban demand. Fort Worth’s Transportation Authority made such a shift, ostensibly supported by constant user feedback and service assessment. Also, nonprofit service organizations, such as the Independent Transportation Network in Portland, Maine, are starting to offer a variety of demand-responsive services to older citizens on a 7-day, 24-hour basis. The Independent Transportation Network uses a combination of paid and volunteer drivers and a variety of payment </w:t>
      </w:r>
      <w:r w:rsidRPr="00D81FFB">
        <w:lastRenderedPageBreak/>
        <w:t>innovations, including “gift-ride programs,” “trip-cost sharing” with merchants and professional offices visited by riders, “frequent-rider miles,” and a “road scholarship fund” for low-income users who cannot afford to pay full fare (</w:t>
      </w:r>
      <w:proofErr w:type="spellStart"/>
      <w:r w:rsidRPr="00D81FFB">
        <w:t>Burkhardt</w:t>
      </w:r>
      <w:proofErr w:type="spellEnd"/>
      <w:r w:rsidRPr="00D81FFB">
        <w:t xml:space="preserve">, </w:t>
      </w:r>
      <w:proofErr w:type="spellStart"/>
      <w:r w:rsidRPr="00D81FFB">
        <w:t>McGavock</w:t>
      </w:r>
      <w:proofErr w:type="spellEnd"/>
      <w:r w:rsidRPr="00D81FFB">
        <w:t>, and Nelson 2002). These examples are being emulated in different parts of the country and prove that a wider range of geographical accessibility and social inclusion can be achieved through transit designed for all. However, strapped for funding, transit agencies in the United States have been slow to embrace these and other UD innovations, perceived as “interesting” but beyond ADA’s legal mandate.</w:t>
      </w:r>
    </w:p>
    <w:p w:rsidR="00D81FFB" w:rsidRPr="00D81FFB" w:rsidRDefault="00D81FFB" w:rsidP="00D81FFB">
      <w:pPr>
        <w:rPr>
          <w:rStyle w:val="StyleBoldUnderline"/>
          <w:rFonts w:ascii="Times New Roman" w:hAnsi="Times New Roman" w:cs="Times New Roman"/>
          <w:u w:val="none"/>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 xml:space="preserve">Federal funding is inevitable, but redirection to universal design overcome STATE failure - they co-opt funding </w:t>
      </w:r>
    </w:p>
    <w:p w:rsidR="00D81FFB" w:rsidRPr="00D81FFB" w:rsidRDefault="00D81FFB" w:rsidP="00D81FFB">
      <w:pPr>
        <w:rPr>
          <w:rFonts w:ascii="Times New Roman" w:hAnsi="Times New Roman" w:cs="Times New Roman"/>
        </w:rPr>
      </w:pPr>
      <w:r w:rsidRPr="00D81FFB">
        <w:rPr>
          <w:rFonts w:ascii="Times New Roman" w:hAnsi="Times New Roman" w:cs="Times New Roman"/>
        </w:rPr>
        <w:t xml:space="preserve">Benjamin K. </w:t>
      </w:r>
      <w:r w:rsidRPr="00D81FFB">
        <w:rPr>
          <w:rStyle w:val="StyleStyleBold12pt"/>
          <w:rFonts w:ascii="Times New Roman" w:hAnsi="Times New Roman" w:cs="Times New Roman"/>
        </w:rPr>
        <w:t>Olson</w:t>
      </w:r>
      <w:r w:rsidRPr="00D81FFB">
        <w:rPr>
          <w:rFonts w:ascii="Times New Roman" w:hAnsi="Times New Roman" w:cs="Times New Roman"/>
        </w:rPr>
        <w:t>, Counsel in the Regulations Branch in the Board of Governors of the Federal Reserve System's Division of Consumer and Community Affair and Managing Counsel in the Office of Regulations at the Consumer Financial Protection Bureau </w:t>
      </w:r>
      <w:r w:rsidRPr="00D81FFB">
        <w:rPr>
          <w:rStyle w:val="lucenesearchresulturlb"/>
          <w:rFonts w:ascii="Times New Roman" w:hAnsi="Times New Roman" w:cs="Times New Roman"/>
          <w:color w:val="000000"/>
          <w:sz w:val="21"/>
          <w:szCs w:val="21"/>
        </w:rPr>
        <w:t xml:space="preserve"> </w:t>
      </w:r>
      <w:r w:rsidRPr="00D81FFB">
        <w:rPr>
          <w:rFonts w:ascii="Times New Roman" w:hAnsi="Times New Roman" w:cs="Times New Roman"/>
        </w:rPr>
        <w:t>20</w:t>
      </w:r>
      <w:r w:rsidRPr="00D81FFB">
        <w:rPr>
          <w:rStyle w:val="StyleStyleBold12pt"/>
          <w:rFonts w:ascii="Times New Roman" w:hAnsi="Times New Roman" w:cs="Times New Roman"/>
        </w:rPr>
        <w:t>01</w:t>
      </w:r>
      <w:r w:rsidRPr="00D81FFB">
        <w:rPr>
          <w:rStyle w:val="lucenesearchresulturlb"/>
          <w:rFonts w:ascii="Times New Roman" w:hAnsi="Times New Roman" w:cs="Times New Roman"/>
          <w:color w:val="000000"/>
          <w:sz w:val="21"/>
          <w:szCs w:val="21"/>
        </w:rPr>
        <w:t>[“</w:t>
      </w:r>
      <w:hyperlink r:id="rId9" w:history="1">
        <w:r w:rsidRPr="00D81FFB">
          <w:rPr>
            <w:rStyle w:val="Hyperlink"/>
            <w:rFonts w:ascii="Times New Roman" w:hAnsi="Times New Roman" w:cs="Times New Roman"/>
          </w:rPr>
          <w:t xml:space="preserve">Transportation Equity Act for the 21st Century: The </w:t>
        </w:r>
        <w:proofErr w:type="spellStart"/>
        <w:r w:rsidRPr="00D81FFB">
          <w:rPr>
            <w:rStyle w:val="Hyperlink"/>
            <w:rFonts w:ascii="Times New Roman" w:hAnsi="Times New Roman" w:cs="Times New Roman"/>
          </w:rPr>
          <w:t>Faulure</w:t>
        </w:r>
        <w:proofErr w:type="spellEnd"/>
        <w:r w:rsidRPr="00D81FFB">
          <w:rPr>
            <w:rStyle w:val="Hyperlink"/>
            <w:rFonts w:ascii="Times New Roman" w:hAnsi="Times New Roman" w:cs="Times New Roman"/>
          </w:rPr>
          <w:t xml:space="preserve"> of Metropolitan Planning Organizations to Reform Federal Transportation Policy in Metropolitan Areas”,</w:t>
        </w:r>
      </w:hyperlink>
      <w:r w:rsidRPr="00D81FFB">
        <w:rPr>
          <w:rFonts w:ascii="Times New Roman" w:hAnsi="Times New Roman" w:cs="Times New Roman"/>
        </w:rPr>
        <w:t xml:space="preserve"> Transportation Law Journal, Vol. 28, Issue 1 (2000), pp. 147-184,</w:t>
      </w:r>
    </w:p>
    <w:p w:rsidR="00D81FFB" w:rsidRPr="00D81FFB" w:rsidRDefault="00D81FFB" w:rsidP="00D81FFB">
      <w:pPr>
        <w:rPr>
          <w:rFonts w:ascii="Times New Roman" w:hAnsi="Times New Roman" w:cs="Times New Roman"/>
        </w:rPr>
      </w:pPr>
      <w:hyperlink r:id="rId10" w:history="1">
        <w:r w:rsidRPr="00D81FFB">
          <w:rPr>
            <w:rStyle w:val="Hyperlink"/>
            <w:rFonts w:ascii="Times New Roman" w:hAnsi="Times New Roman" w:cs="Times New Roman"/>
          </w:rPr>
          <w:t>http://heinonline.org/HOL/Page?handle=hein.journals/tportl28&amp;id=184&amp;type=text&amp;collection=journals</w:t>
        </w:r>
      </w:hyperlink>
      <w:proofErr w:type="gramStart"/>
      <w:r w:rsidRPr="00D81FFB">
        <w:rPr>
          <w:rFonts w:ascii="Times New Roman" w:hAnsi="Times New Roman" w:cs="Times New Roman"/>
        </w:rPr>
        <w:t>]MW</w:t>
      </w:r>
      <w:proofErr w:type="gramEnd"/>
    </w:p>
    <w:p w:rsidR="00D81FFB" w:rsidRPr="00D81FFB" w:rsidRDefault="00D81FFB" w:rsidP="00D81FFB">
      <w:r w:rsidRPr="00D81FFB">
        <w:t xml:space="preserve">As one commentator has observed, the burden placed on MPOs by ISTEA and TEA-21 has stretched them "almost to the breaking point. Most MPOs now have responsibilities that far exceed their authority.'126 This paper argues that, because ISTEA and TEA-21 charge MPOs with working radical change in a system of established interests and patterns without granting them the power or independence to effect meaningful reform, metropolitan transportation decisions continue to be made at the state level and transportation funds for metropolitan areas continue to be spent disproportionately on road-building for outer-ring suburban com munities.127 Although ISTEA and TEA-21 have created a more </w:t>
      </w:r>
      <w:proofErr w:type="spellStart"/>
      <w:r w:rsidRPr="00D81FFB">
        <w:t>compre</w:t>
      </w:r>
      <w:proofErr w:type="spellEnd"/>
      <w:r w:rsidRPr="00D81FFB">
        <w:t xml:space="preserve"> </w:t>
      </w:r>
      <w:proofErr w:type="spellStart"/>
      <w:r w:rsidRPr="00D81FFB">
        <w:t>hensive</w:t>
      </w:r>
      <w:proofErr w:type="spellEnd"/>
      <w:r w:rsidRPr="00D81FFB">
        <w:t xml:space="preserve">, planned process for making transportation decisions in metropolitan areas, this paper argues that they have failed to alter the fundamental aspects of the decision-making and funding processes, thereby ensuring that substantive outcomes will remain the same. Pre-ISTEA, the combination of sprawled development requiring high levels of road-building and a federal transportation policy that focused on responding to increases in vehicular demand created a preference for road-building in metropolitan transportation planning.128 ISTEA sought to reform this system by placing planning in the hands of MPOs and requiring that they create long-term plans that consider the social and environmental impact of proposed transportation systems.129 However, MPOs have been unsuccessful in reforming transportation planning and federal funds continue to be used on new road-building </w:t>
      </w:r>
      <w:proofErr w:type="spellStart"/>
      <w:r w:rsidRPr="00D81FFB">
        <w:t>rojects</w:t>
      </w:r>
      <w:proofErr w:type="spellEnd"/>
      <w:r w:rsidRPr="00D81FFB">
        <w:t xml:space="preserve"> to satisfy the demands of outer-ring suburban communities.130 This paper will argue that this failure has occurred because MPOs lack institutional independence to resist state and local preferences for road building, because the planning requirements under TEA-21 are insufficient to counterbalance the weakness of MPOs, and because the federal agencies responsible for overseeing MPOs have been lax in enforcing these planning requirements when MPOs are not in compliance. This paper proposes that, in order to truly implement transportation planning reform in metropolitan areas, the federal government will have to play a more active role in the planning process. Because efforts to increase the independence of MPOs </w:t>
      </w:r>
      <w:proofErr w:type="spellStart"/>
      <w:r w:rsidRPr="00D81FFB">
        <w:t>vis</w:t>
      </w:r>
      <w:proofErr w:type="spellEnd"/>
      <w:r w:rsidRPr="00D81FFB">
        <w:t>-a-</w:t>
      </w:r>
      <w:proofErr w:type="spellStart"/>
      <w:r w:rsidRPr="00D81FFB">
        <w:t>vis</w:t>
      </w:r>
      <w:proofErr w:type="spellEnd"/>
      <w:r w:rsidRPr="00D81FFB">
        <w:t xml:space="preserve"> state governments will not ensure reform if federal planning requirements and oversight are not strengthened, TEA-21 must be amended to make application - rather than mere consideration - of the planning requirements mandatory, and the FHWA and FTA must take a more aggressive role in ensuring that federal transportation planning mandates are observed by MPOs. Precise determinations of where federal transportation funds are going are difficult to make for a number of reasons: the complexity of IS TEA and TEA-21,131 the number of projects funded under those acts,132 the variance between the funds authorized by the acts </w:t>
      </w:r>
      <w:r w:rsidRPr="00D81FFB">
        <w:lastRenderedPageBreak/>
        <w:t xml:space="preserve">and those actually appropriated by Congress and then obligated to specific projects at the state level,133 and, most importantly, the general refusal of federal and state transportation agencies to make relevant information available.134 Consequently, there is some disagreement over the success of ISTEA and TEA-21 in reducing automobile dependency and road-building.135 However, even assuming that ISTEA and TEA-21 funds have found their way to a significant number of alternative transportation programs, studies have nevertheless determined that states continue to subvert the intent of federal transportation policy reform by directing federal transportation dollars towards road-building projects that encourage "sprawl" develop </w:t>
      </w:r>
      <w:proofErr w:type="spellStart"/>
      <w:r w:rsidRPr="00D81FFB">
        <w:t>ment</w:t>
      </w:r>
      <w:proofErr w:type="spellEnd"/>
      <w:r w:rsidRPr="00D81FFB">
        <w:t xml:space="preserve"> in relatively unpopulated spaces within the metropolitan area and increase automobile traffic and environmental pollution.136 MPOs and state governments have continued to frustrate the intent of ISTEA and TEA-21 in three ways. First, a substantially smaller per </w:t>
      </w:r>
      <w:proofErr w:type="spellStart"/>
      <w:r w:rsidRPr="00D81FFB">
        <w:t>centage</w:t>
      </w:r>
      <w:proofErr w:type="spellEnd"/>
      <w:r w:rsidRPr="00D81FFB">
        <w:t xml:space="preserve"> of federal transportation funds continues to be spent on urbanized areas than the percentage of the population those areas represent.137 By directing transportation funds towards the least populated portions of the metropolitan area, MPOs and state governments encourage development of those areas rather than addressing the transportation needs of the more densely populated inner-cities and the developed suburban areas.138 This practice goes against ISTEA and TEA-21's purpose of making transportation decisions that addressed the needs of existing communities rather than encouraging development of new areas.139 Second, MPOs and state governments have continued to favor the funding of large road-building projects on the fringes of metropolitan </w:t>
      </w:r>
      <w:proofErr w:type="spellStart"/>
      <w:r w:rsidRPr="00D81FFB">
        <w:t>ar</w:t>
      </w:r>
      <w:proofErr w:type="spellEnd"/>
      <w:r w:rsidRPr="00D81FFB">
        <w:t xml:space="preserve"> eas.140 By building roads in relatively undeveloped portions of the met </w:t>
      </w:r>
      <w:proofErr w:type="spellStart"/>
      <w:r w:rsidRPr="00D81FFB">
        <w:t>ropolitan</w:t>
      </w:r>
      <w:proofErr w:type="spellEnd"/>
      <w:r w:rsidRPr="00D81FFB">
        <w:t xml:space="preserve"> areas, MPOs and state governments are using federal funds to encourage "sprawled" development patterns.14' Because "sprawl" development requires automobile-based transportation systems to accommodate its inefficient use of land, the construction of new roads in undeveloped areas facilitates inefficient land use patterns in metropolitan areas,142 a practice which ISTEA and TEA-21 sought to discourage.143 Third, states have continued to withhold funds from programs targeted to urbanized areas. Under ISTEA and TEA-21, the Surface Transportation Program (STP) was specifically designed to provide federal funds for metropolitan areas.144 However, state governments have severely </w:t>
      </w:r>
      <w:proofErr w:type="spellStart"/>
      <w:r w:rsidRPr="00D81FFB">
        <w:t>underspent</w:t>
      </w:r>
      <w:proofErr w:type="spellEnd"/>
      <w:r w:rsidRPr="00D81FFB">
        <w:t xml:space="preserve"> the funds provided under STP in relation to spending rates of other funds.145 While state governments have been spending an average of 96 percent of the funds provided under other federal transportation programs, many states are spending STP funds at rates less than 70 percent.146 The impact of state </w:t>
      </w:r>
      <w:proofErr w:type="spellStart"/>
      <w:r w:rsidRPr="00D81FFB">
        <w:t>underspending</w:t>
      </w:r>
      <w:proofErr w:type="spellEnd"/>
      <w:r w:rsidRPr="00D81FFB">
        <w:t xml:space="preserve"> of STP funds on </w:t>
      </w:r>
      <w:proofErr w:type="spellStart"/>
      <w:r w:rsidRPr="00D81FFB">
        <w:t>nonvehicular</w:t>
      </w:r>
      <w:proofErr w:type="spellEnd"/>
      <w:r w:rsidRPr="00D81FFB">
        <w:t xml:space="preserve"> forms of transportation in metropolitan areas is exacerbated by dramatic cuts in direct federal transit assistance since 1994.147 Because metropolitan areas relied heavily on these funds, the result has been an overall reduction in federal funding of mass transit systems.148 Thus, state governments have undermined ISTEA and TEA-21's purpose of promoting mass transit as an alternative to vehicular transportation by refusing to spend the funds appropriated by Congress for that purpose. </w:t>
      </w:r>
    </w:p>
    <w:p w:rsidR="00D81FFB" w:rsidRPr="00D81FFB" w:rsidRDefault="00D81FFB" w:rsidP="00D81FFB">
      <w:pPr>
        <w:rPr>
          <w:rFonts w:ascii="Times New Roman" w:hAnsi="Times New Roman" w:cs="Times New Roman"/>
        </w:rPr>
      </w:pPr>
    </w:p>
    <w:p w:rsidR="00D81FFB" w:rsidRPr="00D81FFB" w:rsidRDefault="00D81FFB" w:rsidP="00D81FFB">
      <w:pPr>
        <w:pStyle w:val="Heading3"/>
        <w:jc w:val="left"/>
        <w:rPr>
          <w:rFonts w:ascii="Times New Roman" w:hAnsi="Times New Roman" w:cs="Times New Roman"/>
          <w:u w:val="none"/>
        </w:rPr>
      </w:pPr>
      <w:r w:rsidRPr="00D81FFB">
        <w:rPr>
          <w:rFonts w:ascii="Times New Roman" w:hAnsi="Times New Roman" w:cs="Times New Roman"/>
          <w:u w:val="none"/>
        </w:rPr>
        <w:lastRenderedPageBreak/>
        <w:t>Contention Two is Exclusion</w:t>
      </w: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The creation of the mobile body in transportation planning constructs disability as societal burden in need of eradication perpetuating exclusion.</w:t>
      </w:r>
    </w:p>
    <w:p w:rsidR="00D81FFB" w:rsidRPr="00D81FFB" w:rsidRDefault="00D81FFB" w:rsidP="00D81FFB">
      <w:pPr>
        <w:rPr>
          <w:rFonts w:ascii="Times New Roman" w:hAnsi="Times New Roman" w:cs="Times New Roman"/>
        </w:rPr>
      </w:pPr>
      <w:r w:rsidRPr="00D81FFB">
        <w:rPr>
          <w:rFonts w:ascii="Times New Roman" w:hAnsi="Times New Roman" w:cs="Times New Roman"/>
        </w:rPr>
        <w:t>Rob</w:t>
      </w:r>
      <w:r w:rsidRPr="00D81FFB">
        <w:rPr>
          <w:rStyle w:val="StyleStyleBold12pt"/>
          <w:rFonts w:ascii="Times New Roman" w:hAnsi="Times New Roman" w:cs="Times New Roman"/>
        </w:rPr>
        <w:t xml:space="preserve"> </w:t>
      </w:r>
      <w:proofErr w:type="spellStart"/>
      <w:r w:rsidRPr="00D81FFB">
        <w:rPr>
          <w:rStyle w:val="StyleStyleBold12pt"/>
          <w:rFonts w:ascii="Times New Roman" w:hAnsi="Times New Roman" w:cs="Times New Roman"/>
        </w:rPr>
        <w:t>Imrie</w:t>
      </w:r>
      <w:proofErr w:type="spellEnd"/>
      <w:r w:rsidRPr="00D81FFB">
        <w:rPr>
          <w:rFonts w:ascii="Times New Roman" w:hAnsi="Times New Roman" w:cs="Times New Roman"/>
        </w:rPr>
        <w:t xml:space="preserve"> Department of Geography, Royal Holloway, University of London </w:t>
      </w:r>
      <w:proofErr w:type="gramStart"/>
      <w:r w:rsidRPr="00D81FFB">
        <w:rPr>
          <w:rStyle w:val="StyleStyleBold12pt"/>
          <w:rFonts w:ascii="Times New Roman" w:hAnsi="Times New Roman" w:cs="Times New Roman"/>
        </w:rPr>
        <w:t>2k</w:t>
      </w:r>
      <w:r w:rsidRPr="00D81FFB">
        <w:rPr>
          <w:rFonts w:ascii="Times New Roman" w:hAnsi="Times New Roman" w:cs="Times New Roman"/>
        </w:rPr>
        <w:t>[</w:t>
      </w:r>
      <w:proofErr w:type="gramEnd"/>
      <w:r w:rsidRPr="00D81FFB">
        <w:rPr>
          <w:rFonts w:ascii="Times New Roman" w:hAnsi="Times New Roman" w:cs="Times New Roman"/>
        </w:rPr>
        <w:t>Disability and discourses of mobility and movement Environment and Planning volume 32 http://www.environmentandplanning.com/epa/fulltext/a32/a331.pdf]</w:t>
      </w:r>
    </w:p>
    <w:p w:rsidR="00D81FFB" w:rsidRPr="00D81FFB" w:rsidRDefault="00D81FFB" w:rsidP="00D81FFB">
      <w:r w:rsidRPr="00D81FFB">
        <w:t xml:space="preserve">Barnes et al (1999, page 121), for instance, note that UK households with a disabled person are half as likely as those without to own a car (also, see OPCS, 1993). In addition, most cars are designed for </w:t>
      </w:r>
      <w:proofErr w:type="spellStart"/>
      <w:r w:rsidRPr="00D81FFB">
        <w:t>standardised</w:t>
      </w:r>
      <w:proofErr w:type="spellEnd"/>
      <w:r w:rsidRPr="00D81FFB">
        <w:t xml:space="preserve"> bodies and few mobility-impaired or ambulant impaired disabled people are able to get into one. Specially adapted cars are expensive, and insurers regard disabled people as a risk and charge high motor insurance pre </w:t>
      </w:r>
      <w:proofErr w:type="spellStart"/>
      <w:r w:rsidRPr="00D81FFB">
        <w:t>miums</w:t>
      </w:r>
      <w:proofErr w:type="spellEnd"/>
      <w:r w:rsidRPr="00D81FFB">
        <w:t xml:space="preserve">. These experiences are connected to the domination of medical discourses which are infused with conceptions of the incapacitated and immobile body, or the body which is malfunctioning due to a loss of functional capacity. Disabled people are portrayed as less than whole and as a population requiring particular forms of regulation, discipline, and control by state </w:t>
      </w:r>
      <w:proofErr w:type="spellStart"/>
      <w:r w:rsidRPr="00D81FFB">
        <w:t>programmes</w:t>
      </w:r>
      <w:proofErr w:type="spellEnd"/>
      <w:r w:rsidRPr="00D81FFB">
        <w:t xml:space="preserve"> and policies. Indeed, Levi-Strauss (1955) refers to modern societies as </w:t>
      </w:r>
      <w:proofErr w:type="spellStart"/>
      <w:r w:rsidRPr="00D81FFB">
        <w:t>anthropoemic</w:t>
      </w:r>
      <w:proofErr w:type="spellEnd"/>
      <w:r w:rsidRPr="00D81FFB">
        <w:t xml:space="preserve"> or, as Young (1999, page 56) defines it, societies that ``vomit out deviants, keeping them outside of society or enclosing them in special institutions''.</w:t>
      </w:r>
    </w:p>
    <w:p w:rsidR="00D81FFB" w:rsidRPr="00D81FFB" w:rsidRDefault="00D81FFB" w:rsidP="00D81FFB">
      <w:r w:rsidRPr="00D81FFB">
        <w:t xml:space="preserve">Such discourses see disability as a social burden which is a private, not public, responsibility. The impairment is the focus of concern, and biological intervention and care are seen as the appropriate responses. The problem of immobility is seen as personal and specific to the impairment; that it is this that needs to be eradicated, rather than transformations in </w:t>
      </w:r>
      <w:proofErr w:type="spellStart"/>
      <w:r w:rsidRPr="00D81FFB">
        <w:t>sociocultural</w:t>
      </w:r>
      <w:proofErr w:type="spellEnd"/>
      <w:r w:rsidRPr="00D81FFB">
        <w:t xml:space="preserve"> attitudes and practices, if mobility is to be restored. In particular, political and policy assumptions about mobility and movement are premised on a universal, disembodied subject which is conceived of as neutered, that is without sex, gender, or any other attributed social or biological characteristic (see Hall, 1996; </w:t>
      </w:r>
      <w:proofErr w:type="spellStart"/>
      <w:r w:rsidRPr="00D81FFB">
        <w:t>Imrie</w:t>
      </w:r>
      <w:proofErr w:type="spellEnd"/>
      <w:r w:rsidRPr="00D81FFB">
        <w:t xml:space="preserve">, 1994; Law, 1999; </w:t>
      </w:r>
      <w:proofErr w:type="spellStart"/>
      <w:r w:rsidRPr="00D81FFB">
        <w:t>Whitelegg</w:t>
      </w:r>
      <w:proofErr w:type="spellEnd"/>
      <w:r w:rsidRPr="00D81FFB">
        <w:t xml:space="preserve">, 1997). The hegemony of what one might term the mobile body is </w:t>
      </w:r>
      <w:proofErr w:type="spellStart"/>
      <w:r w:rsidRPr="00D81FFB">
        <w:t>decontextualised</w:t>
      </w:r>
      <w:proofErr w:type="spellEnd"/>
      <w:r w:rsidRPr="00D81FFB">
        <w:t xml:space="preserve"> from the messy world of multiple and </w:t>
      </w:r>
      <w:proofErr w:type="spellStart"/>
      <w:r w:rsidRPr="00D81FFB">
        <w:t>everchanging</w:t>
      </w:r>
      <w:proofErr w:type="spellEnd"/>
      <w:r w:rsidRPr="00D81FFB">
        <w:t xml:space="preserve"> embodiments; where there is little or no recognition of bodily differences or capabilities. The mobile body, then, is conceived of in terms of independence of movement and bodily functions; </w:t>
      </w:r>
      <w:proofErr w:type="gramStart"/>
      <w:r w:rsidRPr="00D81FFB">
        <w:t>a body</w:t>
      </w:r>
      <w:proofErr w:type="gramEnd"/>
      <w:r w:rsidRPr="00D81FFB">
        <w:t xml:space="preserve"> without physical and mental impairments.¶ The hegemony of the mobile body is also reinforced by professional discourses which seek to measure, </w:t>
      </w:r>
      <w:proofErr w:type="spellStart"/>
      <w:r w:rsidRPr="00D81FFB">
        <w:t>characterise</w:t>
      </w:r>
      <w:proofErr w:type="spellEnd"/>
      <w:r w:rsidRPr="00D81FFB">
        <w:t xml:space="preserve">, and understand disability through the movement and mobility of disabled people's body parts. Such conceptions see disabled people as neither sick nor well but in a </w:t>
      </w:r>
      <w:proofErr w:type="spellStart"/>
      <w:r w:rsidRPr="00D81FFB">
        <w:t>liminal</w:t>
      </w:r>
      <w:proofErr w:type="spellEnd"/>
      <w:r w:rsidRPr="00D81FFB">
        <w:t xml:space="preserve"> state which is </w:t>
      </w:r>
      <w:proofErr w:type="spellStart"/>
      <w:r w:rsidRPr="00D81FFB">
        <w:t>characterised</w:t>
      </w:r>
      <w:proofErr w:type="spellEnd"/>
      <w:r w:rsidRPr="00D81FFB">
        <w:t xml:space="preserve"> by a (potential) movement from one bodily state to another (also, see Ellis, 2000; </w:t>
      </w:r>
      <w:proofErr w:type="spellStart"/>
      <w:r w:rsidRPr="00D81FFB">
        <w:t>Leder</w:t>
      </w:r>
      <w:proofErr w:type="spellEnd"/>
      <w:r w:rsidRPr="00D81FFB">
        <w:t xml:space="preserve">, 1990; Paterson and Hughes, 1999). The underlying objective is the disciplining of the deviant or impaired body through the restoration of movement in body parts to facilitate independence of mobility (and the restoration of the `whole person'). For Ellis (2000), such (welfare) discourses </w:t>
      </w:r>
      <w:proofErr w:type="spellStart"/>
      <w:r w:rsidRPr="00D81FFB">
        <w:t>emphasise</w:t>
      </w:r>
      <w:proofErr w:type="spellEnd"/>
      <w:r w:rsidRPr="00D81FFB">
        <w:t xml:space="preserve"> the importance of individuals attaining an `independent body', or a body which revolves around self management, personal responsibility, and the projection of desirable bodily characteristics. As Ellis (2000, page 17) suggests, it is a carnality which propagates the </w:t>
      </w:r>
      <w:proofErr w:type="spellStart"/>
      <w:r w:rsidRPr="00D81FFB">
        <w:t>aestheticisation</w:t>
      </w:r>
      <w:proofErr w:type="spellEnd"/>
      <w:r w:rsidRPr="00D81FFB">
        <w:t xml:space="preserve"> of the body while seeking to exclude those (impaired) bodies which are, so some claim, a source of anxiety in contemporary culture (see, for instance, Lupton, 1994</w:t>
      </w:r>
      <w:proofErr w:type="gramStart"/>
      <w:r w:rsidRPr="00D81FFB">
        <w:t>)¶</w:t>
      </w:r>
      <w:proofErr w:type="gramEnd"/>
      <w:r w:rsidRPr="00D81FFB">
        <w:t xml:space="preserve"> Indeed, as Paterson and Hughes (1999, page 604) argue, ``the information that animates the world is dominated by non disabled bodies, by a specific hegemonic form of carnality which excludes as it constructs''. These send out specific signals or codes which favour the corporeal status of </w:t>
      </w:r>
      <w:proofErr w:type="spellStart"/>
      <w:r w:rsidRPr="00D81FFB">
        <w:t>nonimpaired</w:t>
      </w:r>
      <w:proofErr w:type="spellEnd"/>
      <w:r w:rsidRPr="00D81FFB">
        <w:t xml:space="preserve"> people, or at least do little to facilitate the independent ease of movement of people with physical and mental impairments. (5) This, for Paterson and Hughes (1999, page 606), is indicative of ``a subtle interplay of micro and macro relations of power'', where specific design features, for example, </w:t>
      </w:r>
      <w:proofErr w:type="spellStart"/>
      <w:r w:rsidRPr="00D81FFB">
        <w:t>prioritise</w:t>
      </w:r>
      <w:proofErr w:type="spellEnd"/>
      <w:r w:rsidRPr="00D81FFB">
        <w:t xml:space="preserve"> forms of movement based on the bodily needs of the neutered body (which is </w:t>
      </w:r>
      <w:r w:rsidRPr="00D81FFB">
        <w:lastRenderedPageBreak/>
        <w:t xml:space="preserve">devoid of physical and mental impairments). In this sense, </w:t>
      </w:r>
      <w:proofErr w:type="spellStart"/>
      <w:r w:rsidRPr="00D81FFB">
        <w:t>intercorporeal</w:t>
      </w:r>
      <w:proofErr w:type="spellEnd"/>
      <w:r w:rsidRPr="00D81FFB">
        <w:t xml:space="preserve"> encounters between the hegemonic world of the mobile body and disabled people tend to reinforce the former's sense of presence and the latter's sense of absence, in other words a recognition of disabled people being there but being unable to interact with the social or physical structures which surround them. It is, in </w:t>
      </w:r>
      <w:proofErr w:type="spellStart"/>
      <w:r w:rsidRPr="00D81FFB">
        <w:t>Leder's</w:t>
      </w:r>
      <w:proofErr w:type="spellEnd"/>
      <w:r w:rsidRPr="00D81FFB">
        <w:t xml:space="preserve"> (1990) terms, a projection of the absent body or bodies which ``</w:t>
      </w:r>
      <w:proofErr w:type="spellStart"/>
      <w:r w:rsidRPr="00D81FFB">
        <w:t>dys</w:t>
      </w:r>
      <w:proofErr w:type="spellEnd"/>
      <w:r w:rsidRPr="00D81FFB">
        <w:t>-appear'' when confronted with the embodied norms of everyday life [see Paterson and Hughes (1999) for an amplification of these points].</w:t>
      </w:r>
    </w:p>
    <w:p w:rsidR="00D81FFB" w:rsidRPr="00D81FFB" w:rsidRDefault="00D81FFB" w:rsidP="00D81FFB">
      <w:r w:rsidRPr="00D81FFB">
        <w:t xml:space="preserve">The </w:t>
      </w:r>
      <w:proofErr w:type="spellStart"/>
      <w:r w:rsidRPr="00D81FFB">
        <w:t>dys</w:t>
      </w:r>
      <w:proofErr w:type="spellEnd"/>
      <w:r w:rsidRPr="00D81FFB">
        <w:t xml:space="preserve">-appearance of disabled people's bodies is not unconnected to the work of transportation planners and operators who, as </w:t>
      </w:r>
      <w:proofErr w:type="spellStart"/>
      <w:r w:rsidRPr="00D81FFB">
        <w:t>Whitelegg</w:t>
      </w:r>
      <w:proofErr w:type="spellEnd"/>
      <w:r w:rsidRPr="00D81FFB">
        <w:t xml:space="preserve"> (1997, page 14) notes, make ``decisions about what kinds of travel are important and which journey purposes and destinations are to be </w:t>
      </w:r>
      <w:proofErr w:type="spellStart"/>
      <w:r w:rsidRPr="00D81FFB">
        <w:t>favoured</w:t>
      </w:r>
      <w:proofErr w:type="spellEnd"/>
      <w:r w:rsidRPr="00D81FFB">
        <w:t xml:space="preserve">''. In particular, the impaired body is largely invisible in transportation planning and policy or, as Law (1999, page 566) notes, ``bodies appear in conventional transportation models as discrete entities with independent trajectories''. As </w:t>
      </w:r>
      <w:proofErr w:type="spellStart"/>
      <w:r w:rsidRPr="00D81FFB">
        <w:t>Whitelegg</w:t>
      </w:r>
      <w:proofErr w:type="spellEnd"/>
      <w:r w:rsidRPr="00D81FFB">
        <w:t xml:space="preserve"> (1997) suggests, this leads to the provision of transportation infrastructure which tends to </w:t>
      </w:r>
      <w:proofErr w:type="spellStart"/>
      <w:r w:rsidRPr="00D81FFB">
        <w:t>prioritise</w:t>
      </w:r>
      <w:proofErr w:type="spellEnd"/>
      <w:r w:rsidRPr="00D81FFB">
        <w:t xml:space="preserve"> the movement and mobility of ``productive bodies'' between a limited range of destinations (also, see Marshall, 1999). Thus, mobility policies largely revolve around the provision of commuter networks between home and the workplace, seeking to facilitate movement which is limited to specific social, geographical, and temporal ranges. (6) The effect is, as Huxley (1997, page 2) observes, one of reducing mobility to ``predictable, purposeful trips, origins and destinations'' rather than seeking to conceive of mobility as ``a messy, unpredictable, diverse and changeable reality''.</w:t>
      </w:r>
    </w:p>
    <w:p w:rsidR="00D81FFB" w:rsidRPr="00D81FFB" w:rsidRDefault="00D81FFB" w:rsidP="00D81FFB">
      <w:pPr>
        <w:rPr>
          <w:rStyle w:val="StyleBoldUnderline"/>
          <w:rFonts w:ascii="Times New Roman" w:hAnsi="Times New Roman" w:cs="Times New Roman"/>
          <w:u w:val="none"/>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 xml:space="preserve">Medical understanding of disability naturalizes real and symbolic violence. </w:t>
      </w:r>
    </w:p>
    <w:p w:rsidR="00D81FFB" w:rsidRPr="00D81FFB" w:rsidRDefault="00D81FFB" w:rsidP="00D81FFB">
      <w:pPr>
        <w:rPr>
          <w:rFonts w:ascii="Times New Roman" w:hAnsi="Times New Roman" w:cs="Times New Roman"/>
        </w:rPr>
      </w:pPr>
      <w:r w:rsidRPr="00D81FFB">
        <w:rPr>
          <w:rFonts w:ascii="Times New Roman" w:hAnsi="Times New Roman" w:cs="Times New Roman"/>
        </w:rPr>
        <w:t xml:space="preserve">Claire </w:t>
      </w:r>
      <w:r w:rsidRPr="00D81FFB">
        <w:rPr>
          <w:rStyle w:val="StyleStyleBold12pt"/>
          <w:rFonts w:ascii="Times New Roman" w:hAnsi="Times New Roman" w:cs="Times New Roman"/>
        </w:rPr>
        <w:t>Edwards</w:t>
      </w:r>
      <w:r w:rsidRPr="00D81FFB">
        <w:rPr>
          <w:rFonts w:ascii="Times New Roman" w:hAnsi="Times New Roman" w:cs="Times New Roman"/>
        </w:rPr>
        <w:t xml:space="preserve"> Department for Work and Pensions, London </w:t>
      </w:r>
      <w:r w:rsidRPr="00D81FFB">
        <w:rPr>
          <w:rStyle w:val="StyleStyleBold12pt"/>
          <w:rFonts w:ascii="Times New Roman" w:hAnsi="Times New Roman" w:cs="Times New Roman"/>
        </w:rPr>
        <w:t>and</w:t>
      </w:r>
      <w:r w:rsidRPr="00D81FFB">
        <w:rPr>
          <w:rFonts w:ascii="Times New Roman" w:hAnsi="Times New Roman" w:cs="Times New Roman"/>
        </w:rPr>
        <w:t xml:space="preserve"> Rob </w:t>
      </w:r>
      <w:proofErr w:type="spellStart"/>
      <w:r w:rsidRPr="00D81FFB">
        <w:rPr>
          <w:rStyle w:val="StyleStyleBold12pt"/>
          <w:rFonts w:ascii="Times New Roman" w:hAnsi="Times New Roman" w:cs="Times New Roman"/>
        </w:rPr>
        <w:t>Imrie</w:t>
      </w:r>
      <w:proofErr w:type="spellEnd"/>
      <w:r w:rsidRPr="00D81FFB">
        <w:rPr>
          <w:rFonts w:ascii="Times New Roman" w:hAnsi="Times New Roman" w:cs="Times New Roman"/>
        </w:rPr>
        <w:t xml:space="preserve"> Royal Holloway University of London, 5/1/20</w:t>
      </w:r>
      <w:r w:rsidRPr="00D81FFB">
        <w:rPr>
          <w:rStyle w:val="StyleStyleBold12pt"/>
          <w:rFonts w:ascii="Times New Roman" w:hAnsi="Times New Roman" w:cs="Times New Roman"/>
        </w:rPr>
        <w:t>03</w:t>
      </w:r>
      <w:r w:rsidRPr="00D81FFB">
        <w:rPr>
          <w:rFonts w:ascii="Times New Roman" w:hAnsi="Times New Roman" w:cs="Times New Roman"/>
        </w:rPr>
        <w:t xml:space="preserve"> [“Disability and Bodies as Bearers of Value” Sociology 2003 37: 239</w:t>
      </w:r>
      <w:proofErr w:type="gramStart"/>
      <w:r w:rsidRPr="00D81FFB">
        <w:rPr>
          <w:rFonts w:ascii="Times New Roman" w:hAnsi="Times New Roman" w:cs="Times New Roman"/>
        </w:rPr>
        <w:t>]MW</w:t>
      </w:r>
      <w:proofErr w:type="gramEnd"/>
    </w:p>
    <w:p w:rsidR="00D81FFB" w:rsidRPr="00D81FFB" w:rsidRDefault="00D81FFB" w:rsidP="00D81FFB">
      <w:r w:rsidRPr="00D81FFB">
        <w:t xml:space="preserve">However, for some disabled people, their way of life, and their bodily identity, become something that appears to be natural to them, or where the </w:t>
      </w:r>
      <w:proofErr w:type="gramStart"/>
      <w:r w:rsidRPr="00D81FFB">
        <w:t>oppressive  nature</w:t>
      </w:r>
      <w:proofErr w:type="gramEnd"/>
      <w:r w:rsidRPr="00D81FFB">
        <w:t xml:space="preserve"> of the social world is hidden or not necessarily understood as  influencing their bodily (de)valuations. This, then, is symbolic violence, or, </w:t>
      </w:r>
      <w:proofErr w:type="gramStart"/>
      <w:r w:rsidRPr="00D81FFB">
        <w:t xml:space="preserve">as  </w:t>
      </w:r>
      <w:proofErr w:type="spellStart"/>
      <w:r w:rsidRPr="00D81FFB">
        <w:t>Bourdieu</w:t>
      </w:r>
      <w:proofErr w:type="spellEnd"/>
      <w:proofErr w:type="gramEnd"/>
      <w:r w:rsidRPr="00D81FFB">
        <w:t xml:space="preserve"> (1998: 12) suggests, ‘a body knowledge that entices the dominated to  contribute to their own domination by tacitly accepting, outside of any rational  decision or decree of the will, the limits assigned to them’. For </w:t>
      </w:r>
      <w:proofErr w:type="spellStart"/>
      <w:r w:rsidRPr="00D81FFB">
        <w:t>Bourdieu</w:t>
      </w:r>
      <w:proofErr w:type="spellEnd"/>
      <w:r w:rsidRPr="00D81FFB">
        <w:t xml:space="preserve"> (1990:  128), ‘symbolic violence is found … at the heart of each social relation’ and </w:t>
      </w:r>
      <w:proofErr w:type="gramStart"/>
      <w:r w:rsidRPr="00D81FFB">
        <w:t>in  all</w:t>
      </w:r>
      <w:proofErr w:type="gramEnd"/>
      <w:r w:rsidRPr="00D81FFB">
        <w:t xml:space="preserve"> institutions, and is reinforced by a process of </w:t>
      </w:r>
      <w:proofErr w:type="spellStart"/>
      <w:r w:rsidRPr="00D81FFB">
        <w:t>mis</w:t>
      </w:r>
      <w:proofErr w:type="spellEnd"/>
      <w:r w:rsidRPr="00D81FFB">
        <w:t xml:space="preserve">-recognition. As </w:t>
      </w:r>
      <w:proofErr w:type="spellStart"/>
      <w:proofErr w:type="gramStart"/>
      <w:r w:rsidRPr="00D81FFB">
        <w:t>Bourdieu</w:t>
      </w:r>
      <w:proofErr w:type="spellEnd"/>
      <w:r w:rsidRPr="00D81FFB">
        <w:t xml:space="preserve">  (</w:t>
      </w:r>
      <w:proofErr w:type="gramEnd"/>
      <w:r w:rsidRPr="00D81FFB">
        <w:t xml:space="preserve">1977: 192) notes, ‘symbolic violence, the gentle, invisible form of violence, which is never </w:t>
      </w:r>
      <w:proofErr w:type="spellStart"/>
      <w:r w:rsidRPr="00D81FFB">
        <w:t>recognised</w:t>
      </w:r>
      <w:proofErr w:type="spellEnd"/>
      <w:r w:rsidRPr="00D81FFB">
        <w:t xml:space="preserve"> as such, and is not so much undergone as chosen’.  This, for Jenkins (1992: 104), is nothing less than ‘the imposition of systems of  symbolism and meaning upon groups or classes in such a way as they are experienced  as </w:t>
      </w:r>
      <w:proofErr w:type="spellStart"/>
      <w:r w:rsidRPr="00D81FFB">
        <w:t>legitimate’.Symbolic</w:t>
      </w:r>
      <w:proofErr w:type="spellEnd"/>
      <w:r w:rsidRPr="00D81FFB">
        <w:t xml:space="preserve"> violence tends to reproduce a medical understanding of disabled  people, or where disabled people’s bodies are </w:t>
      </w:r>
      <w:proofErr w:type="spellStart"/>
      <w:r w:rsidRPr="00D81FFB">
        <w:t>labelled</w:t>
      </w:r>
      <w:proofErr w:type="spellEnd"/>
      <w:r w:rsidRPr="00D81FFB">
        <w:t xml:space="preserve"> as deviant and disordered,  requiring medical and charitable interventions. Thus, for one disabled person</w:t>
      </w:r>
      <w:proofErr w:type="gramStart"/>
      <w:r w:rsidRPr="00D81FFB">
        <w:t>,  their</w:t>
      </w:r>
      <w:proofErr w:type="gramEnd"/>
      <w:r w:rsidRPr="00D81FFB">
        <w:t xml:space="preserve"> whole life had been a constant round of being cared for by organizations,  or where their quality of life is subject to classifications used by occupational  therapists. As she said: ‘they lay down the criteria and assess my needs, but it’s  my body and I know what I need but you can’t do much to challenge their decisions  … you take what you’re given’. Others concurred, with another person </w:t>
      </w:r>
      <w:proofErr w:type="gramStart"/>
      <w:r w:rsidRPr="00D81FFB">
        <w:t>noting  that</w:t>
      </w:r>
      <w:proofErr w:type="gramEnd"/>
      <w:r w:rsidRPr="00D81FFB">
        <w:t xml:space="preserve"> their mobility was dependent on the local dial-a-ride bus service.  However, as she suggested, ‘it’s nice to have it, but I can only go out when </w:t>
      </w:r>
      <w:proofErr w:type="gramStart"/>
      <w:r w:rsidRPr="00D81FFB">
        <w:t>they’re  available</w:t>
      </w:r>
      <w:proofErr w:type="gramEnd"/>
      <w:r w:rsidRPr="00D81FFB">
        <w:t xml:space="preserve"> and I have to fit in with them. There’s no independence’. In </w:t>
      </w:r>
      <w:proofErr w:type="gramStart"/>
      <w:r w:rsidRPr="00D81FFB">
        <w:t>both  instances</w:t>
      </w:r>
      <w:proofErr w:type="gramEnd"/>
      <w:r w:rsidRPr="00D81FFB">
        <w:t xml:space="preserve">, disabled people were obligated to service providers and dependent on  their rules and modes of domination which, as </w:t>
      </w:r>
      <w:proofErr w:type="spellStart"/>
      <w:r w:rsidRPr="00D81FFB">
        <w:t>Bourdieu</w:t>
      </w:r>
      <w:proofErr w:type="spellEnd"/>
      <w:r w:rsidRPr="00D81FFB">
        <w:t xml:space="preserve"> (1977: 194) says, is akin  to a man who ‘possesses in order to give. But he also possesses by giving’.  Likewise, for many disabled people, their dependence on going outside  with a </w:t>
      </w:r>
      <w:proofErr w:type="spellStart"/>
      <w:r w:rsidRPr="00D81FFB">
        <w:t>carer</w:t>
      </w:r>
      <w:proofErr w:type="spellEnd"/>
      <w:r w:rsidRPr="00D81FFB">
        <w:t xml:space="preserve">, or only being able to gain access to a building through a rear  entrance, becomes a naturalized way of life, to which it is difficult to see alternatives,  or openings for independence. For one person, </w:t>
      </w:r>
      <w:r w:rsidRPr="00D81FFB">
        <w:lastRenderedPageBreak/>
        <w:t xml:space="preserve">‘whenever I go out I </w:t>
      </w:r>
      <w:proofErr w:type="gramStart"/>
      <w:r w:rsidRPr="00D81FFB">
        <w:t>just  accept</w:t>
      </w:r>
      <w:proofErr w:type="gramEnd"/>
      <w:r w:rsidRPr="00D81FFB">
        <w:t xml:space="preserve"> it as normal that I have to … use separate facilities … you do stand out  though’. Similarly, Kitchen and Law (2001: 296), in referring to the absence </w:t>
      </w:r>
      <w:proofErr w:type="gramStart"/>
      <w:r w:rsidRPr="00D81FFB">
        <w:t>of  wheelchair</w:t>
      </w:r>
      <w:proofErr w:type="gramEnd"/>
      <w:r w:rsidRPr="00D81FFB">
        <w:t xml:space="preserve"> accessible toilets in Ireland, note that disabled people are often  accepting of the situation in which the lack of toilets is ‘</w:t>
      </w:r>
      <w:proofErr w:type="spellStart"/>
      <w:r w:rsidRPr="00D81FFB">
        <w:t>naturalised</w:t>
      </w:r>
      <w:proofErr w:type="spellEnd"/>
      <w:r w:rsidRPr="00D81FFB">
        <w:t xml:space="preserve"> and invisible  to others’. The attitudes and responses of institutions and other people </w:t>
      </w:r>
      <w:proofErr w:type="gramStart"/>
      <w:r w:rsidRPr="00D81FFB">
        <w:t>in  society</w:t>
      </w:r>
      <w:proofErr w:type="gramEnd"/>
      <w:r w:rsidRPr="00D81FFB">
        <w:t xml:space="preserve"> only reinforce the ‘naturalness’ and ordinariness of such situations.5 As  one respondent noted of the local council’s attitude to providing for wheelchair  users, ‘it is taken for granted that a person in a wheelchair won’t come out on  their own, they’re always seen as a person who will be pushed’.  For </w:t>
      </w:r>
      <w:proofErr w:type="spellStart"/>
      <w:r w:rsidRPr="00D81FFB">
        <w:t>Bourdieu</w:t>
      </w:r>
      <w:proofErr w:type="spellEnd"/>
      <w:r w:rsidRPr="00D81FFB">
        <w:t xml:space="preserve"> (2000: 169), such experiences are ‘exercised invisibly </w:t>
      </w:r>
      <w:proofErr w:type="gramStart"/>
      <w:r w:rsidRPr="00D81FFB">
        <w:t>and  insidiously</w:t>
      </w:r>
      <w:proofErr w:type="gramEnd"/>
      <w:r w:rsidRPr="00D81FFB">
        <w:t xml:space="preserve"> through </w:t>
      </w:r>
      <w:proofErr w:type="spellStart"/>
      <w:r w:rsidRPr="00D81FFB">
        <w:t>familiarisation</w:t>
      </w:r>
      <w:proofErr w:type="spellEnd"/>
      <w:r w:rsidRPr="00D81FFB">
        <w:t xml:space="preserve"> with a symbolically structured physical  world … informed by the structures of domination’. Thus, as a wheelchair </w:t>
      </w:r>
      <w:proofErr w:type="gramStart"/>
      <w:r w:rsidRPr="00D81FFB">
        <w:t>user  noted</w:t>
      </w:r>
      <w:proofErr w:type="gramEnd"/>
      <w:r w:rsidRPr="00D81FFB">
        <w:t xml:space="preserve">, ‘wherever I go there are obstructions, barriers, things that get in the way;  it makes it difficult to move about. People with legs are OK and so nothing </w:t>
      </w:r>
      <w:proofErr w:type="gramStart"/>
      <w:r w:rsidRPr="00D81FFB">
        <w:t>will  ever</w:t>
      </w:r>
      <w:proofErr w:type="gramEnd"/>
      <w:r w:rsidRPr="00D81FFB">
        <w:t xml:space="preserve"> change’. For others, it was normal to be given the ‘back-door’ </w:t>
      </w:r>
      <w:proofErr w:type="gramStart"/>
      <w:r w:rsidRPr="00D81FFB">
        <w:t>treatment  when</w:t>
      </w:r>
      <w:proofErr w:type="gramEnd"/>
      <w:r w:rsidRPr="00D81FFB">
        <w:t xml:space="preserve"> seeking to enter a building. Thus, for another wheelchair user, ‘back </w:t>
      </w:r>
      <w:proofErr w:type="gramStart"/>
      <w:r w:rsidRPr="00D81FFB">
        <w:t>door  quality</w:t>
      </w:r>
      <w:proofErr w:type="gramEnd"/>
      <w:r w:rsidRPr="00D81FFB">
        <w:t xml:space="preserve"> all the time! We go through side doors, back doors, back alleys, </w:t>
      </w:r>
      <w:proofErr w:type="gramStart"/>
      <w:r w:rsidRPr="00D81FFB">
        <w:t>everywhere  but</w:t>
      </w:r>
      <w:proofErr w:type="gramEnd"/>
      <w:r w:rsidRPr="00D81FFB">
        <w:t xml:space="preserve"> the front; it’s degrading but we all accept it’. The impaired </w:t>
      </w:r>
      <w:proofErr w:type="gramStart"/>
      <w:r w:rsidRPr="00D81FFB">
        <w:t>carnality  of</w:t>
      </w:r>
      <w:proofErr w:type="gramEnd"/>
      <w:r w:rsidRPr="00D81FFB">
        <w:t xml:space="preserve"> disabled people was highlighted as requiring different, yet unequal, treatment  to the ‘normal’ body. As one respondent commented:  I think even though we’ve got more choices, </w:t>
      </w:r>
      <w:proofErr w:type="gramStart"/>
      <w:r w:rsidRPr="00D81FFB">
        <w:t>there’s still limits</w:t>
      </w:r>
      <w:proofErr w:type="gramEnd"/>
      <w:r w:rsidRPr="00D81FFB">
        <w:t xml:space="preserve">. If you want to go to </w:t>
      </w:r>
      <w:proofErr w:type="gramStart"/>
      <w:r w:rsidRPr="00D81FFB">
        <w:t>a  venue</w:t>
      </w:r>
      <w:proofErr w:type="gramEnd"/>
      <w:r w:rsidRPr="00D81FFB">
        <w:t xml:space="preserve"> with more than one wheelchair user, you’ve got limits. If you want to go to </w:t>
      </w:r>
      <w:proofErr w:type="spellStart"/>
      <w:r w:rsidRPr="00D81FFB">
        <w:t>thepictures</w:t>
      </w:r>
      <w:proofErr w:type="spellEnd"/>
      <w:r w:rsidRPr="00D81FFB">
        <w:t xml:space="preserve"> and you want to go with a group, two will have to sit over there, another </w:t>
      </w:r>
      <w:proofErr w:type="gramStart"/>
      <w:r w:rsidRPr="00D81FFB">
        <w:t>two  over</w:t>
      </w:r>
      <w:proofErr w:type="gramEnd"/>
      <w:r w:rsidRPr="00D81FFB">
        <w:t xml:space="preserve"> there. You don’t have to do that if you’re non-disabled. Disabled people </w:t>
      </w:r>
      <w:proofErr w:type="gramStart"/>
      <w:r w:rsidRPr="00D81FFB">
        <w:t>are  always</w:t>
      </w:r>
      <w:proofErr w:type="gramEnd"/>
      <w:r w:rsidRPr="00D81FFB">
        <w:t xml:space="preserve"> expected to be separated. Likewise, a mobility-impaired person commented that: ‘you can guarantee that if you go somewhere with friends, it’s not accessible for you. </w:t>
      </w:r>
      <w:proofErr w:type="gramStart"/>
      <w:r w:rsidRPr="00D81FFB">
        <w:t>You actually rely¶ on your friends to get you around, even though I am independent.</w:t>
      </w:r>
      <w:proofErr w:type="gramEnd"/>
      <w:r w:rsidRPr="00D81FFB">
        <w:t xml:space="preserve"> In this environment, I’m independent, if you put me in another environment, I’m not’.</w:t>
      </w:r>
    </w:p>
    <w:p w:rsidR="00D81FFB" w:rsidRPr="00D81FFB" w:rsidRDefault="00D81FFB" w:rsidP="00D81FFB"/>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 xml:space="preserve">Excluding disabled bodies from transportation infrastructure justifies eradication </w:t>
      </w:r>
    </w:p>
    <w:p w:rsidR="00D81FFB" w:rsidRPr="00D81FFB" w:rsidRDefault="00D81FFB" w:rsidP="00D81FFB">
      <w:pPr>
        <w:rPr>
          <w:rFonts w:ascii="Times New Roman" w:hAnsi="Times New Roman" w:cs="Times New Roman"/>
        </w:rPr>
      </w:pPr>
      <w:r w:rsidRPr="00D81FFB">
        <w:rPr>
          <w:rFonts w:ascii="Times New Roman" w:hAnsi="Times New Roman" w:cs="Times New Roman"/>
        </w:rPr>
        <w:t xml:space="preserve">David </w:t>
      </w:r>
      <w:r w:rsidRPr="00D81FFB">
        <w:rPr>
          <w:rStyle w:val="StyleStyleBold12pt"/>
          <w:rFonts w:ascii="Times New Roman" w:hAnsi="Times New Roman" w:cs="Times New Roman"/>
        </w:rPr>
        <w:t>Mitchell</w:t>
      </w:r>
      <w:r w:rsidRPr="00D81FFB">
        <w:rPr>
          <w:rFonts w:ascii="Times New Roman" w:hAnsi="Times New Roman" w:cs="Times New Roman"/>
        </w:rPr>
        <w:t>, Professor and Director of Graduate Studies in the Department of Disability and Human Development at the University of Illinois at Chicago and Sharon Snyder, Assistant Professor in the Department of Disability and Human Development at the University of Illinois at Chicago, 20</w:t>
      </w:r>
      <w:r w:rsidRPr="00D81FFB">
        <w:rPr>
          <w:rStyle w:val="StyleStyleBold12pt"/>
          <w:rFonts w:ascii="Times New Roman" w:hAnsi="Times New Roman" w:cs="Times New Roman"/>
        </w:rPr>
        <w:t>01</w:t>
      </w:r>
      <w:r w:rsidRPr="00D81FFB">
        <w:rPr>
          <w:rFonts w:ascii="Times New Roman" w:hAnsi="Times New Roman" w:cs="Times New Roman"/>
        </w:rPr>
        <w:t xml:space="preserve"> [“Re-engaging the Body: Disability Studies and the Resistance to Embodiment”, Public Culture, Vol. 13 No. 3, Fall, Project Muse]</w:t>
      </w:r>
    </w:p>
    <w:p w:rsidR="00D81FFB" w:rsidRPr="00D81FFB" w:rsidRDefault="00D81FFB" w:rsidP="00D81FFB">
      <w:r w:rsidRPr="00D81FFB">
        <w:t xml:space="preserve">Foucault’s analysis of the </w:t>
      </w:r>
      <w:proofErr w:type="spellStart"/>
      <w:r w:rsidRPr="00D81FFB">
        <w:t>overdiagnosed</w:t>
      </w:r>
      <w:proofErr w:type="spellEnd"/>
      <w:r w:rsidRPr="00D81FFB">
        <w:t xml:space="preserve"> body offered the first recognition that the professional scrutiny of bodily differences threatens to overwhelm material bodies through its microscopic breakdown and perpetual analysis. Citing Johann Georg Zimmermann’s treatise of 1774, </w:t>
      </w:r>
      <w:proofErr w:type="spellStart"/>
      <w:r w:rsidRPr="00D81FFB">
        <w:t>Traité</w:t>
      </w:r>
      <w:proofErr w:type="spellEnd"/>
      <w:r w:rsidRPr="00D81FFB">
        <w:t xml:space="preserve"> de </w:t>
      </w:r>
      <w:proofErr w:type="spellStart"/>
      <w:r w:rsidRPr="00D81FFB">
        <w:t>l’expérience</w:t>
      </w:r>
      <w:proofErr w:type="spellEnd"/>
      <w:r w:rsidRPr="00D81FFB">
        <w:t xml:space="preserve"> en </w:t>
      </w:r>
      <w:proofErr w:type="spellStart"/>
      <w:r w:rsidRPr="00D81FFB">
        <w:t>médicine</w:t>
      </w:r>
      <w:proofErr w:type="spellEnd"/>
      <w:r w:rsidRPr="00D81FFB">
        <w:t xml:space="preserve">, he writes: “Medical perception must be structured to look through ‘a magnifying glass, which, when applied to different parts of an object, makes one notice other parts that one would not otherwise perceive,’ thus initiating the endless task of understanding the individual” (Foucault 1975: 15). People with disabilities recognized the </w:t>
      </w:r>
      <w:proofErr w:type="spellStart"/>
      <w:r w:rsidRPr="00D81FFB">
        <w:t>violative</w:t>
      </w:r>
      <w:proofErr w:type="spellEnd"/>
      <w:r w:rsidRPr="00D81FFB">
        <w:t xml:space="preserve"> nature of this tendency toward </w:t>
      </w:r>
      <w:proofErr w:type="spellStart"/>
      <w:r w:rsidRPr="00D81FFB">
        <w:t>overevaluation</w:t>
      </w:r>
      <w:proofErr w:type="spellEnd"/>
      <w:r w:rsidRPr="00D81FFB">
        <w:t xml:space="preserve"> most viscerally. Not only had they endured hours of diagnostic scrutiny on medical examination tables (not to mention a representation in textbooks that replicated this process), but they had also been subjected to a variety of exclusive measures that marked the extent of their cultural participation: “ugly laws” barred their appearance on the streets; intelligence testing banned them from public educational settings; segregated education isolated them in institutions that denied them equal access to the privileges of their able-bodied peers; discriminatory reproductive expectations identified them as physical and cognitive forms to be eradicated from the continuum of varied human </w:t>
      </w:r>
      <w:proofErr w:type="spellStart"/>
      <w:r w:rsidRPr="00D81FFB">
        <w:t>biologies</w:t>
      </w:r>
      <w:proofErr w:type="spellEnd"/>
      <w:r w:rsidRPr="00D81FFB">
        <w:t xml:space="preserve">; inaccessible transportation left them physically stranded in their homes. These discriminatory practices demonstrated that disabled people’s exclusion was the result of inflexible policies that rationalized cultural segregation. Consequently, disability studies has formulated the problem of the </w:t>
      </w:r>
      <w:proofErr w:type="spellStart"/>
      <w:r w:rsidRPr="00D81FFB">
        <w:t>medicalized</w:t>
      </w:r>
      <w:proofErr w:type="spellEnd"/>
      <w:r w:rsidRPr="00D81FFB">
        <w:t xml:space="preserve"> </w:t>
      </w:r>
      <w:r w:rsidRPr="00D81FFB">
        <w:lastRenderedPageBreak/>
        <w:t xml:space="preserve">body in a manner similar to that undertaken earlier in body studies, taking up medical institutions (and the ancillary administering of diagnosis, sequestration, and case study) as the primary locus of its critique. The </w:t>
      </w:r>
      <w:proofErr w:type="spellStart"/>
      <w:r w:rsidRPr="00D81FFB">
        <w:t>pathologization</w:t>
      </w:r>
      <w:proofErr w:type="spellEnd"/>
      <w:r w:rsidRPr="00D81FFB">
        <w:t xml:space="preserve"> of human differences is theorized as an imposition on the body—a regulatory effort to standardize inherent dynamism. But while body studies provided a foundation for a more general model of critique around the categories of illness, health, pathology, and even bioethics, disability studies moves beneath these terms to encounter disability directly in the experiences of human populations which were merely referenced euphemistically by those more general terms. Disability studies narrows the focus of its investigation to the social implications for bodies deemed excessively aberrant. In doing so, scholars have expanded the domain of cultural understandings about disability beyond the walls of its scientific management. For disability studies, the disabled body is neither a matter of individual malfunction— as cast by medicine—nor an effect of the abstraction of the body within the health professions. Instead, disability translates into a common denominator of cultural fascination (if not downright obsession)—one that infiltrates thinking across discursive registers as a shared reference point in deciding matters of human value and communal belonging. In this emergent field, the able body is no longer characterized as merely a false quantitative ideal, as it had been in body studies, but rather as an aesthetic product of cultural forces that oppress those categorized as disabled. This subtle shift in emphasis allows humanities scholars in disability studies to extend the discussion of bodily deviance from the context of rehabilitative institutions to that of wider ranging cultural locations. For instance, </w:t>
      </w:r>
      <w:proofErr w:type="spellStart"/>
      <w:r w:rsidRPr="00D81FFB">
        <w:t>Lennard</w:t>
      </w:r>
      <w:proofErr w:type="spellEnd"/>
      <w:r w:rsidRPr="00D81FFB">
        <w:t xml:space="preserve"> J. Davis (1995) analyzes the role of institutions for the Deaf in the historical development of disability activism and community in eighteenth-century Europe. Martin </w:t>
      </w:r>
      <w:proofErr w:type="spellStart"/>
      <w:r w:rsidRPr="00D81FFB">
        <w:t>Pernick</w:t>
      </w:r>
      <w:proofErr w:type="spellEnd"/>
      <w:r w:rsidRPr="00D81FFB">
        <w:t xml:space="preserve"> (1996) analyzes the influential role of public health films in the promotion of eugenics in Chicago prior to World War II. Through readings of nineteenth- and twentieth-century U.S. literary texts and cultural spectacles such as the freak show, Rosemarie Garland Thomson (1997) argues that disabled people’s bodies have been represented as </w:t>
      </w:r>
      <w:proofErr w:type="spellStart"/>
      <w:r w:rsidRPr="00D81FFB">
        <w:t>unassimilable</w:t>
      </w:r>
      <w:proofErr w:type="spellEnd"/>
      <w:r w:rsidRPr="00D81FFB">
        <w:t xml:space="preserve"> within a normalizing biological ideology that marks the disabled body as the inferior contrast to an able-bodied, white, masculine citizenry. Paul K. </w:t>
      </w:r>
      <w:proofErr w:type="spellStart"/>
      <w:r w:rsidRPr="00D81FFB">
        <w:t>Longmore</w:t>
      </w:r>
      <w:proofErr w:type="spellEnd"/>
      <w:r w:rsidRPr="00D81FFB">
        <w:t xml:space="preserve"> (1997) assesses television genres, such as disease-of-the-week movies and telethons, to dissect mainstream representations of disability as tragedies in need of eradication or overcoming. In our own Narrative Prosthesis (Mitchell and Snyder 2000), we theorize the pervasive utility of disability to literature in Europe and the United States by discussing the longstanding artistic recourse to disability as a staple feature of characterization. Disability studies scholars have also analyzed the opportunistic use of corporeal metaphors to emblematize societal weaknesses in literary and philosophical figurations of disability</w:t>
      </w:r>
    </w:p>
    <w:p w:rsidR="00D81FFB" w:rsidRPr="00D81FFB" w:rsidRDefault="00D81FFB" w:rsidP="00D81FFB">
      <w:pPr>
        <w:rPr>
          <w:rFonts w:ascii="Times New Roman" w:hAnsi="Times New Roman" w:cs="Times New Roman"/>
        </w:rPr>
      </w:pPr>
    </w:p>
    <w:p w:rsidR="00D81FFB" w:rsidRPr="00D81FFB" w:rsidRDefault="00D81FFB" w:rsidP="00D81FFB">
      <w:pPr>
        <w:pStyle w:val="Heading4"/>
        <w:rPr>
          <w:rStyle w:val="StyleBoldUnderline"/>
          <w:rFonts w:ascii="Times New Roman" w:hAnsi="Times New Roman" w:cs="Times New Roman"/>
          <w:u w:val="none"/>
        </w:rPr>
      </w:pPr>
      <w:r w:rsidRPr="00D81FFB">
        <w:rPr>
          <w:rFonts w:ascii="Times New Roman" w:hAnsi="Times New Roman" w:cs="Times New Roman"/>
        </w:rPr>
        <w:t xml:space="preserve">This </w:t>
      </w:r>
      <w:proofErr w:type="spellStart"/>
      <w:r w:rsidRPr="00D81FFB">
        <w:rPr>
          <w:rFonts w:ascii="Times New Roman" w:hAnsi="Times New Roman" w:cs="Times New Roman"/>
        </w:rPr>
        <w:t>medicalization</w:t>
      </w:r>
      <w:proofErr w:type="spellEnd"/>
      <w:r w:rsidRPr="00D81FFB">
        <w:rPr>
          <w:rFonts w:ascii="Times New Roman" w:hAnsi="Times New Roman" w:cs="Times New Roman"/>
        </w:rPr>
        <w:t xml:space="preserve"> of life is the root cause of conflict—wars are fought and life is exterminated because of the </w:t>
      </w:r>
      <w:proofErr w:type="spellStart"/>
      <w:r w:rsidRPr="00D81FFB">
        <w:rPr>
          <w:rFonts w:ascii="Times New Roman" w:hAnsi="Times New Roman" w:cs="Times New Roman"/>
        </w:rPr>
        <w:t>biopolitical</w:t>
      </w:r>
      <w:proofErr w:type="spellEnd"/>
      <w:r w:rsidRPr="00D81FFB">
        <w:rPr>
          <w:rFonts w:ascii="Times New Roman" w:hAnsi="Times New Roman" w:cs="Times New Roman"/>
        </w:rPr>
        <w:t xml:space="preserve"> eugenic violence</w:t>
      </w:r>
      <w:r w:rsidRPr="00D81FFB">
        <w:rPr>
          <w:rStyle w:val="StyleBoldUnderline"/>
          <w:rFonts w:ascii="Times New Roman" w:hAnsi="Times New Roman" w:cs="Times New Roman"/>
          <w:u w:val="none"/>
        </w:rPr>
        <w:t xml:space="preserve"> </w:t>
      </w:r>
    </w:p>
    <w:p w:rsidR="00D81FFB" w:rsidRPr="00D81FFB" w:rsidRDefault="00D81FFB" w:rsidP="00D81FFB">
      <w:pPr>
        <w:rPr>
          <w:rStyle w:val="StyleBoldUnderline"/>
          <w:rFonts w:ascii="Times New Roman" w:hAnsi="Times New Roman" w:cs="Times New Roman"/>
          <w:u w:val="none"/>
        </w:rPr>
      </w:pPr>
      <w:r w:rsidRPr="00D81FFB">
        <w:rPr>
          <w:rFonts w:ascii="Times New Roman" w:hAnsi="Times New Roman" w:cs="Times New Roman"/>
        </w:rPr>
        <w:t xml:space="preserve">Stuart </w:t>
      </w:r>
      <w:proofErr w:type="spellStart"/>
      <w:r w:rsidRPr="00D81FFB">
        <w:rPr>
          <w:rStyle w:val="StyleStyleBold12pt"/>
          <w:rFonts w:ascii="Times New Roman" w:hAnsi="Times New Roman" w:cs="Times New Roman"/>
        </w:rPr>
        <w:t>Elden</w:t>
      </w:r>
      <w:proofErr w:type="spellEnd"/>
      <w:r w:rsidRPr="00D81FFB">
        <w:rPr>
          <w:rFonts w:ascii="Times New Roman" w:hAnsi="Times New Roman" w:cs="Times New Roman"/>
        </w:rPr>
        <w:t>, politics at University of Warwick, 2/29/20</w:t>
      </w:r>
      <w:r w:rsidRPr="00D81FFB">
        <w:rPr>
          <w:rStyle w:val="StyleStyleBold12pt"/>
          <w:rFonts w:ascii="Times New Roman" w:hAnsi="Times New Roman" w:cs="Times New Roman"/>
        </w:rPr>
        <w:t>02</w:t>
      </w:r>
      <w:r w:rsidRPr="00D81FFB">
        <w:rPr>
          <w:rStyle w:val="Author-Date"/>
          <w:rFonts w:ascii="Times New Roman" w:hAnsi="Times New Roman" w:cs="Times New Roman"/>
        </w:rPr>
        <w:t xml:space="preserve"> </w:t>
      </w:r>
      <w:r w:rsidRPr="00D81FFB">
        <w:rPr>
          <w:rFonts w:ascii="Times New Roman" w:hAnsi="Times New Roman" w:cs="Times New Roman"/>
        </w:rPr>
        <w:t xml:space="preserve">[“The War of Races and the Constitution of the State: Foucault's «Il </w:t>
      </w:r>
      <w:proofErr w:type="spellStart"/>
      <w:r w:rsidRPr="00D81FFB">
        <w:rPr>
          <w:rFonts w:ascii="Times New Roman" w:hAnsi="Times New Roman" w:cs="Times New Roman"/>
        </w:rPr>
        <w:t>faut</w:t>
      </w:r>
      <w:proofErr w:type="spellEnd"/>
      <w:r w:rsidRPr="00D81FFB">
        <w:rPr>
          <w:rFonts w:ascii="Times New Roman" w:hAnsi="Times New Roman" w:cs="Times New Roman"/>
        </w:rPr>
        <w:t xml:space="preserve"> </w:t>
      </w:r>
      <w:proofErr w:type="spellStart"/>
      <w:r w:rsidRPr="00D81FFB">
        <w:rPr>
          <w:rFonts w:ascii="Times New Roman" w:hAnsi="Times New Roman" w:cs="Times New Roman"/>
        </w:rPr>
        <w:t>défendre</w:t>
      </w:r>
      <w:proofErr w:type="spellEnd"/>
      <w:r w:rsidRPr="00D81FFB">
        <w:rPr>
          <w:rFonts w:ascii="Times New Roman" w:hAnsi="Times New Roman" w:cs="Times New Roman"/>
        </w:rPr>
        <w:t xml:space="preserve"> la </w:t>
      </w:r>
      <w:proofErr w:type="spellStart"/>
      <w:r w:rsidRPr="00D81FFB">
        <w:rPr>
          <w:rFonts w:ascii="Times New Roman" w:hAnsi="Times New Roman" w:cs="Times New Roman"/>
        </w:rPr>
        <w:t>société</w:t>
      </w:r>
      <w:proofErr w:type="spellEnd"/>
      <w:r w:rsidRPr="00D81FFB">
        <w:rPr>
          <w:rFonts w:ascii="Times New Roman" w:hAnsi="Times New Roman" w:cs="Times New Roman"/>
        </w:rPr>
        <w:t xml:space="preserve">» and the Politics of Calculation,” Boundary, </w:t>
      </w:r>
      <w:hyperlink r:id="rId11" w:history="1">
        <w:r w:rsidRPr="00D81FFB">
          <w:rPr>
            <w:rStyle w:val="Hyperlink"/>
            <w:rFonts w:ascii="Times New Roman" w:hAnsi="Times New Roman" w:cs="Times New Roman"/>
          </w:rPr>
          <w:t>http://boundary2.dukejournals.org/content/29/1/125.full.pdf</w:t>
        </w:r>
      </w:hyperlink>
      <w:r w:rsidRPr="00D81FFB">
        <w:rPr>
          <w:rFonts w:ascii="Times New Roman" w:hAnsi="Times New Roman" w:cs="Times New Roman"/>
        </w:rPr>
        <w:t xml:space="preserve">] </w:t>
      </w:r>
    </w:p>
    <w:p w:rsidR="00D81FFB" w:rsidRPr="00D81FFB" w:rsidRDefault="00D81FFB" w:rsidP="00D81FFB">
      <w:r w:rsidRPr="00D81FFB">
        <w:t xml:space="preserve">The reverse side is the power to allow death. State racism is a </w:t>
      </w:r>
      <w:proofErr w:type="spellStart"/>
      <w:r w:rsidRPr="00D81FFB">
        <w:t>recoding</w:t>
      </w:r>
      <w:proofErr w:type="spellEnd"/>
      <w:r w:rsidRPr="00D81FFB">
        <w:t xml:space="preserve"> of the old mechanisms of blood through the new procedures of regulation. Racism, as </w:t>
      </w:r>
      <w:proofErr w:type="spellStart"/>
      <w:r w:rsidRPr="00D81FFB">
        <w:t>biologizing</w:t>
      </w:r>
      <w:proofErr w:type="spellEnd"/>
      <w:r w:rsidRPr="00D81FFB">
        <w:t xml:space="preserve">, as tied to a state, takes shape where the procedures of intervention "at the level of the body, conduct, health, and everyday life, received their color and their justification from the mythical concern with protecting the purity of the blood and ensuring the triumph of the race" (VS, 197; WK, 149). 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 38 The use of medical language is important. Because certain groups in society are conceived of in </w:t>
      </w:r>
      <w:r w:rsidRPr="00D81FFB">
        <w:lastRenderedPageBreak/>
        <w:t>medical terms, society is no longer in need of being defended from the outsider but from the insider: the abnormal in behavior, species, or race. What is novel is not the mentality of power but the technology of power (FDS, 230). The recoding of old problems is made possible through new techniques. A break or cut (</w:t>
      </w:r>
      <w:proofErr w:type="spellStart"/>
      <w:r w:rsidRPr="00D81FFB">
        <w:t>coupure</w:t>
      </w:r>
      <w:proofErr w:type="spellEnd"/>
      <w:r w:rsidRPr="00D81FFB">
        <w:t xml:space="preserve">) is fundamental to racism: a division or incision between those who must live and those who must die. The "biological continuum of the human species" is fragmented by the apparition of races, which are seen as distinguished, </w:t>
      </w:r>
      <w:proofErr w:type="spellStart"/>
      <w:r w:rsidRPr="00D81FFB">
        <w:t>hierarchized</w:t>
      </w:r>
      <w:proofErr w:type="spellEnd"/>
      <w:r w:rsidRPr="00D81FFB">
        <w:t xml:space="preserve">, </w:t>
      </w:r>
      <w:proofErr w:type="gramStart"/>
      <w:r w:rsidRPr="00D81FFB">
        <w:t>qualified</w:t>
      </w:r>
      <w:proofErr w:type="gramEnd"/>
      <w:r w:rsidRPr="00D81FFB">
        <w:t xml:space="preserve"> as good or inferior, and so forth. The species is subdivided into subgroups that are thought of as races. In a sense, then, just as the continuum of geometry becomes divisible in Descartes, 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 40 As </w:t>
      </w:r>
      <w:proofErr w:type="spellStart"/>
      <w:r w:rsidRPr="00D81FFB">
        <w:t>Stoler</w:t>
      </w:r>
      <w:proofErr w:type="spellEnd"/>
      <w:r w:rsidRPr="00D81FFB">
        <w:t xml:space="preserve"> has noted, for Foucault, it is the other way around: "A discourse of class derives from an earlier discourse of races." 41 But it is a more subtle distinction than [End Page 147] that. What Foucault suggests is that discourses of class have their roots in the war of races, but so, too, does modern racism; what is different is the biological spin put on the concepts. 42 But as well as emphasizing the biological, modern racism puts </w:t>
      </w:r>
      <w:proofErr w:type="gramStart"/>
      <w:r w:rsidRPr="00D81FFB">
        <w:t>this another</w:t>
      </w:r>
      <w:proofErr w:type="gramEnd"/>
      <w:r w:rsidRPr="00D81FFB">
        <w:t xml:space="preserve">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relation that is not warlike or confrontational but biological: "The more inferior species tend to disappear, the more abnormal individuals can be eliminated, the less the species will be degenerated, the more I—not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 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 through racism" (FDS, 228). This holds for indirect death—the exposure to death—as much as for direct killing. While not Darwinism, this biological sense of power is based on evolutionism and enables a thinking of colonial relations, the necessity of wars, criminality, phenomena of madness and mental illness, class divisions, and so forth.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w:t>
      </w:r>
      <w:proofErr w:type="gramStart"/>
      <w:r w:rsidRPr="00D81FFB">
        <w:t xml:space="preserve">As Foucault puts it in La </w:t>
      </w:r>
      <w:proofErr w:type="spellStart"/>
      <w:r w:rsidRPr="00D81FFB">
        <w:t>volonté</w:t>
      </w:r>
      <w:proofErr w:type="spellEnd"/>
      <w:r w:rsidRPr="00D81FFB">
        <w:t xml:space="preserve"> de savoir: [End Page 148] Wars are no longer waged in the name of a sovereign who must be defended; they are waged on behalf of the existence of all; entire populations are mobilized for the purpose of wholesale slaughter in the name of life necessity.</w:t>
      </w:r>
      <w:proofErr w:type="gramEnd"/>
      <w:r w:rsidRPr="00D81FFB">
        <w:t xml:space="preserve"> Massacres have become vital [</w:t>
      </w:r>
      <w:proofErr w:type="spellStart"/>
      <w:r w:rsidRPr="00D81FFB">
        <w:t>vitaux</w:t>
      </w:r>
      <w:proofErr w:type="spellEnd"/>
      <w:r w:rsidRPr="00D81FFB">
        <w:t>—understood in a dual sense, both as essential and biological]. It is as managers of life and survival, of bodies and the race, that so many regimes have been able to wage so many wars, causing so many men to be killed. (VS, 180; WK, 136)</w:t>
      </w:r>
    </w:p>
    <w:p w:rsidR="00D81FFB" w:rsidRPr="00D81FFB" w:rsidRDefault="00D81FFB" w:rsidP="00D81FFB">
      <w:pPr>
        <w:rPr>
          <w:rFonts w:ascii="Times New Roman" w:hAnsi="Times New Roman" w:cs="Times New Roman"/>
          <w:color w:val="000000"/>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lastRenderedPageBreak/>
        <w:t>This endorsement of exclusion stigmatizes people with disabilities as inferior. Congressional action is critical to raising national consciousness</w:t>
      </w:r>
    </w:p>
    <w:p w:rsidR="00D81FFB" w:rsidRPr="00D81FFB" w:rsidRDefault="00D81FFB" w:rsidP="00D81FFB">
      <w:pPr>
        <w:rPr>
          <w:rFonts w:ascii="Times New Roman" w:hAnsi="Times New Roman" w:cs="Times New Roman"/>
          <w:b/>
          <w:color w:val="000000"/>
        </w:rPr>
      </w:pPr>
      <w:proofErr w:type="spellStart"/>
      <w:proofErr w:type="gramStart"/>
      <w:r w:rsidRPr="00D81FFB">
        <w:rPr>
          <w:rStyle w:val="StyleStyleBold12pt"/>
          <w:rFonts w:ascii="Times New Roman" w:hAnsi="Times New Roman" w:cs="Times New Roman"/>
        </w:rPr>
        <w:t>Drimmer</w:t>
      </w:r>
      <w:proofErr w:type="spellEnd"/>
      <w:r w:rsidRPr="00D81FFB">
        <w:rPr>
          <w:rStyle w:val="StyleStyleBold12pt"/>
          <w:rFonts w:ascii="Times New Roman" w:hAnsi="Times New Roman" w:cs="Times New Roman"/>
        </w:rPr>
        <w:t xml:space="preserve">, 93 </w:t>
      </w:r>
      <w:r w:rsidRPr="00D81FFB">
        <w:rPr>
          <w:rFonts w:ascii="Times New Roman" w:hAnsi="Times New Roman" w:cs="Times New Roman"/>
          <w:b/>
          <w:color w:val="000000"/>
        </w:rPr>
        <w:t xml:space="preserve">– </w:t>
      </w:r>
      <w:r w:rsidRPr="00D81FFB">
        <w:rPr>
          <w:rFonts w:ascii="Times New Roman" w:hAnsi="Times New Roman" w:cs="Times New Roman"/>
          <w:color w:val="000000"/>
        </w:rPr>
        <w:t>Editor, UCLA Law Review.</w:t>
      </w:r>
      <w:proofErr w:type="gramEnd"/>
      <w:r w:rsidRPr="00D81FFB">
        <w:rPr>
          <w:rFonts w:ascii="Times New Roman" w:hAnsi="Times New Roman" w:cs="Times New Roman"/>
          <w:color w:val="000000"/>
        </w:rPr>
        <w:t xml:space="preserve"> J.D., UCLA (Jonathan, “CRIPPLES, OVERCOMERS, AND CIVIL RIGHTS: TRACING THE EVOLUTION OF FEDERAL LEGISLATION AND SOCIAL POLICY FOR PEOPLE WITH DISABILITIES” 40 UCLA L. Rev. 1341, June, lexis</w:t>
      </w:r>
    </w:p>
    <w:p w:rsidR="00D81FFB" w:rsidRPr="00D81FFB" w:rsidRDefault="00D81FFB" w:rsidP="00D81FFB">
      <w:r w:rsidRPr="00D81FFB">
        <w:t xml:space="preserve">Society resonates with the message that people with disabilities n2 are somehow "ruined." Based on this notion of inferiority, people with disabilities are treated as second-class citizens, and suffer from "thoughtlessness and indifference," and "benign neglect." n3 [*1343] They are both pitied and abused: as historical victims of a mix of intolerance, discrimination, fear, and misunderstanding, they are given charity, and yet not afforded many of the rights and opportunities of people with able bodies. </w:t>
      </w:r>
      <w:proofErr w:type="gramStart"/>
      <w:r w:rsidRPr="00D81FFB">
        <w:t>n4</w:t>
      </w:r>
      <w:proofErr w:type="gramEnd"/>
      <w:r w:rsidRPr="00D81FFB">
        <w:t xml:space="preserve"> Frequently, people with disabilities are stigmatized as less than human, n5 or viewed as examples of the cruelty of life at its worst. </w:t>
      </w:r>
      <w:proofErr w:type="gramStart"/>
      <w:r w:rsidRPr="00D81FFB">
        <w:t>n6</w:t>
      </w:r>
      <w:proofErr w:type="gramEnd"/>
      <w:r w:rsidRPr="00D81FFB">
        <w:t xml:space="preserve"> In a culture that values the "protestant work ethic" as well as a strong mind and body, people with disabilities are commonly viewed as deficient and inferior. n7 In an [*1344] industrialized country where self-support is closely tied to self-esteem and national economic strength, the forty-three million Americans with disabilities n8 are often assumed to be mired in feelings of personal inadequacy, n9 and are viewed as sapping the strength of the country when unable to produce financially. Whether through oversight, such as failing to make curb-cuts or constructing inaccessible buildings; n10 animus, such as sterilization of deaf and retarded individuals; or discrimination, n11 such as refusing to hire or educate someone on the basis of a disability, people with disabilities have often been treated as inherently inferior, and removed from mainstream society. Historically, the legal status of people with disabilities has reflected the view that a person with a disability is intrinsically substandard. During the twentieth century, Congress enacted several laws which focused on people with disabilities. Most of these laws authorized services to help "cure" what are considered "ailments" within individuals who have disabilities in order to increase national production and decrease welfare spending. The few recent laws seeking to provide rights and remedies to people with disabilities have consistently failed to recognize them as complete citizens, acknowledging them only as "flawed" individuals not at fault for shortcomings that society must endure. The Americans with Disabilities Act of 1990 ("ADA"), n12 considered a comprehensive bill of rights for people with disabilities, merely continues this begrudging treatment. In pursuing this course, Congress has issued a message that people with disabilities do not deserve full citizenship or equal participation in the community and are merely tolerated when they [*1345] can become economic participants. This treatment in the law results in the granting of limited rights that do not guarantee people with disabilities full access to society. This Comment addresses the evolution of the treatment of people with disabilities in federal law, with the express purpose of exposing their historical and systematic mistreatment by society. It examines the legal status of people with disabilities in the context of sociological paradigms commonly used to uncover the underlying assumptions behind the societal treatment of individuals who have disabilities. Part I discusses the predominant interpretations of disability in Western society through the use of three models. The medical and social pathology models are based on the notion that a disability is a problem residing within the individual that doctors and specialists should attempt to cure, while the civil rights model is premised on the concept that the fundamental problem is not within the individual, but with an intolerant society. Part II reviews the historically inferior medical and social pathological treatment of people with disabilities, and discusses the influence of this approach in early federal legislation and social policy. Part III focuses on the birth of the modern civil rights movement with regard to disability and analyzes the initial effects of this movement on federal legislation. Part IV examines the strange fusion of the medical, social pathology, and civil rights treatments of people with disabilities in current legislation, concentrating on Section 504 of the Rehabilitation Act of 1973 and the ADA. This Comment concludes that until the national consciousness is raised through activities such as those used by other minority communities in their searches for equal treatment, Congress will continue to rely on the </w:t>
      </w:r>
      <w:r w:rsidRPr="00D81FFB">
        <w:lastRenderedPageBreak/>
        <w:t>medical and social pathology models in enacting laws such as the ADA, and society will continue to view people with disabilities as inherently inferior.</w:t>
      </w:r>
    </w:p>
    <w:p w:rsidR="00D81FFB" w:rsidRPr="00D81FFB" w:rsidRDefault="00D81FFB" w:rsidP="00D81FFB"/>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 xml:space="preserve">Universal design fosters inclusive infrastructure and deconstructs the medical model </w:t>
      </w:r>
    </w:p>
    <w:p w:rsidR="00D81FFB" w:rsidRPr="00D81FFB" w:rsidRDefault="00D81FFB" w:rsidP="00D81FFB">
      <w:pPr>
        <w:rPr>
          <w:rFonts w:ascii="Times New Roman" w:hAnsi="Times New Roman" w:cs="Times New Roman"/>
        </w:rPr>
      </w:pPr>
      <w:r w:rsidRPr="00D81FFB">
        <w:rPr>
          <w:rFonts w:ascii="Times New Roman" w:hAnsi="Times New Roman" w:cs="Times New Roman"/>
        </w:rPr>
        <w:t xml:space="preserve">Kathryn </w:t>
      </w:r>
      <w:r w:rsidRPr="00D81FFB">
        <w:rPr>
          <w:rStyle w:val="StyleStyleBold12pt"/>
          <w:rFonts w:ascii="Times New Roman" w:hAnsi="Times New Roman" w:cs="Times New Roman"/>
        </w:rPr>
        <w:t>Sullivan</w:t>
      </w:r>
      <w:r w:rsidRPr="00D81FFB">
        <w:rPr>
          <w:rFonts w:ascii="Times New Roman" w:hAnsi="Times New Roman" w:cs="Times New Roman"/>
        </w:rPr>
        <w:t xml:space="preserve"> Franklin W. Olin College of Engineering, 5/2/20</w:t>
      </w:r>
      <w:r w:rsidRPr="00D81FFB">
        <w:rPr>
          <w:rStyle w:val="StyleStyleBold12pt"/>
          <w:rFonts w:ascii="Times New Roman" w:hAnsi="Times New Roman" w:cs="Times New Roman"/>
        </w:rPr>
        <w:t>11</w:t>
      </w:r>
      <w:r w:rsidRPr="00D81FFB">
        <w:rPr>
          <w:rFonts w:ascii="Times New Roman" w:hAnsi="Times New Roman" w:cs="Times New Roman"/>
          <w:sz w:val="12"/>
        </w:rPr>
        <w:t xml:space="preserve"> </w:t>
      </w:r>
      <w:r w:rsidRPr="00D81FFB">
        <w:rPr>
          <w:rFonts w:ascii="Times New Roman" w:hAnsi="Times New Roman" w:cs="Times New Roman"/>
        </w:rPr>
        <w:t>[“The Prevalence of the Medical Model of Disability in Society”, Olin College, http://digitalcommons.olin.edu/cgi/viewcontent.cgi?article=1017&amp;context=ahs_capstone_2011&amp;sei-redir=1&amp;referer=http%3A%2F%2Fscholar.google.com%2Fscholar%3Fstart%3D20%26q%3D%2522medical%2Bmodel%2522%2BAND%2Btransportation%2BAND%2B%2522universal%2Bdesign%2522%2BOR%2BUD%26hl%3Den%26as_sdt%3D0%2C30%26as_ylo%3D2008#search=%22medical%20model%20transportation%20universal%20design%20OR%20UD%22]MW</w:t>
      </w:r>
    </w:p>
    <w:p w:rsidR="00D81FFB" w:rsidRPr="00D81FFB" w:rsidRDefault="00D81FFB" w:rsidP="00D81FFB">
      <w:r w:rsidRPr="00D81FFB">
        <w:t xml:space="preserve"> Many designers are now beginning to acknowledge the social model of disability </w:t>
      </w:r>
      <w:proofErr w:type="gramStart"/>
      <w:r w:rsidRPr="00D81FFB">
        <w:t>by  recognizing</w:t>
      </w:r>
      <w:proofErr w:type="gramEnd"/>
      <w:r w:rsidRPr="00D81FFB">
        <w:t xml:space="preserve"> that in designing, they have the power to create or eliminate disability. A </w:t>
      </w:r>
      <w:proofErr w:type="gramStart"/>
      <w:r w:rsidRPr="00D81FFB">
        <w:t>badly  designed</w:t>
      </w:r>
      <w:proofErr w:type="gramEnd"/>
      <w:r w:rsidRPr="00D81FFB">
        <w:t xml:space="preserve"> interface might unnecessarily create a population of users who are “disabled” with  respect to that system (</w:t>
      </w:r>
      <w:proofErr w:type="spellStart"/>
      <w:r w:rsidRPr="00D81FFB">
        <w:t>Mankoff</w:t>
      </w:r>
      <w:proofErr w:type="spellEnd"/>
      <w:r w:rsidRPr="00D81FFB">
        <w:t xml:space="preserve"> 4). This lends to the importance of designing inclusively, </w:t>
      </w:r>
      <w:proofErr w:type="gramStart"/>
      <w:r w:rsidRPr="00D81FFB">
        <w:t>to  avoid</w:t>
      </w:r>
      <w:proofErr w:type="gramEnd"/>
      <w:r w:rsidRPr="00D81FFB">
        <w:t xml:space="preserve"> marginalizing atypical users. Universal design seeks to design all products, buildings </w:t>
      </w:r>
      <w:proofErr w:type="gramStart"/>
      <w:r w:rsidRPr="00D81FFB">
        <w:t>and  interiors</w:t>
      </w:r>
      <w:proofErr w:type="gramEnd"/>
      <w:r w:rsidRPr="00D81FFB">
        <w:t xml:space="preserve"> to be used by all people to the greatest extent possible regardless of their physical  abilities (Bailey). Some key principles of Universal Design include equitability and flexibility </w:t>
      </w:r>
      <w:proofErr w:type="gramStart"/>
      <w:r w:rsidRPr="00D81FFB">
        <w:t>in  use</w:t>
      </w:r>
      <w:proofErr w:type="gramEnd"/>
      <w:r w:rsidRPr="00D81FFB">
        <w:t xml:space="preserve">, as well as avoiding the stigmatization or segregation of any set of users (1997 NC State  University, The Center for Universal Design). These principles “provide designers with the </w:t>
      </w:r>
      <w:proofErr w:type="gramStart"/>
      <w:r w:rsidRPr="00D81FFB">
        <w:t>tools  to</w:t>
      </w:r>
      <w:proofErr w:type="gramEnd"/>
      <w:r w:rsidRPr="00D81FFB">
        <w:t xml:space="preserve"> effectively eliminate disabilities caused from barriers within the environment” (Bailey).  Examples of features in line with universal design principles include closed captioning </w:t>
      </w:r>
      <w:proofErr w:type="gramStart"/>
      <w:r w:rsidRPr="00D81FFB">
        <w:t>on  televisions</w:t>
      </w:r>
      <w:proofErr w:type="gramEnd"/>
      <w:r w:rsidRPr="00D81FFB">
        <w:t xml:space="preserve">, and visual and audio display of information in subway cars. When the needs </w:t>
      </w:r>
      <w:proofErr w:type="gramStart"/>
      <w:r w:rsidRPr="00D81FFB">
        <w:t>of  different</w:t>
      </w:r>
      <w:proofErr w:type="gramEnd"/>
      <w:r w:rsidRPr="00D81FFB">
        <w:t xml:space="preserve"> people are considered in design, this is a step towards the social model of disability and  towards acceptance of people with disabilities. Assistive technology is beneficial because it can allow greater independence </w:t>
      </w:r>
      <w:proofErr w:type="gramStart"/>
      <w:r w:rsidRPr="00D81FFB">
        <w:t>and  functionality</w:t>
      </w:r>
      <w:proofErr w:type="gramEnd"/>
      <w:r w:rsidRPr="00D81FFB">
        <w:t xml:space="preserve"> to people with disabilities, bridging the gaps that might exist between what the  people would like to do and what the existing social infrastructure </w:t>
      </w:r>
      <w:proofErr w:type="spellStart"/>
      <w:r w:rsidRPr="00D81FFB">
        <w:t>doesn.t</w:t>
      </w:r>
      <w:proofErr w:type="spellEnd"/>
      <w:r w:rsidRPr="00D81FFB">
        <w:t xml:space="preserve"> yet allow them to do  (</w:t>
      </w:r>
      <w:proofErr w:type="spellStart"/>
      <w:r w:rsidRPr="00D81FFB">
        <w:t>Hersh</w:t>
      </w:r>
      <w:proofErr w:type="spellEnd"/>
      <w:r w:rsidRPr="00D81FFB">
        <w:t xml:space="preserve"> 15). However, assistive technology can often have a strong health or </w:t>
      </w:r>
      <w:proofErr w:type="gramStart"/>
      <w:r w:rsidRPr="00D81FFB">
        <w:t>rehabilitation  flavor</w:t>
      </w:r>
      <w:proofErr w:type="gramEnd"/>
      <w:r w:rsidRPr="00D81FFB">
        <w:t xml:space="preserve">. After WWII, most assistive technology research and development focused on </w:t>
      </w:r>
      <w:proofErr w:type="gramStart"/>
      <w:r w:rsidRPr="00D81FFB">
        <w:t>medically  related</w:t>
      </w:r>
      <w:proofErr w:type="gramEnd"/>
      <w:r w:rsidRPr="00D81FFB">
        <w:t xml:space="preserve"> technology such as prosthetics and orthotics (Albrecht 675). This has linked </w:t>
      </w:r>
      <w:proofErr w:type="gramStart"/>
      <w:r w:rsidRPr="00D81FFB">
        <w:t>the  technology</w:t>
      </w:r>
      <w:proofErr w:type="gramEnd"/>
      <w:r w:rsidRPr="00D81FFB">
        <w:t xml:space="preserve"> needs of people with disabilities with the health domain. Since the medical </w:t>
      </w:r>
      <w:proofErr w:type="gramStart"/>
      <w:r w:rsidRPr="00D81FFB">
        <w:t>model  focuses</w:t>
      </w:r>
      <w:proofErr w:type="gramEnd"/>
      <w:r w:rsidRPr="00D81FFB">
        <w:t xml:space="preserve"> on the physical and functional limitations a person may demonstrate, assistive  technology designers often see this as a clear design objective that would have measurable  results (</w:t>
      </w:r>
      <w:proofErr w:type="spellStart"/>
      <w:r w:rsidRPr="00D81FFB">
        <w:t>Mankoff</w:t>
      </w:r>
      <w:proofErr w:type="spellEnd"/>
      <w:r w:rsidRPr="00D81FFB">
        <w:t xml:space="preserve"> 4). Thus when the medical model is used in the design of assistive technology</w:t>
      </w:r>
      <w:proofErr w:type="gramStart"/>
      <w:r w:rsidRPr="00D81FFB">
        <w:t>,  there</w:t>
      </w:r>
      <w:proofErr w:type="gramEnd"/>
      <w:r w:rsidRPr="00D81FFB">
        <w:t xml:space="preserve"> is typically less emphasis on aesthetics or form, since the rehabilitative function has  priority. In one study, people with disabilities indicated a belief that manufacturers of </w:t>
      </w:r>
      <w:proofErr w:type="gramStart"/>
      <w:r w:rsidRPr="00D81FFB">
        <w:t>proprietary  technology</w:t>
      </w:r>
      <w:proofErr w:type="gramEnd"/>
      <w:r w:rsidRPr="00D81FFB">
        <w:t xml:space="preserve"> do not appear to make an effort to make their devices aesthetically appealing  (Shinohara 5). Assistive technology designed for medical purposes such as  “fixing “ the  impairment has historically been designed for use in an institutional setting; this institutional  appearance can stigmatize the individual and confirm the  “otherness “ of disability (Bailey).  The medical model of assistive technology depict its users as passive and dependent on  others.(often professionals.) impressions of what is best for them. People with disabilities </w:t>
      </w:r>
      <w:proofErr w:type="gramStart"/>
      <w:r w:rsidRPr="00D81FFB">
        <w:t>might  often</w:t>
      </w:r>
      <w:proofErr w:type="gramEnd"/>
      <w:r w:rsidRPr="00D81FFB">
        <w:t xml:space="preserve"> not be considered users or consumers, but rather poor and powerless patients (Newell 172).  This is devaluing to people with disabilities. Letting the designers make decisions on behalf </w:t>
      </w:r>
      <w:proofErr w:type="gramStart"/>
      <w:r w:rsidRPr="00D81FFB">
        <w:t>of  people</w:t>
      </w:r>
      <w:proofErr w:type="gramEnd"/>
      <w:r w:rsidRPr="00D81FFB">
        <w:t xml:space="preserve"> with disabilities without valuing them as users leads to the persistence of medical model  views. Designers may have assumptions and stereotypes about people with disabilities that </w:t>
      </w:r>
      <w:proofErr w:type="gramStart"/>
      <w:r w:rsidRPr="00D81FFB">
        <w:t>can  become</w:t>
      </w:r>
      <w:proofErr w:type="gramEnd"/>
      <w:r w:rsidRPr="00D81FFB">
        <w:t xml:space="preserve"> embedded within the design (</w:t>
      </w:r>
      <w:proofErr w:type="spellStart"/>
      <w:r w:rsidRPr="00D81FFB">
        <w:t>Ratzka</w:t>
      </w:r>
      <w:proofErr w:type="spellEnd"/>
      <w:r w:rsidRPr="00D81FFB">
        <w:t xml:space="preserve">). A solution is to apply many of the </w:t>
      </w:r>
      <w:proofErr w:type="gramStart"/>
      <w:r w:rsidRPr="00D81FFB">
        <w:t>universal  design</w:t>
      </w:r>
      <w:proofErr w:type="gramEnd"/>
      <w:r w:rsidRPr="00D81FFB">
        <w:t xml:space="preserve"> principles to the design of assistive technology: It is better to lean towards the social  model in the design of assistive technology, where there is more of a focus on solving problems  of access, rather than on fixing a </w:t>
      </w:r>
      <w:proofErr w:type="spellStart"/>
      <w:r w:rsidRPr="00D81FFB">
        <w:t>person.s</w:t>
      </w:r>
      <w:proofErr w:type="spellEnd"/>
      <w:r w:rsidRPr="00D81FFB">
        <w:t xml:space="preserve"> </w:t>
      </w:r>
      <w:r w:rsidRPr="00D81FFB">
        <w:lastRenderedPageBreak/>
        <w:t>impairment. When the social model is incorporated</w:t>
      </w:r>
      <w:proofErr w:type="gramStart"/>
      <w:r w:rsidRPr="00D81FFB">
        <w:t>,  people</w:t>
      </w:r>
      <w:proofErr w:type="gramEnd"/>
      <w:r w:rsidRPr="00D81FFB">
        <w:t xml:space="preserve"> with disabilities are valued as customers, consumers, and people in the design process  (Newell 173). They thus have more of a say in the design of products and services they will use</w:t>
      </w:r>
      <w:proofErr w:type="gramStart"/>
      <w:r w:rsidRPr="00D81FFB">
        <w:t>,  and</w:t>
      </w:r>
      <w:proofErr w:type="gramEnd"/>
      <w:r w:rsidRPr="00D81FFB">
        <w:t xml:space="preserve"> can take more charge of their lives rather than having someone else decide what is best for  them. The US </w:t>
      </w:r>
      <w:proofErr w:type="spellStart"/>
      <w:r w:rsidRPr="00D81FFB">
        <w:t>Government.s</w:t>
      </w:r>
      <w:proofErr w:type="spellEnd"/>
      <w:r w:rsidRPr="00D81FFB">
        <w:t xml:space="preserve"> website on Disability Technology advocates for “Access </w:t>
      </w:r>
      <w:proofErr w:type="gramStart"/>
      <w:r w:rsidRPr="00D81FFB">
        <w:t>and  Independence</w:t>
      </w:r>
      <w:proofErr w:type="gramEnd"/>
      <w:r w:rsidRPr="00D81FFB">
        <w:t xml:space="preserve"> through technology”, rather than treatment or assistance ("Technology:  Disability.gov."). This phrasing represents steps towards acceptance of the social model </w:t>
      </w:r>
      <w:proofErr w:type="gramStart"/>
      <w:r w:rsidRPr="00D81FFB">
        <w:t>of  disability</w:t>
      </w:r>
      <w:proofErr w:type="gramEnd"/>
      <w:r w:rsidRPr="00D81FFB">
        <w:t>.  Much assistive technology that exists has been designed with the medical model in mind</w:t>
      </w:r>
      <w:proofErr w:type="gramStart"/>
      <w:r w:rsidRPr="00D81FFB">
        <w:t>,  which</w:t>
      </w:r>
      <w:proofErr w:type="gramEnd"/>
      <w:r w:rsidRPr="00D81FFB">
        <w:t xml:space="preserve"> serves to portray people with disabilities as deficient and dependent. When </w:t>
      </w:r>
      <w:proofErr w:type="gramStart"/>
      <w:r w:rsidRPr="00D81FFB">
        <w:t>designers  value</w:t>
      </w:r>
      <w:proofErr w:type="gramEnd"/>
      <w:r w:rsidRPr="00D81FFB">
        <w:t xml:space="preserve"> those with disabilities as users and not as patients, the medical model is less prevalent.  Universal design of technology is a step towards granting more access to all citizens </w:t>
      </w:r>
      <w:proofErr w:type="gramStart"/>
      <w:r w:rsidRPr="00D81FFB">
        <w:t>and  portraying</w:t>
      </w:r>
      <w:proofErr w:type="gramEnd"/>
      <w:r w:rsidRPr="00D81FFB">
        <w:t xml:space="preserve"> people with disabilities as normal members of society. However, even with </w:t>
      </w:r>
      <w:proofErr w:type="gramStart"/>
      <w:r w:rsidRPr="00D81FFB">
        <w:t>the  growing</w:t>
      </w:r>
      <w:proofErr w:type="gramEnd"/>
      <w:r w:rsidRPr="00D81FFB">
        <w:t xml:space="preserve"> popularity of universal design principles, the pre-existing attitudes of many designers  (influenced by the media and other factors) may still be present in the design of technology. The medical model can portray people with disabilities as abnormal, dependent, </w:t>
      </w:r>
      <w:proofErr w:type="gramStart"/>
      <w:r w:rsidRPr="00D81FFB">
        <w:t>and  inferior</w:t>
      </w:r>
      <w:proofErr w:type="gramEnd"/>
      <w:r w:rsidRPr="00D81FFB">
        <w:t xml:space="preserve">, as less-valued members of society. We need to be conscious of these negative </w:t>
      </w:r>
      <w:proofErr w:type="gramStart"/>
      <w:r w:rsidRPr="00D81FFB">
        <w:t>attitudes  and</w:t>
      </w:r>
      <w:proofErr w:type="gramEnd"/>
      <w:r w:rsidRPr="00D81FFB">
        <w:t xml:space="preserve"> how we may be reinforcing them. A solution is to aim for the adaption of more </w:t>
      </w:r>
      <w:proofErr w:type="gramStart"/>
      <w:r w:rsidRPr="00D81FFB">
        <w:t>humanistic  models</w:t>
      </w:r>
      <w:proofErr w:type="gramEnd"/>
      <w:r w:rsidRPr="00D81FFB">
        <w:t xml:space="preserve"> of disability such as the social and diversity models. Attitudes and policies in line </w:t>
      </w:r>
      <w:proofErr w:type="gramStart"/>
      <w:r w:rsidRPr="00D81FFB">
        <w:t>with  these</w:t>
      </w:r>
      <w:proofErr w:type="gramEnd"/>
      <w:r w:rsidRPr="00D81FFB">
        <w:t xml:space="preserve"> models recognize people with disabilities as important contributing members of society.  Pushing towards these models of disability, towards less </w:t>
      </w:r>
      <w:proofErr w:type="spellStart"/>
      <w:r w:rsidRPr="00D81FFB">
        <w:t>ableist</w:t>
      </w:r>
      <w:proofErr w:type="spellEnd"/>
      <w:r w:rsidRPr="00D81FFB">
        <w:t xml:space="preserve"> views, and towards reduction of negative portrayals of those with disabilities, is optimal. While strides have been made </w:t>
      </w:r>
      <w:proofErr w:type="gramStart"/>
      <w:r w:rsidRPr="00D81FFB">
        <w:t>towards  this</w:t>
      </w:r>
      <w:proofErr w:type="gramEnd"/>
      <w:r w:rsidRPr="00D81FFB">
        <w:t xml:space="preserve"> goal, the medical model unfortunately still remains entrenched in society to some extent and  so long as it is, people with disabilities will be seen as different from “normal” people and will  be marginalized in society. The Olin College survey showed that students held attitudes </w:t>
      </w:r>
      <w:proofErr w:type="gramStart"/>
      <w:r w:rsidRPr="00D81FFB">
        <w:t>that  were</w:t>
      </w:r>
      <w:proofErr w:type="gramEnd"/>
      <w:r w:rsidRPr="00D81FFB">
        <w:t xml:space="preserve"> based primarily off the social model but still had some medical model tendencies. It is </w:t>
      </w:r>
      <w:proofErr w:type="gramStart"/>
      <w:r w:rsidRPr="00D81FFB">
        <w:t>my  hope</w:t>
      </w:r>
      <w:proofErr w:type="gramEnd"/>
      <w:r w:rsidRPr="00D81FFB">
        <w:t xml:space="preserve"> that this paper will allow the reader to be more conscious and aware of how the models of  disability influence their beliefs and attitudes, and to try to avoid thinking of people with  disabilities as deficient or less capable people, but rather as unique individuals who have a lot to  offer to society.</w:t>
      </w:r>
    </w:p>
    <w:p w:rsidR="00D81FFB" w:rsidRPr="00D81FFB" w:rsidRDefault="00D81FFB" w:rsidP="00D81FFB">
      <w:pPr>
        <w:pStyle w:val="Heading3"/>
        <w:jc w:val="left"/>
        <w:rPr>
          <w:rFonts w:ascii="Times New Roman" w:hAnsi="Times New Roman" w:cs="Times New Roman"/>
          <w:u w:val="none"/>
        </w:rPr>
      </w:pPr>
      <w:r w:rsidRPr="00D81FFB">
        <w:rPr>
          <w:rFonts w:ascii="Times New Roman" w:hAnsi="Times New Roman" w:cs="Times New Roman"/>
          <w:u w:val="none"/>
        </w:rPr>
        <w:lastRenderedPageBreak/>
        <w:t>Contention Three is Solvency</w:t>
      </w:r>
    </w:p>
    <w:p w:rsidR="00D81FFB" w:rsidRPr="00D81FFB" w:rsidRDefault="00D81FFB" w:rsidP="00D81FFB">
      <w:pPr>
        <w:rPr>
          <w:rFonts w:ascii="Times New Roman" w:hAnsi="Times New Roman" w:cs="Times New Roman"/>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 xml:space="preserve">POLICY controls societal perception on disability </w:t>
      </w:r>
    </w:p>
    <w:p w:rsidR="00D81FFB" w:rsidRPr="00D81FFB" w:rsidRDefault="00D81FFB" w:rsidP="00D81FFB">
      <w:proofErr w:type="gramStart"/>
      <w:r w:rsidRPr="00D81FFB">
        <w:t xml:space="preserve">Irving Kenneth </w:t>
      </w:r>
      <w:r w:rsidRPr="00D81FFB">
        <w:rPr>
          <w:rStyle w:val="StyleStyleBold12pt"/>
          <w:rFonts w:ascii="Times New Roman" w:hAnsi="Times New Roman" w:cs="Times New Roman"/>
        </w:rPr>
        <w:t>Zola 1989</w:t>
      </w:r>
      <w:r w:rsidRPr="00D81FFB">
        <w:t xml:space="preserve"> an internationally-known activist and writer in the fields of medical sociology and disability rights.</w:t>
      </w:r>
      <w:proofErr w:type="gramEnd"/>
      <w:r w:rsidRPr="00D81FFB">
        <w:t xml:space="preserve"> He was a founding member of the Society for Disability Studies and the first editor of Disability Studies Quarterly, The Milbank Quarterly, Vol. 67, </w:t>
      </w:r>
      <w:proofErr w:type="gramStart"/>
      <w:r w:rsidRPr="00D81FFB">
        <w:t>Supplement</w:t>
      </w:r>
      <w:proofErr w:type="gramEnd"/>
      <w:r w:rsidRPr="00D81FFB">
        <w:t xml:space="preserve"> 2 (Part 2). Disability Policy: Restoring Socioeconomic Independence (1989), pp. 401-428, VJ</w:t>
      </w:r>
    </w:p>
    <w:p w:rsidR="00D81FFB" w:rsidRPr="00D81FFB" w:rsidRDefault="00D81FFB" w:rsidP="00D81FFB">
      <w:r w:rsidRPr="00D81FFB">
        <w:t xml:space="preserve">What I have tried to do in this article is demystify "the specialness" of disability. By seeing people with a disability as "different" with "special" needs, wants, and rights in this currently perceived world of finite resources, they are pitted against the needs, wants, and rights of the rest of the population (Stone 1984). It is clear that much has been achieved by recognizing that people with a disability have long been treated as an oppressed minority (Hahn 1984, 1985, 1986) and that much can be gained by using a civil rights strategy to enhance and clarify the rights of people with disabilities (Scotch 1984, 1989). On the other hand, as </w:t>
      </w:r>
      <w:proofErr w:type="spellStart"/>
      <w:r w:rsidRPr="00D81FFB">
        <w:t>Barnartt</w:t>
      </w:r>
      <w:proofErr w:type="spellEnd"/>
      <w:r w:rsidRPr="00D81FFB">
        <w:t xml:space="preserve"> and </w:t>
      </w:r>
      <w:proofErr w:type="spellStart"/>
      <w:r w:rsidRPr="00D81FFB">
        <w:t>Seelman</w:t>
      </w:r>
      <w:proofErr w:type="spellEnd"/>
      <w:r w:rsidRPr="00D81FFB">
        <w:t xml:space="preserve"> (1988) have pointed out, such an approach does have its limitations. I have argued in this article for an additional complementary strategy. Only when we acknowledge the near universality of disability and that all its dimensions (including the biomedical) are part of the social process by which the meanings of disability are negotiated will it be possible fully to appreciate how general public policy can affect this issue. Such a turnaround is easier said than done (</w:t>
      </w:r>
      <w:proofErr w:type="spellStart"/>
      <w:r w:rsidRPr="00D81FFB">
        <w:t>Milio</w:t>
      </w:r>
      <w:proofErr w:type="spellEnd"/>
      <w:r w:rsidRPr="00D81FFB">
        <w:t xml:space="preserve"> 1981). Thus, as </w:t>
      </w:r>
      <w:proofErr w:type="spellStart"/>
      <w:r w:rsidRPr="00D81FFB">
        <w:t>Borgatta</w:t>
      </w:r>
      <w:proofErr w:type="spellEnd"/>
      <w:r w:rsidRPr="00D81FFB">
        <w:t xml:space="preserve"> and Montgomery (1987) point out, to reexamine policy means to reexamine our basic values. There is a growing recognition from providers of service themselves (Katz 1984; </w:t>
      </w:r>
      <w:proofErr w:type="spellStart"/>
      <w:r w:rsidRPr="00D81FFB">
        <w:t>Osberg</w:t>
      </w:r>
      <w:proofErr w:type="spellEnd"/>
      <w:r w:rsidRPr="00D81FFB">
        <w:t xml:space="preserve"> 1983) and designers of the environment (</w:t>
      </w:r>
      <w:proofErr w:type="spellStart"/>
      <w:r w:rsidRPr="00D81FFB">
        <w:t>Lifchez</w:t>
      </w:r>
      <w:proofErr w:type="spellEnd"/>
      <w:r w:rsidRPr="00D81FFB">
        <w:t xml:space="preserve"> and Winslow 1979; </w:t>
      </w:r>
      <w:proofErr w:type="spellStart"/>
      <w:r w:rsidRPr="00D81FFB">
        <w:t>Lifchez</w:t>
      </w:r>
      <w:proofErr w:type="spellEnd"/>
      <w:r w:rsidRPr="00D81FFB">
        <w:t xml:space="preserve"> 1987) of their role in the creation of past problems and their necessary role in future solutions. But it is more difficult to think of the problems of health, disease, and disability on a basic </w:t>
      </w:r>
      <w:proofErr w:type="spellStart"/>
      <w:r w:rsidRPr="00D81FFB">
        <w:t>socialpolitical</w:t>
      </w:r>
      <w:proofErr w:type="spellEnd"/>
      <w:r w:rsidRPr="00D81FFB">
        <w:t xml:space="preserve">- economic level. While it has long been recognized that access to certain health resources will be affected by social, political, and economic factors, it is less accepted that the very health problems themselves may be created (Navarro 1976; </w:t>
      </w:r>
      <w:proofErr w:type="spellStart"/>
      <w:r w:rsidRPr="00D81FFB">
        <w:t>Waitzkin</w:t>
      </w:r>
      <w:proofErr w:type="spellEnd"/>
      <w:r w:rsidRPr="00D81FFB">
        <w:t xml:space="preserve"> 1983) and even perpetuated (</w:t>
      </w:r>
      <w:proofErr w:type="spellStart"/>
      <w:r w:rsidRPr="00D81FFB">
        <w:t>Illich</w:t>
      </w:r>
      <w:proofErr w:type="spellEnd"/>
      <w:r w:rsidRPr="00D81FFB">
        <w:t xml:space="preserve"> 1976; </w:t>
      </w:r>
      <w:proofErr w:type="spellStart"/>
      <w:r w:rsidRPr="00D81FFB">
        <w:t>Illich</w:t>
      </w:r>
      <w:proofErr w:type="spellEnd"/>
      <w:r w:rsidRPr="00D81FFB">
        <w:t xml:space="preserve"> et al. 1977) by those same forces. It is thus no accident that medicine as an institution (Starr 1982) and </w:t>
      </w:r>
      <w:proofErr w:type="spellStart"/>
      <w:r w:rsidRPr="00D81FFB">
        <w:t>medicalization</w:t>
      </w:r>
      <w:proofErr w:type="spellEnd"/>
      <w:r w:rsidRPr="00D81FFB">
        <w:t xml:space="preserve"> as process (Conrad and Schneider 1980; Zola 1983) hold such sway in the 20th century. For the focus on the individual disease, the individual patient, the individual treatment becomes at the same time a powerful </w:t>
      </w:r>
      <w:proofErr w:type="spellStart"/>
      <w:r w:rsidRPr="00D81FFB">
        <w:t>depoliticizer</w:t>
      </w:r>
      <w:proofErr w:type="spellEnd"/>
      <w:r w:rsidRPr="00D81FFB">
        <w:t xml:space="preserve"> of all the other external forces (Crawford 1977; Zola 1972). The power of an institution is often reflected not in the possession of formal power but in the influence it holds in the minds of the population (Zola 1983). Thus, after contact with medical institutions, people, both in and out of hospitals, tend to think of themselves and be thought of by others in terms of their diseases and disabilities (Gartner and Joe 1987; </w:t>
      </w:r>
      <w:proofErr w:type="spellStart"/>
      <w:r w:rsidRPr="00D81FFB">
        <w:t>Kadushin</w:t>
      </w:r>
      <w:proofErr w:type="spellEnd"/>
      <w:r w:rsidRPr="00D81FFB">
        <w:t xml:space="preserve"> 1969; Zola 1986). The first step to changing this situation is when the people themselves begin to question such images and such institutions (Boston Women's Health Book Collective 1984). The Independent Living Movement (</w:t>
      </w:r>
      <w:proofErr w:type="spellStart"/>
      <w:r w:rsidRPr="00D81FFB">
        <w:t>Dejong</w:t>
      </w:r>
      <w:proofErr w:type="spellEnd"/>
      <w:r w:rsidRPr="00D81FFB">
        <w:t xml:space="preserve"> 1983; Scotch 1984) has been in place for over a decade, but the first evidence for a changing consciousness on the part of a larger population is only now at hand. The Louis Harris and Associates (1986) poll of a national sample of people with disabilities indicated for the first time the beginning of a kinship across disabilities, the identification with the minority status of blacks and Hispanics, and a recognition of the long-term denial of their civil rights. I have no idea how widespread such a feeling is, but the movement is now cross-cultural with the formation of Disabled People's International in the early 1980s. And so I return to where I began-with the notion that a universal policy toward disability is not only a concern but in the interests of an entire society. What such a society might look like was examined by the Swedish Secretariat for Future Studies (1982) in a document 42 Irving Kenneth Zola aptly called A Caring Society. This report, while recognizing each person's uniqueness, also acknowledged their interdependence and </w:t>
      </w:r>
      <w:r w:rsidRPr="00D81FFB">
        <w:lastRenderedPageBreak/>
        <w:t>promulgates a concept of special needs which is not based on breaking the rules of order for the few but on designing a flexible world for the many (</w:t>
      </w:r>
      <w:proofErr w:type="spellStart"/>
      <w:r w:rsidRPr="00D81FFB">
        <w:t>Lifchez</w:t>
      </w:r>
      <w:proofErr w:type="spellEnd"/>
      <w:r w:rsidRPr="00D81FFB">
        <w:t xml:space="preserve"> 1987; Orleans and Orleans 1985). In short, what is done in the name of disability today will have meaning for all of society's tomorrows</w:t>
      </w:r>
    </w:p>
    <w:p w:rsidR="00D81FFB" w:rsidRPr="00D81FFB" w:rsidRDefault="00D81FFB" w:rsidP="00D81FFB">
      <w:pPr>
        <w:rPr>
          <w:rFonts w:ascii="Times New Roman" w:hAnsi="Times New Roman" w:cs="Times New Roman"/>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The status quo fails because it focuses on technical solutions to ‘fix’ disabled groups that stigmatize users and treat them as an afterthought. UD is key- it provides all necessary infrastructure in a single integrated system.</w:t>
      </w:r>
    </w:p>
    <w:p w:rsidR="00D81FFB" w:rsidRPr="00D81FFB" w:rsidRDefault="00D81FFB" w:rsidP="00D81FFB">
      <w:pPr>
        <w:rPr>
          <w:rFonts w:ascii="Times New Roman" w:hAnsi="Times New Roman" w:cs="Times New Roman"/>
        </w:rPr>
      </w:pPr>
      <w:proofErr w:type="spellStart"/>
      <w:r w:rsidRPr="00D81FFB">
        <w:rPr>
          <w:rFonts w:ascii="Times New Roman" w:hAnsi="Times New Roman" w:cs="Times New Roman"/>
        </w:rPr>
        <w:t>Ivonne</w:t>
      </w:r>
      <w:proofErr w:type="spellEnd"/>
      <w:r w:rsidRPr="00D81FFB">
        <w:rPr>
          <w:rFonts w:ascii="Times New Roman" w:hAnsi="Times New Roman" w:cs="Times New Roman"/>
        </w:rPr>
        <w:t xml:space="preserve"> </w:t>
      </w:r>
      <w:proofErr w:type="spellStart"/>
      <w:r w:rsidRPr="00D81FFB">
        <w:rPr>
          <w:rStyle w:val="StyleStyleBold12pt"/>
          <w:rFonts w:ascii="Times New Roman" w:hAnsi="Times New Roman" w:cs="Times New Roman"/>
        </w:rPr>
        <w:t>Audirac</w:t>
      </w:r>
      <w:proofErr w:type="spellEnd"/>
      <w:r w:rsidRPr="00D81FFB">
        <w:rPr>
          <w:rFonts w:ascii="Times New Roman" w:hAnsi="Times New Roman" w:cs="Times New Roman"/>
        </w:rPr>
        <w:t>, Florida State University, 5/16/20</w:t>
      </w:r>
      <w:r w:rsidRPr="00D81FFB">
        <w:rPr>
          <w:rStyle w:val="StyleStyleBold12pt"/>
          <w:rFonts w:ascii="Times New Roman" w:hAnsi="Times New Roman" w:cs="Times New Roman"/>
        </w:rPr>
        <w:t>08</w:t>
      </w:r>
      <w:r w:rsidRPr="00D81FFB">
        <w:rPr>
          <w:rFonts w:ascii="Times New Roman" w:hAnsi="Times New Roman" w:cs="Times New Roman"/>
        </w:rPr>
        <w:t>[“Accessing Transit as Universal Design”, Journal of Planning Literature 2008, Sage Journals, http://jpl.sagepub.com/content/23/1/4.full.pdf+html]MW</w:t>
      </w:r>
    </w:p>
    <w:p w:rsidR="00D81FFB" w:rsidRPr="00D81FFB" w:rsidRDefault="00D81FFB" w:rsidP="00D81FFB">
      <w:r w:rsidRPr="00D81FFB">
        <w:t>UD applied to transit is an inclusionary strategy that seeks to redress the aforementioned forms of social exclusion. Accessible transportation focused previously on technical solutions to removing physical barriers affecting specific disabled groups and providing dial-a-ride or specialized demand services. These strategies largely segregated and stigmatized users as “seniors” or “disabled.” Instead, UD emphasizes transportation that caters to all users regardless of age and ability in a single integrated system that combines both mass transit and real-time demand-responsive systems (</w:t>
      </w:r>
      <w:proofErr w:type="spellStart"/>
      <w:r w:rsidRPr="00D81FFB">
        <w:t>Grieco</w:t>
      </w:r>
      <w:proofErr w:type="spellEnd"/>
      <w:r w:rsidRPr="00D81FFB">
        <w:t xml:space="preserve"> 2003; Mitchell 1997). Enabled by ICT and borrowing from freight logistics, the European literature refers to this </w:t>
      </w:r>
      <w:proofErr w:type="spellStart"/>
      <w:r w:rsidRPr="00D81FFB">
        <w:t>systemas</w:t>
      </w:r>
      <w:proofErr w:type="spellEnd"/>
      <w:r w:rsidRPr="00D81FFB">
        <w:t xml:space="preserve"> the “complete transportation chain” (Mitchell 1997; Organization for Economic Cooperation and Development 2000; </w:t>
      </w:r>
      <w:proofErr w:type="spellStart"/>
      <w:r w:rsidRPr="00D81FFB">
        <w:t>Ståhl</w:t>
      </w:r>
      <w:proofErr w:type="spellEnd"/>
      <w:r w:rsidRPr="00D81FFB">
        <w:t xml:space="preserve"> 1999), while the American literature terms it the new “mobility management model” (TCRP 1999, 2000, 2002). These models require seamless integration of the supply side (i.e., system’s operation, infrastructure, and quality of service delivery) with the demand side (i.e., mobility needs of the widest number of users). Consequently, this often entails a complete reorganization of transit operations from traditional fixed-route, hub-and-spoke, and </w:t>
      </w:r>
      <w:proofErr w:type="spellStart"/>
      <w:r w:rsidRPr="00D81FFB">
        <w:t>setschedule</w:t>
      </w:r>
      <w:proofErr w:type="spellEnd"/>
      <w:r w:rsidRPr="00D81FFB">
        <w:t xml:space="preserve"> systems to flexible schedule systems with intelligent reservation centers that can identify passenger needs and aggregate individual preferences in real time, providing door-to-door service (Hine and </w:t>
      </w:r>
      <w:proofErr w:type="spellStart"/>
      <w:r w:rsidRPr="00D81FFB">
        <w:t>Grieco</w:t>
      </w:r>
      <w:proofErr w:type="spellEnd"/>
      <w:r w:rsidRPr="00D81FFB">
        <w:t xml:space="preserve"> 2002). Despite its technical feasibility in the current ICT era, institutional, organizational, legal, and old market structures remain important barriers to the full realization of these integrated-transit models touted as the means to bring about “a new relationship between accessibility, mobility and the previously socially excluded” (Hine and </w:t>
      </w:r>
      <w:proofErr w:type="spellStart"/>
      <w:r w:rsidRPr="00D81FFB">
        <w:t>Grieco</w:t>
      </w:r>
      <w:proofErr w:type="spellEnd"/>
      <w:r w:rsidRPr="00D81FFB">
        <w:t xml:space="preserve"> 2002, 4). In a conceptual discussion of UD and accessibility, </w:t>
      </w:r>
      <w:proofErr w:type="spellStart"/>
      <w:r w:rsidRPr="00D81FFB">
        <w:t>Iwarsson</w:t>
      </w:r>
      <w:proofErr w:type="spellEnd"/>
      <w:r w:rsidRPr="00D81FFB">
        <w:t xml:space="preserve"> and Stahl (2003) differentiate between three dimensions of physical accessibility5: (1) micro accessibility related to the immediate proximal environment, (2) </w:t>
      </w:r>
      <w:proofErr w:type="spellStart"/>
      <w:r w:rsidRPr="00D81FFB">
        <w:t>meso</w:t>
      </w:r>
      <w:proofErr w:type="spellEnd"/>
      <w:r w:rsidRPr="00D81FFB">
        <w:t xml:space="preserve"> or neighborhood or city-level accessibility, and (3) macro or metropolitan or regional accessibility. This article applies these scales of accessibility to the previously discussed dimensions of mobility-related social exclusion (i.e., immobility) to assess the transit features requiring a UD approach. As shown in Table 3, a UD perspective applied to transit underscores the notion that: 1. Addressing physical exclusion at the micro level of accessibility involves planning, designing, and operating transit systems that are easy for all users. This includes not only passengers with physical, sensory, or cognitive impairment but also those with language or cultural barriers, people with children, individuals carrying baggage or parcels, or those who are new to the area (</w:t>
      </w:r>
      <w:proofErr w:type="spellStart"/>
      <w:r w:rsidRPr="00D81FFB">
        <w:t>Suen</w:t>
      </w:r>
      <w:proofErr w:type="spellEnd"/>
      <w:r w:rsidRPr="00D81FFB">
        <w:t xml:space="preserve"> and Mitchell 1999). Micro-level accessibility requires barrier-free retrofitting of the existing physical built environment; however, future development to be served with transit requires planning for UD to avoid the need for retrofitting or </w:t>
      </w:r>
      <w:proofErr w:type="spellStart"/>
      <w:r w:rsidRPr="00D81FFB">
        <w:t>readaptation</w:t>
      </w:r>
      <w:proofErr w:type="spellEnd"/>
      <w:r w:rsidRPr="00D81FFB">
        <w:t xml:space="preserve">. This includes consideration of pedestrian infrastructure and streetscape (e.g., sidewalks, traffic signals, crosswalks, street crossings, and street furniture) and their interface with automobile facilities (e.g., park and ride, kiss and ride), and transit passenger facilities (e.g., terminals, stations, stops). Universally designed transit accessibility at the micro level requires bus-stop boarding pads and street curbs that are leveled with low-floor buses. This not only makes shorter and easier bus boarding and alighting for all (i.e., wheelchair passengers, frail and/or ambulant disabled people, patrons with small children or those carrying baggage or parcels), it also reduces bus dwell time. Low-floor buses with </w:t>
      </w:r>
      <w:r w:rsidRPr="00D81FFB">
        <w:lastRenderedPageBreak/>
        <w:t xml:space="preserve">lifts or ramps meet barrier-free design criteria, but strictly speaking, ramps and lifts are ADA bus design </w:t>
      </w:r>
      <w:proofErr w:type="spellStart"/>
      <w:r w:rsidRPr="00D81FFB">
        <w:t>readaptations</w:t>
      </w:r>
      <w:proofErr w:type="spellEnd"/>
      <w:r w:rsidRPr="00D81FFB">
        <w:t xml:space="preserve"> that increase bus dwelling time and stigmatize wheelchair users or anyone needing them. Thus, although they are a form of inclusive design, they are not UD solutions to micro-level transit accessibility.</w:t>
      </w:r>
    </w:p>
    <w:p w:rsidR="00D81FFB" w:rsidRPr="00D81FFB" w:rsidRDefault="00D81FFB" w:rsidP="00D81FFB">
      <w:pPr>
        <w:rPr>
          <w:rFonts w:ascii="Times New Roman" w:hAnsi="Times New Roman" w:cs="Times New Roman"/>
        </w:rPr>
      </w:pPr>
    </w:p>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FEDERAL action is crucial – it signifies the elevation of universal design to a CIVIL RIGHTS issue – and thus is both SYMBOLICALLY and ETHICALLY unique in a way that STATE GOVERNMENTS can’t solve</w:t>
      </w:r>
    </w:p>
    <w:p w:rsidR="00D81FFB" w:rsidRPr="00D81FFB" w:rsidRDefault="00D81FFB" w:rsidP="00D81FFB">
      <w:pPr>
        <w:rPr>
          <w:rFonts w:ascii="Times New Roman" w:hAnsi="Times New Roman" w:cs="Times New Roman"/>
        </w:rPr>
      </w:pPr>
      <w:r w:rsidRPr="00D81FFB">
        <w:rPr>
          <w:rFonts w:ascii="Times New Roman" w:hAnsi="Times New Roman" w:cs="Times New Roman"/>
        </w:rPr>
        <w:t xml:space="preserve">Stephen L. </w:t>
      </w:r>
      <w:r w:rsidRPr="00D81FFB">
        <w:rPr>
          <w:rStyle w:val="StyleStyleBold12pt"/>
          <w:rFonts w:ascii="Times New Roman" w:hAnsi="Times New Roman" w:cs="Times New Roman"/>
        </w:rPr>
        <w:t>Percy</w:t>
      </w:r>
      <w:r w:rsidRPr="00D81FFB">
        <w:rPr>
          <w:rFonts w:ascii="Times New Roman" w:hAnsi="Times New Roman" w:cs="Times New Roman"/>
        </w:rPr>
        <w:t xml:space="preserve">, professor School of Public and International Affairs, Ph.D., Indiana University A.B., Hamilton College, ‘Disability policy in the United States,’ </w:t>
      </w:r>
      <w:r w:rsidRPr="00D81FFB">
        <w:rPr>
          <w:rStyle w:val="StyleStyleBold12pt"/>
          <w:rFonts w:ascii="Times New Roman" w:hAnsi="Times New Roman" w:cs="Times New Roman"/>
        </w:rPr>
        <w:t>2002</w:t>
      </w:r>
    </w:p>
    <w:p w:rsidR="00D81FFB" w:rsidRPr="00D81FFB" w:rsidRDefault="00D81FFB" w:rsidP="00D81FFB">
      <w:r w:rsidRPr="00D81FFB">
        <w:t xml:space="preserve">The Americans with Disabilities Act abandoned the condition-of-aid approach and set forth a variety of statutory mandates prohibiting some actions and pre-scribing others for state and local governments and the private sector. This shift in policy approach was congruent with the view of the ADA advocates that strong federal requirements bearing down upon both the public and private sectors were required to break down persistent discrimination based on disability. Through the ADA, national standards concerning non-discrimination and those providing reasonable accommodations were established across the nation through a single statute – pre-empting the governing authority of states and localities.40 Adopting a national rather than </w:t>
      </w:r>
      <w:proofErr w:type="spellStart"/>
      <w:r w:rsidRPr="00D81FFB">
        <w:t>subnational</w:t>
      </w:r>
      <w:proofErr w:type="spellEnd"/>
      <w:r w:rsidRPr="00D81FFB">
        <w:t xml:space="preserve">, or centralized versus de-centralized, policy model for disability rights protections responded to a concern that not all states could be counted on to enact serious non-discrimination statuses. The Senate Committee on Labor and Human Resources (of the US Congress), in its report on the ADA, cited the testimony of one disability rights activist who claimed that “Enough time has, in my opinion, been given to the States to legislate what is right. Too many states, for whatever reason, still perpetuate confusion. It is time for Federal action.”41 The ADA’s federal pre-emption of state and local authority was also propelled by the general agreement in Congress that the ADA represented another in a series of civil rights policies for which the federal government had accepted primary responsibility for enacting and enforcing. Despite the fact that Republicans during the presidential administrations of Ronald Reagan and George Bush regularly railed against the creation of new federal mandates, there was widespread support for the ADA in both houses of Congress and in the White House – unusual bipartisan support for major civil rights legislation. While some Republicans, taking a conservative stance, voiced displeasure about ADA provisions concerning coverage, enforcement, and penalties, they were generally comfortable with the plan for a national civil rights bill for people with disabilities which would strengthen and expand the mandates included in earlier federal laws. Attorney-General Richard Thornburgh, for example, testifying on behalf of President Bush at congressional hearings on the ADA, claimed that “Over the last 20 years, civil rights laws protecting disabled persons have been enacted in a piecemeal fashion. Thus, existing Federal laws are like a patchwork quilt in need of repair. There are holes in the fabric, serious gaps in coverage that leave persons with disabilities without adequate civil rights protections.”42 The move to “nationalize” disability rights policy also reflected the willingness of Congress to enact pre-emption statuses in the area of civil rights43 and a shift in federalism away from aiding places and toward directly aiding persons.44 By the late 1980s, the disability movement had reached full political force, joining interest groups that had proliferated in other policy areas and who were having a growing impact on policy issues related to federalism.45 Scores of national, state, and local organizations representing persons with disabilities had, by this time, organized politically, adopted effective political tactics, and learned to cooperate in pursuit of national civil rights legislation to end discrimination based on disability. These groups demanded that people with disabilities be recognized as full citizens of the United States and that the federal government take action to ensure that they receive full benefits of that citizenship. They </w:t>
      </w:r>
      <w:r w:rsidRPr="00D81FFB">
        <w:lastRenderedPageBreak/>
        <w:t>were joined by civil rights organizations representing women and minorities who helped sustain the push for enactment of comprehensive national civil rights legislation.</w:t>
      </w:r>
    </w:p>
    <w:p w:rsidR="00D81FFB" w:rsidRPr="00D81FFB" w:rsidRDefault="00D81FFB" w:rsidP="00D81FFB"/>
    <w:p w:rsidR="00D81FFB" w:rsidRPr="00D81FFB" w:rsidRDefault="00D81FFB" w:rsidP="00D81FFB">
      <w:pPr>
        <w:pStyle w:val="Heading4"/>
        <w:rPr>
          <w:rFonts w:ascii="Times New Roman" w:hAnsi="Times New Roman" w:cs="Times New Roman"/>
        </w:rPr>
      </w:pPr>
      <w:r w:rsidRPr="00D81FFB">
        <w:rPr>
          <w:rFonts w:ascii="Times New Roman" w:hAnsi="Times New Roman" w:cs="Times New Roman"/>
        </w:rPr>
        <w:t>This debate round is key-- our pedagogy should prioritize a transformative politics of disability. That provides a discourse to challenge status quo segregation.</w:t>
      </w:r>
    </w:p>
    <w:p w:rsidR="00D81FFB" w:rsidRPr="00D81FFB" w:rsidRDefault="00D81FFB" w:rsidP="00D81FFB">
      <w:pPr>
        <w:pStyle w:val="Nothing"/>
      </w:pPr>
      <w:r w:rsidRPr="00D81FFB">
        <w:t xml:space="preserve">Fitch E. </w:t>
      </w:r>
      <w:r w:rsidRPr="00D81FFB">
        <w:rPr>
          <w:rStyle w:val="StyleStyleBold12pt"/>
        </w:rPr>
        <w:t xml:space="preserve">Frank, </w:t>
      </w:r>
      <w:r w:rsidRPr="00D81FFB">
        <w:t>Prof in the Department of Educational Philosophy with the University of Miami Fall 20</w:t>
      </w:r>
      <w:r w:rsidRPr="00D81FFB">
        <w:rPr>
          <w:rStyle w:val="Heading4Char"/>
          <w:rFonts w:ascii="Times New Roman" w:hAnsi="Times New Roman" w:cs="Times New Roman"/>
        </w:rPr>
        <w:t>02</w:t>
      </w:r>
      <w:r w:rsidRPr="00D81FFB">
        <w:t xml:space="preserve">[“Disability and inclusion: From labeling deviance to social valuing,” </w:t>
      </w:r>
      <w:hyperlink r:id="rId12" w:tooltip="Click to search for more items from this journal" w:history="1">
        <w:r w:rsidRPr="00D81FFB">
          <w:t>Educational Theory</w:t>
        </w:r>
      </w:hyperlink>
      <w:hyperlink r:id="rId13" w:tooltip="Click to search for more items from this issue" w:history="1">
        <w:r w:rsidRPr="00D81FFB">
          <w:rPr>
            <w:noProof/>
          </w:rPr>
          <w:drawing>
            <wp:inline distT="0" distB="0" distL="0" distR="0">
              <wp:extent cx="38100" cy="38100"/>
              <wp:effectExtent l="0" t="0" r="0" b="0"/>
              <wp:docPr id="3" name="Picture 1" descr="Description: Description: Description: http://search.proquest.com/assets/r9.0.1-0/core/spacer.gif">
                <a:hlinkClick xmlns:a="http://schemas.openxmlformats.org/drawingml/2006/main" r:id="rId13"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http://search.proquest.com/assets/r9.0.1-0/core/spacer.gif">
                        <a:hlinkClick r:id="rId13" tooltip="&quot;Click to search for more items from this issue&quot;"/>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 cy="38100"/>
                      </a:xfrm>
                      <a:prstGeom prst="rect">
                        <a:avLst/>
                      </a:prstGeom>
                      <a:noFill/>
                      <a:ln>
                        <a:noFill/>
                      </a:ln>
                    </pic:spPr>
                  </pic:pic>
                </a:graphicData>
              </a:graphic>
            </wp:inline>
          </w:drawing>
        </w:r>
        <w:r w:rsidRPr="00D81FFB">
          <w:t xml:space="preserve">52. 4, </w:t>
        </w:r>
        <w:proofErr w:type="spellStart"/>
        <w:r w:rsidRPr="00D81FFB">
          <w:t>p.pq</w:t>
        </w:r>
        <w:proofErr w:type="spellEnd"/>
        <w:r w:rsidRPr="00D81FFB">
          <w:t>]</w:t>
        </w:r>
      </w:hyperlink>
    </w:p>
    <w:p w:rsidR="00D81FFB" w:rsidRPr="00D81FFB" w:rsidRDefault="00D81FFB" w:rsidP="00D81FFB">
      <w:r w:rsidRPr="00D81FFB">
        <w:t xml:space="preserve">Signs are part of an ideological struggle that attempts to create </w:t>
      </w:r>
      <w:proofErr w:type="spellStart"/>
      <w:r w:rsidRPr="00D81FFB">
        <w:t>aparticular</w:t>
      </w:r>
      <w:proofErr w:type="spellEnd"/>
      <w:r w:rsidRPr="00D81FFB">
        <w:t xml:space="preserve"> regime of representation that seeks to legitimate a certain cultural reality.54 Disability has historically played a central role in signifying otherness and justifying discrimination among other subordinate groups. Disabled people continue to be subject to a regime of representation that maintains a segregationist system of "special" and "regular" education. The significance of traditionalist discourse in maintaining this particular cultural reality is difficult to overestimate; it has perpetuated a dual system that remains deeply entrenched in the social commitments of categorically defined special interest advocacy groups; in the structure of health, education, and welfare programs at direct service levels; in the staffing of teacher training institutions; in other professional training programs and in general public thinking.55 The traditionalist or medical model of disability intersects with forms of oppression in complex and pervasive ways. It plays a pivotal role in maintaining an "ability" tracked system of education that covertly segregates by race, class, and ethnicity. As long as disability retains its naturalized biological status, it will continue in the service of domination. Labeling deviance theory has played a key role in challenging this regime of representation. In highlighting the linguistic, socially constructed nature of disability it has helped to </w:t>
      </w:r>
      <w:proofErr w:type="spellStart"/>
      <w:r w:rsidRPr="00D81FFB">
        <w:t>problematize</w:t>
      </w:r>
      <w:proofErr w:type="spellEnd"/>
      <w:r w:rsidRPr="00D81FFB">
        <w:t xml:space="preserve"> normal/deviant boundaries. However, because it has not recognized the ideological, normative, and discursive dimensions of power it has been less than transformative. It has failed to offer an alternative discourse that can effectively cross these </w:t>
      </w:r>
      <w:proofErr w:type="gramStart"/>
      <w:r w:rsidRPr="00D81FFB">
        <w:t>boundaries, that</w:t>
      </w:r>
      <w:proofErr w:type="gramEnd"/>
      <w:r w:rsidRPr="00D81FFB">
        <w:t xml:space="preserve"> can move beyond the contradictions and limitations of an affirmative approach. A discourse of transformative valuing offers a way to finesse these limitations. I have sketched what it would mean to adopt a transformative versus an affirmative discourse across various educational settings. Displacing traditionalist discourse and eliminating the dual system of special and regular education will require a long struggle. In addition to building on the emerging alliance between inclusive and multicultural education, disability studies must become an integral part of multicultural curricula in general. If the goal of critical multiculturalism is to render the ideological modes of domination visible, disability can no longer be overlooked as a site of political contestation and transformation. Any conceptual frame of reference or theory obscures some facts while rendering others visible and comprehensible. As outlined here, a transformative discourse of social valuing suggests an alternative language and perspective on the "facts" or "problem" of disability. Conceptualizing the nature and location of the problem has significant policy implications for general and special education, multicultural education, disability studies, and the inclusion movement. It renders visible the dimensions of power in the construction of disability and the legitimization of exclusion. It invites the kind of discourse and pedagogy that can help identify what represses and how it can be altered.56 It envisions the role of educators as transformative intellectuals who work to build alternative, inclusive public spheres.57 It opens up the potential to "analyze hitherto undreamt of possibilities by putting new linguistic and other practices into play and enacting new social constructs."58</w:t>
      </w:r>
    </w:p>
    <w:p w:rsidR="000022F2" w:rsidRPr="00D81FFB" w:rsidRDefault="000022F2" w:rsidP="00D17C4E"/>
    <w:sectPr w:rsidR="000022F2" w:rsidRPr="00D81FFB"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8A2" w:rsidRDefault="00F858A2" w:rsidP="005F5576">
      <w:r>
        <w:separator/>
      </w:r>
    </w:p>
  </w:endnote>
  <w:endnote w:type="continuationSeparator" w:id="0">
    <w:p w:rsidR="00F858A2" w:rsidRDefault="00F858A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8A2" w:rsidRDefault="00F858A2" w:rsidP="005F5576">
      <w:r>
        <w:separator/>
      </w:r>
    </w:p>
  </w:footnote>
  <w:footnote w:type="continuationSeparator" w:id="0">
    <w:p w:rsidR="00F858A2" w:rsidRDefault="00F858A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F858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1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FF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D91"/>
    <w:rsid w:val="00F3380E"/>
    <w:rsid w:val="00F40837"/>
    <w:rsid w:val="00F42F79"/>
    <w:rsid w:val="00F47773"/>
    <w:rsid w:val="00F5019D"/>
    <w:rsid w:val="00F56308"/>
    <w:rsid w:val="00F634D6"/>
    <w:rsid w:val="00F64385"/>
    <w:rsid w:val="00F6473F"/>
    <w:rsid w:val="00F76366"/>
    <w:rsid w:val="00F805C0"/>
    <w:rsid w:val="00F858A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1FF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D81FFB"/>
    <w:pPr>
      <w:spacing w:after="0" w:line="240" w:lineRule="auto"/>
      <w:jc w:val="both"/>
    </w:pPr>
    <w:rPr>
      <w:rFonts w:ascii="Times New Roman" w:eastAsiaTheme="minorEastAsia" w:hAnsi="Times New Roman" w:cs="Times New Roman"/>
      <w:sz w:val="20"/>
      <w:szCs w:val="24"/>
    </w:rPr>
  </w:style>
  <w:style w:type="character" w:customStyle="1" w:styleId="Author-Date">
    <w:name w:val="Author-Date"/>
    <w:qFormat/>
    <w:rsid w:val="00D81FFB"/>
    <w:rPr>
      <w:b/>
      <w:sz w:val="24"/>
    </w:rPr>
  </w:style>
  <w:style w:type="paragraph" w:customStyle="1" w:styleId="Cards">
    <w:name w:val="Cards"/>
    <w:next w:val="Nothing"/>
    <w:link w:val="CardsChar"/>
    <w:qFormat/>
    <w:rsid w:val="00D81FFB"/>
    <w:pPr>
      <w:widowControl w:val="0"/>
      <w:spacing w:after="0" w:line="240" w:lineRule="auto"/>
      <w:ind w:left="432" w:right="432"/>
    </w:pPr>
    <w:rPr>
      <w:rFonts w:ascii="Times New Roman" w:eastAsiaTheme="minorEastAsia" w:hAnsi="Times New Roman" w:cs="Times New Roman"/>
      <w:sz w:val="20"/>
      <w:szCs w:val="24"/>
    </w:rPr>
  </w:style>
  <w:style w:type="character" w:customStyle="1" w:styleId="NothingChar">
    <w:name w:val="Nothing Char"/>
    <w:link w:val="Nothing"/>
    <w:rsid w:val="00D81FFB"/>
    <w:rPr>
      <w:rFonts w:ascii="Times New Roman" w:eastAsiaTheme="minorEastAsia" w:hAnsi="Times New Roman" w:cs="Times New Roman"/>
      <w:sz w:val="20"/>
      <w:szCs w:val="24"/>
    </w:rPr>
  </w:style>
  <w:style w:type="character" w:customStyle="1" w:styleId="CardsChar">
    <w:name w:val="Cards Char"/>
    <w:link w:val="Cards"/>
    <w:rsid w:val="00D81FFB"/>
    <w:rPr>
      <w:rFonts w:ascii="Times New Roman" w:eastAsiaTheme="minorEastAsia" w:hAnsi="Times New Roman" w:cs="Times New Roman"/>
      <w:sz w:val="20"/>
      <w:szCs w:val="24"/>
    </w:rPr>
  </w:style>
  <w:style w:type="character" w:customStyle="1" w:styleId="lucenesearchresulturlb">
    <w:name w:val="lucene_search_result_url_b"/>
    <w:basedOn w:val="DefaultParagraphFont"/>
    <w:rsid w:val="00D81FFB"/>
  </w:style>
  <w:style w:type="paragraph" w:styleId="DocumentMap">
    <w:name w:val="Document Map"/>
    <w:basedOn w:val="Normal"/>
    <w:link w:val="DocumentMapChar"/>
    <w:uiPriority w:val="99"/>
    <w:semiHidden/>
    <w:rsid w:val="00D81FFB"/>
    <w:rPr>
      <w:rFonts w:ascii="Tahoma" w:hAnsi="Tahoma" w:cs="Tahoma"/>
      <w:sz w:val="16"/>
      <w:szCs w:val="16"/>
    </w:rPr>
  </w:style>
  <w:style w:type="character" w:customStyle="1" w:styleId="DocumentMapChar">
    <w:name w:val="Document Map Char"/>
    <w:basedOn w:val="DefaultParagraphFont"/>
    <w:link w:val="DocumentMap"/>
    <w:uiPriority w:val="99"/>
    <w:semiHidden/>
    <w:rsid w:val="00D81F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indexingvolumeissuelinkhandler/34718/Educational+Theory/02002Y10Y01$23Fall+2002$3b++Vol.+52+$284$29/52/4?accountid=10422"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earch.proquest.com/pubidlinkhandler/sng/pubtitle/Educational+Theory/$N/34718?accountid=104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undary2.dukejournals.org/content/29/1/125.full.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heinonline.org/HOL/Page?handle=hein.journals/tportl28&amp;id=184&amp;type=text&amp;collection=journals" TargetMode="External"/><Relationship Id="rId4" Type="http://schemas.openxmlformats.org/officeDocument/2006/relationships/styles" Target="styles.xml"/><Relationship Id="rId9" Type="http://schemas.openxmlformats.org/officeDocument/2006/relationships/hyperlink" Target="http://heinonline.org/HOL/Page?handle=hein.journals/tportl28&amp;div=12&amp;collection=journals&amp;set_as_cursor=0&amp;men_tab=srchresults"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10387</Words>
  <Characters>59207</Characters>
  <Application>Microsoft Office Word</Application>
  <DocSecurity>0</DocSecurity>
  <Lines>493</Lines>
  <Paragraphs>138</Paragraphs>
  <ScaleCrop>false</ScaleCrop>
  <Company/>
  <LinksUpToDate>false</LinksUpToDate>
  <CharactersWithSpaces>69456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2012-09-17T05:08:00Z</dcterms:created>
  <dcterms:modified xsi:type="dcterms:W3CDTF">2012-09-17T05:10:00Z</dcterms:modified>
</cp:coreProperties>
</file>