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40" w:rsidRDefault="00736B40" w:rsidP="00736B40">
      <w:pPr>
        <w:pStyle w:val="Heading4"/>
      </w:pPr>
      <w:r>
        <w:t>Their framework of CBA links to the 1AC</w:t>
      </w:r>
    </w:p>
    <w:p w:rsidR="00736B40" w:rsidRPr="009766A2" w:rsidRDefault="00736B40" w:rsidP="00736B40">
      <w:pPr>
        <w:rPr>
          <w:rFonts w:asciiTheme="minorHAnsi" w:hAnsiTheme="minorHAnsi"/>
          <w:sz w:val="16"/>
          <w:szCs w:val="16"/>
        </w:rPr>
      </w:pPr>
      <w:r w:rsidRPr="00C0414B">
        <w:rPr>
          <w:rStyle w:val="StyleStyleBold12pt"/>
        </w:rPr>
        <w:t>Graham and Healey 99</w:t>
      </w:r>
      <w:r w:rsidRPr="00116C7F">
        <w:rPr>
          <w:rFonts w:asciiTheme="minorHAnsi" w:hAnsiTheme="minorHAnsi"/>
        </w:rPr>
        <w:t xml:space="preserve">  </w:t>
      </w:r>
      <w:r w:rsidRPr="009766A2">
        <w:rPr>
          <w:rFonts w:asciiTheme="minorHAnsi" w:hAnsiTheme="minorHAnsi"/>
          <w:sz w:val="16"/>
          <w:szCs w:val="16"/>
        </w:rPr>
        <w:t>(Stephen Patsy - Centre for Research in European Urban Environments, School of Architecture, Planning and Landscape, University of Newcastle, “Relational concepts of space and place: Issues for planning theory and practice” European Planning Studies Volume 7, Issue 5, 1999 DOI:10.1080/09654319908720542 Taylor &amp; Francis)</w:t>
      </w:r>
    </w:p>
    <w:p w:rsidR="00736B40" w:rsidRPr="00D57FD8" w:rsidRDefault="00736B40" w:rsidP="00736B40"/>
    <w:p w:rsidR="00736B40" w:rsidRDefault="00736B40" w:rsidP="00736B40">
      <w:pPr>
        <w:rPr>
          <w:sz w:val="16"/>
        </w:rPr>
      </w:pPr>
      <w:r w:rsidRPr="00EB1706">
        <w:rPr>
          <w:sz w:val="16"/>
        </w:rPr>
        <w:t xml:space="preserve">Such </w:t>
      </w:r>
      <w:r w:rsidRPr="000C1C79">
        <w:rPr>
          <w:rStyle w:val="StyleBoldUnderline"/>
          <w:highlight w:val="green"/>
        </w:rPr>
        <w:t>relational issues</w:t>
      </w:r>
      <w:r w:rsidRPr="00EB1706">
        <w:rPr>
          <w:rStyle w:val="StyleBoldUnderline"/>
        </w:rPr>
        <w:t xml:space="preserve"> have been increasingly highlighted in the discussion of ecological impacts</w:t>
      </w:r>
      <w:r w:rsidRPr="00EB1706">
        <w:rPr>
          <w:sz w:val="16"/>
        </w:rPr>
        <w:t xml:space="preserve">. Recent </w:t>
      </w:r>
    </w:p>
    <w:p w:rsidR="00736B40" w:rsidRDefault="00736B40" w:rsidP="00736B40">
      <w:pPr>
        <w:rPr>
          <w:sz w:val="16"/>
        </w:rPr>
      </w:pPr>
      <w:r>
        <w:rPr>
          <w:sz w:val="16"/>
        </w:rPr>
        <w:t>AND</w:t>
      </w:r>
    </w:p>
    <w:p w:rsidR="00736B40" w:rsidRDefault="00736B40" w:rsidP="00736B40">
      <w:pPr>
        <w:rPr>
          <w:rStyle w:val="Emphasis"/>
        </w:rPr>
      </w:pPr>
      <w:bookmarkStart w:id="0" w:name="_GoBack"/>
      <w:bookmarkEnd w:id="0"/>
      <w:r w:rsidRPr="000C1C79">
        <w:rPr>
          <w:rStyle w:val="Emphasis"/>
          <w:highlight w:val="green"/>
        </w:rPr>
        <w:t xml:space="preserve">and force, and converted into a </w:t>
      </w:r>
      <w:proofErr w:type="spellStart"/>
      <w:r w:rsidRPr="000C1C79">
        <w:rPr>
          <w:rStyle w:val="Emphasis"/>
          <w:highlight w:val="green"/>
        </w:rPr>
        <w:t>despatialized</w:t>
      </w:r>
      <w:proofErr w:type="spellEnd"/>
      <w:r w:rsidRPr="000C1C79">
        <w:rPr>
          <w:rStyle w:val="Emphasis"/>
          <w:highlight w:val="green"/>
        </w:rPr>
        <w:t xml:space="preserve"> and </w:t>
      </w:r>
      <w:proofErr w:type="spellStart"/>
      <w:r w:rsidRPr="000C1C79">
        <w:rPr>
          <w:rStyle w:val="Emphasis"/>
          <w:highlight w:val="green"/>
        </w:rPr>
        <w:t>desocialized</w:t>
      </w:r>
      <w:proofErr w:type="spellEnd"/>
      <w:r w:rsidRPr="000C1C79">
        <w:rPr>
          <w:rStyle w:val="Emphasis"/>
          <w:highlight w:val="green"/>
        </w:rPr>
        <w:t xml:space="preserve"> quantum of impact</w:t>
      </w:r>
      <w:r w:rsidRPr="00D57FD8">
        <w:rPr>
          <w:rStyle w:val="Emphasis"/>
        </w:rPr>
        <w:t>.</w:t>
      </w:r>
    </w:p>
    <w:p w:rsidR="00736B40" w:rsidRDefault="00736B40" w:rsidP="00736B40">
      <w:pPr>
        <w:pStyle w:val="tag"/>
        <w:rPr>
          <w:rFonts w:ascii="Times New Roman Bold"/>
        </w:rPr>
      </w:pPr>
    </w:p>
    <w:p w:rsidR="00736B40" w:rsidRDefault="00736B40" w:rsidP="00736B40"/>
    <w:p w:rsidR="00736B40" w:rsidRPr="00A71676" w:rsidRDefault="00736B40" w:rsidP="00736B40">
      <w:pPr>
        <w:pStyle w:val="Heading4"/>
        <w:rPr>
          <w:rFonts w:cs="Calibri"/>
          <w:sz w:val="28"/>
        </w:rPr>
      </w:pPr>
      <w:r w:rsidRPr="00A71676">
        <w:rPr>
          <w:rFonts w:cs="Calibri"/>
          <w:sz w:val="28"/>
        </w:rPr>
        <w:t>Regardless of whether we can expose or fill the gap in our politics doesn’t matter – universalization is based off of the failure, and our policy to accommodate this failure is the best for solving our movement</w:t>
      </w:r>
    </w:p>
    <w:p w:rsidR="00736B40" w:rsidRPr="00A71676" w:rsidRDefault="00736B40" w:rsidP="00736B40">
      <w:pPr>
        <w:rPr>
          <w:sz w:val="16"/>
        </w:rPr>
      </w:pPr>
      <w:r w:rsidRPr="00A71676">
        <w:rPr>
          <w:rStyle w:val="StyleStyleBold12pt"/>
          <w:sz w:val="28"/>
        </w:rPr>
        <w:t>Butler 2k</w:t>
      </w:r>
      <w:r w:rsidRPr="00A71676">
        <w:rPr>
          <w:sz w:val="16"/>
        </w:rPr>
        <w:t xml:space="preserve"> – Judith Butler, an American post-</w:t>
      </w:r>
      <w:proofErr w:type="spellStart"/>
      <w:r w:rsidRPr="00A71676">
        <w:rPr>
          <w:sz w:val="16"/>
        </w:rPr>
        <w:t>structuralist</w:t>
      </w:r>
      <w:proofErr w:type="spellEnd"/>
      <w:r w:rsidRPr="00A71676">
        <w:rPr>
          <w:sz w:val="16"/>
        </w:rPr>
        <w:t xml:space="preserve"> philosopher, who has contributed to the fields of feminism, queer theory, political philosophy, and ethics, EDITED BY: </w:t>
      </w:r>
      <w:proofErr w:type="spellStart"/>
      <w:r w:rsidRPr="00A71676">
        <w:rPr>
          <w:sz w:val="16"/>
        </w:rPr>
        <w:t>Slavoj</w:t>
      </w:r>
      <w:proofErr w:type="spellEnd"/>
      <w:r w:rsidRPr="00A71676">
        <w:rPr>
          <w:sz w:val="16"/>
        </w:rPr>
        <w:t xml:space="preserve"> </w:t>
      </w:r>
      <w:proofErr w:type="spellStart"/>
      <w:r w:rsidRPr="00A71676">
        <w:rPr>
          <w:sz w:val="16"/>
        </w:rPr>
        <w:t>Zizek</w:t>
      </w:r>
      <w:proofErr w:type="spellEnd"/>
      <w:r w:rsidRPr="00A71676">
        <w:rPr>
          <w:sz w:val="16"/>
        </w:rPr>
        <w:t xml:space="preserve">, a Slovenian philosopher and cultural critic working in the traditions of Hegelianism, Marxism and </w:t>
      </w:r>
      <w:proofErr w:type="spellStart"/>
      <w:r w:rsidRPr="00A71676">
        <w:rPr>
          <w:sz w:val="16"/>
        </w:rPr>
        <w:t>Lacanian</w:t>
      </w:r>
      <w:proofErr w:type="spellEnd"/>
      <w:r w:rsidRPr="00A71676">
        <w:rPr>
          <w:sz w:val="16"/>
        </w:rPr>
        <w:t xml:space="preserve"> psychoanalysis. He has made contributions to political theory, film theory and theoretical psychoanalysis, Ernesto </w:t>
      </w:r>
      <w:proofErr w:type="spellStart"/>
      <w:r w:rsidRPr="00A71676">
        <w:rPr>
          <w:sz w:val="16"/>
        </w:rPr>
        <w:t>Laclau</w:t>
      </w:r>
      <w:proofErr w:type="spellEnd"/>
      <w:r w:rsidRPr="00A71676">
        <w:rPr>
          <w:sz w:val="16"/>
        </w:rPr>
        <w:t xml:space="preserve">, an Argentine political theorist often described as post-Marxist. He studied History in Buenos Aires, graduating from the Universidad </w:t>
      </w:r>
      <w:proofErr w:type="spellStart"/>
      <w:r w:rsidRPr="00A71676">
        <w:rPr>
          <w:sz w:val="16"/>
        </w:rPr>
        <w:t>Nacional</w:t>
      </w:r>
      <w:proofErr w:type="spellEnd"/>
      <w:r w:rsidRPr="00A71676">
        <w:rPr>
          <w:sz w:val="16"/>
        </w:rPr>
        <w:t xml:space="preserve"> de Buenos Aires in 1964, and received a PhD from Essex University in 1977 (“Contingency, Hegemony, Universality: Contemporary Dialogues of the Left”, Published by Verso in 2000, Restaging the Universal: Hegemony and the limits of Formalism b</w:t>
      </w:r>
      <w:r>
        <w:rPr>
          <w:sz w:val="16"/>
        </w:rPr>
        <w:t>y Judith Butler, page 31-32)</w:t>
      </w:r>
    </w:p>
    <w:p w:rsidR="00736B40" w:rsidRPr="00A71676" w:rsidRDefault="00736B40" w:rsidP="00736B40"/>
    <w:p w:rsidR="00736B40" w:rsidRDefault="00736B40" w:rsidP="00736B40">
      <w:pPr>
        <w:rPr>
          <w:rStyle w:val="TitleChar"/>
        </w:rPr>
      </w:pPr>
      <w:r w:rsidRPr="00A71676">
        <w:rPr>
          <w:sz w:val="16"/>
        </w:rPr>
        <w:t xml:space="preserve">Thus </w:t>
      </w:r>
      <w:proofErr w:type="spellStart"/>
      <w:r w:rsidRPr="00A71676">
        <w:rPr>
          <w:rStyle w:val="TitleChar"/>
        </w:rPr>
        <w:t>Laclau</w:t>
      </w:r>
      <w:proofErr w:type="spellEnd"/>
      <w:r w:rsidRPr="00A71676">
        <w:rPr>
          <w:rStyle w:val="TitleChar"/>
        </w:rPr>
        <w:t xml:space="preserve"> identifies a condition common to all </w:t>
      </w:r>
      <w:r w:rsidRPr="000C1C79">
        <w:rPr>
          <w:rStyle w:val="TitleChar"/>
          <w:highlight w:val="green"/>
        </w:rPr>
        <w:t>politicization</w:t>
      </w:r>
      <w:r w:rsidRPr="00A71676">
        <w:rPr>
          <w:rStyle w:val="TitleChar"/>
        </w:rPr>
        <w:t xml:space="preserve">, but it is precisely not </w:t>
      </w:r>
    </w:p>
    <w:p w:rsidR="00736B40" w:rsidRDefault="00736B40" w:rsidP="00736B40">
      <w:pPr>
        <w:rPr>
          <w:rStyle w:val="TitleChar"/>
        </w:rPr>
      </w:pPr>
      <w:r>
        <w:rPr>
          <w:rStyle w:val="TitleChar"/>
        </w:rPr>
        <w:t>AND</w:t>
      </w:r>
    </w:p>
    <w:p w:rsidR="00736B40" w:rsidRDefault="00736B40" w:rsidP="00736B40">
      <w:pPr>
        <w:rPr>
          <w:sz w:val="16"/>
        </w:rPr>
      </w:pPr>
      <w:proofErr w:type="gramStart"/>
      <w:r w:rsidRPr="00A71676">
        <w:rPr>
          <w:sz w:val="16"/>
        </w:rPr>
        <w:t>the</w:t>
      </w:r>
      <w:proofErr w:type="gramEnd"/>
      <w:r w:rsidRPr="00A71676">
        <w:rPr>
          <w:sz w:val="16"/>
        </w:rPr>
        <w:t xml:space="preserve"> fullness of the community as an absence. (p. 57)</w:t>
      </w:r>
    </w:p>
    <w:p w:rsidR="00736B40" w:rsidRPr="00166EA3" w:rsidRDefault="00736B40" w:rsidP="00736B40">
      <w:pPr>
        <w:pStyle w:val="Heading4"/>
      </w:pPr>
      <w:r>
        <w:t>Re</w:t>
      </w:r>
      <w:r w:rsidRPr="00166EA3">
        <w:t xml:space="preserve">-framing </w:t>
      </w:r>
      <w:r>
        <w:t xml:space="preserve">is </w:t>
      </w:r>
      <w:proofErr w:type="gramStart"/>
      <w:r>
        <w:t>key</w:t>
      </w:r>
      <w:proofErr w:type="gramEnd"/>
      <w:r>
        <w:t xml:space="preserve"> – this connects</w:t>
      </w:r>
      <w:r w:rsidRPr="00166EA3">
        <w:t xml:space="preserve"> debate pedagogy to political struggles against economic orthodoxy—the ballot serves to legitimize certain knowledge, sanction certain values, and construct particular forms of agency.</w:t>
      </w:r>
    </w:p>
    <w:p w:rsidR="00736B40" w:rsidRDefault="00736B40" w:rsidP="00736B40">
      <w:pPr>
        <w:rPr>
          <w:sz w:val="16"/>
        </w:rPr>
      </w:pPr>
      <w:r w:rsidRPr="0002767A">
        <w:rPr>
          <w:rStyle w:val="StyleStyleBold12pt"/>
        </w:rPr>
        <w:t xml:space="preserve">Giroux </w:t>
      </w:r>
      <w:r>
        <w:rPr>
          <w:rStyle w:val="StyleStyleBold12pt"/>
        </w:rPr>
        <w:t>2012</w:t>
      </w:r>
      <w:r w:rsidRPr="00CA5591">
        <w:t xml:space="preserve"> </w:t>
      </w:r>
      <w:r>
        <w:rPr>
          <w:sz w:val="16"/>
        </w:rPr>
        <w:t>(Henry A. Giroux, Global TV Network Chair Professorship in the Department of English and Cultural Studies at McMaster University, 10/16/2012, “Can Democratic Education Survive in a Neoliberal Society</w:t>
      </w:r>
      <w:proofErr w:type="gramStart"/>
      <w:r>
        <w:rPr>
          <w:sz w:val="16"/>
        </w:rPr>
        <w:t>?,</w:t>
      </w:r>
      <w:proofErr w:type="gramEnd"/>
      <w:r>
        <w:rPr>
          <w:sz w:val="16"/>
        </w:rPr>
        <w:t xml:space="preserve">” </w:t>
      </w:r>
      <w:proofErr w:type="spellStart"/>
      <w:r>
        <w:rPr>
          <w:sz w:val="16"/>
        </w:rPr>
        <w:t>truthout</w:t>
      </w:r>
      <w:proofErr w:type="spellEnd"/>
      <w:r>
        <w:rPr>
          <w:sz w:val="16"/>
        </w:rPr>
        <w:t xml:space="preserve">, October 16th, </w:t>
      </w:r>
      <w:hyperlink r:id="rId10" w:history="1">
        <w:r w:rsidRPr="0057528B">
          <w:rPr>
            <w:rStyle w:val="Hyperlink"/>
            <w:sz w:val="16"/>
          </w:rPr>
          <w:t>http://truth-out.org/opinion/item/12126-can-democratic-education-survive-in-a-neoliberal-society</w:t>
        </w:r>
      </w:hyperlink>
      <w:r>
        <w:rPr>
          <w:sz w:val="16"/>
        </w:rPr>
        <w:t>)</w:t>
      </w:r>
    </w:p>
    <w:p w:rsidR="00736B40" w:rsidRDefault="00736B40" w:rsidP="00736B40">
      <w:pPr>
        <w:rPr>
          <w:sz w:val="16"/>
        </w:rPr>
      </w:pPr>
    </w:p>
    <w:p w:rsidR="00736B40" w:rsidRDefault="00736B40" w:rsidP="00736B40">
      <w:pPr>
        <w:rPr>
          <w:sz w:val="16"/>
        </w:rPr>
      </w:pPr>
      <w:r w:rsidRPr="000C1C79">
        <w:rPr>
          <w:rStyle w:val="StyleBoldUnderline"/>
          <w:highlight w:val="green"/>
        </w:rPr>
        <w:t>Schools should be viewed as crucial to any viable notion of democracy</w:t>
      </w:r>
      <w:r w:rsidRPr="00270201">
        <w:rPr>
          <w:sz w:val="16"/>
        </w:rPr>
        <w:t xml:space="preserve">, while the </w:t>
      </w:r>
    </w:p>
    <w:p w:rsidR="00736B40" w:rsidRDefault="00736B40" w:rsidP="00736B40">
      <w:pPr>
        <w:rPr>
          <w:sz w:val="16"/>
        </w:rPr>
      </w:pPr>
      <w:r>
        <w:rPr>
          <w:sz w:val="16"/>
        </w:rPr>
        <w:t>AND</w:t>
      </w:r>
    </w:p>
    <w:p w:rsidR="00736B40" w:rsidRPr="00BC094A" w:rsidRDefault="00736B40" w:rsidP="00736B40">
      <w:pPr>
        <w:rPr>
          <w:b/>
          <w:iCs/>
          <w:u w:val="single"/>
          <w:bdr w:val="single" w:sz="18" w:space="0" w:color="auto"/>
        </w:rPr>
      </w:pPr>
      <w:proofErr w:type="gramStart"/>
      <w:r w:rsidRPr="00270201">
        <w:rPr>
          <w:sz w:val="16"/>
        </w:rPr>
        <w:t>counts</w:t>
      </w:r>
      <w:proofErr w:type="gramEnd"/>
      <w:r w:rsidRPr="00270201">
        <w:rPr>
          <w:sz w:val="16"/>
        </w:rPr>
        <w:t xml:space="preserve"> as knowledge, </w:t>
      </w:r>
      <w:r w:rsidRPr="000C1C79">
        <w:rPr>
          <w:rStyle w:val="Emphasis"/>
          <w:highlight w:val="green"/>
        </w:rPr>
        <w:t>sanctions</w:t>
      </w:r>
      <w:r w:rsidRPr="0002767A">
        <w:rPr>
          <w:rStyle w:val="Emphasis"/>
        </w:rPr>
        <w:t xml:space="preserve"> particular values and constructs particular forms of </w:t>
      </w:r>
      <w:r w:rsidRPr="000C1C79">
        <w:rPr>
          <w:rStyle w:val="Emphasis"/>
          <w:highlight w:val="green"/>
        </w:rPr>
        <w:t>agency</w:t>
      </w:r>
      <w:r w:rsidRPr="0002767A">
        <w:rPr>
          <w:rStyle w:val="Emphasis"/>
        </w:rPr>
        <w:t>.</w:t>
      </w:r>
    </w:p>
    <w:p w:rsidR="00736B40" w:rsidRDefault="00736B40" w:rsidP="00736B40">
      <w:pPr>
        <w:rPr>
          <w:sz w:val="16"/>
        </w:rPr>
      </w:pPr>
    </w:p>
    <w:p w:rsidR="00736B40" w:rsidRPr="00A71676" w:rsidRDefault="00736B40" w:rsidP="00736B40">
      <w:pPr>
        <w:rPr>
          <w:sz w:val="16"/>
        </w:rPr>
      </w:pPr>
    </w:p>
    <w:p w:rsidR="00736B40" w:rsidRPr="00850F8E" w:rsidRDefault="00736B40" w:rsidP="00736B40">
      <w:pPr>
        <w:pStyle w:val="tag"/>
        <w:rPr>
          <w:rFonts w:ascii="Times New Roman Bold"/>
        </w:rPr>
      </w:pPr>
      <w:r>
        <w:rPr>
          <w:rFonts w:ascii="Times New Roman Bold"/>
        </w:rPr>
        <w:t xml:space="preserve">The alt results in passivity and inaction and turns agency impacts </w:t>
      </w:r>
    </w:p>
    <w:p w:rsidR="00736B40" w:rsidRPr="00850F8E" w:rsidRDefault="00736B40" w:rsidP="00736B40">
      <w:pPr>
        <w:pStyle w:val="tag"/>
        <w:rPr>
          <w:rStyle w:val="Heading3Char"/>
          <w:sz w:val="16"/>
        </w:rPr>
      </w:pPr>
      <w:r w:rsidRPr="00850F8E">
        <w:rPr>
          <w:rStyle w:val="Heading3Char"/>
        </w:rPr>
        <w:t>Gordon, 2001</w:t>
      </w:r>
      <w:r w:rsidRPr="00850F8E">
        <w:rPr>
          <w:rStyle w:val="Heading3Char"/>
          <w:sz w:val="16"/>
        </w:rPr>
        <w:t xml:space="preserve"> (Paul, psychotherapist living and working in London, author of Face to Face: Therapy as ethics, RACE &amp; CLASS, v42, n4, p. 30/1)</w:t>
      </w:r>
    </w:p>
    <w:p w:rsidR="00736B40" w:rsidRPr="00850F8E" w:rsidRDefault="00736B40" w:rsidP="00736B40">
      <w:pPr>
        <w:rPr>
          <w:smallCaps/>
        </w:rPr>
      </w:pPr>
    </w:p>
    <w:p w:rsidR="00736B40" w:rsidRDefault="00736B40" w:rsidP="00736B40">
      <w:pPr>
        <w:rPr>
          <w:rStyle w:val="underline"/>
          <w:highlight w:val="green"/>
        </w:rPr>
      </w:pPr>
      <w:r w:rsidRPr="00850F8E">
        <w:rPr>
          <w:sz w:val="16"/>
        </w:rPr>
        <w:t xml:space="preserve">The postmodernists' problem is that they cannot live with dis-appointment.  </w:t>
      </w:r>
      <w:r w:rsidRPr="00CE4C17">
        <w:rPr>
          <w:rStyle w:val="underline"/>
        </w:rPr>
        <w:t xml:space="preserve">All the </w:t>
      </w:r>
    </w:p>
    <w:p w:rsidR="00736B40" w:rsidRDefault="00736B40" w:rsidP="00736B40">
      <w:pPr>
        <w:rPr>
          <w:rStyle w:val="underline"/>
          <w:highlight w:val="green"/>
        </w:rPr>
      </w:pPr>
      <w:r>
        <w:rPr>
          <w:rStyle w:val="underline"/>
          <w:highlight w:val="green"/>
        </w:rPr>
        <w:t>AND</w:t>
      </w:r>
    </w:p>
    <w:p w:rsidR="00736B40" w:rsidRPr="00850F8E" w:rsidRDefault="00736B40" w:rsidP="00736B40">
      <w:pPr>
        <w:rPr>
          <w:smallCaps/>
        </w:rPr>
      </w:pPr>
      <w:proofErr w:type="gramStart"/>
      <w:r w:rsidRPr="00850F8E">
        <w:rPr>
          <w:sz w:val="16"/>
        </w:rPr>
        <w:t>change</w:t>
      </w:r>
      <w:proofErr w:type="gramEnd"/>
      <w:r w:rsidRPr="00850F8E">
        <w:rPr>
          <w:sz w:val="16"/>
        </w:rPr>
        <w:t xml:space="preserve"> the world, not just to interpret it need to look elsewhere. </w:t>
      </w:r>
      <w:r w:rsidRPr="00850F8E">
        <w:t xml:space="preserve"> </w:t>
      </w:r>
    </w:p>
    <w:p w:rsidR="00736B40" w:rsidRDefault="00736B40" w:rsidP="00736B40"/>
    <w:p w:rsidR="00736B40" w:rsidRPr="00D17C4E" w:rsidRDefault="00736B40" w:rsidP="00736B4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0C" w:rsidRDefault="000C030C" w:rsidP="005F5576">
      <w:r>
        <w:separator/>
      </w:r>
    </w:p>
  </w:endnote>
  <w:endnote w:type="continuationSeparator" w:id="0">
    <w:p w:rsidR="000C030C" w:rsidRDefault="000C030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0C" w:rsidRDefault="000C030C" w:rsidP="005F5576">
      <w:r>
        <w:separator/>
      </w:r>
    </w:p>
  </w:footnote>
  <w:footnote w:type="continuationSeparator" w:id="0">
    <w:p w:rsidR="000C030C" w:rsidRDefault="000C030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4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030C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3AC5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27D8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6B40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462C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1BDA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627A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1D7F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36B4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,3: Cite,Char1, Char Char Char Char Char Char Char Char,Char Char Char Char Char Char Char Char,Heading 3 Char1 Char Char,Citation Char Char Char Char,Citation Char1 Char Char,Heading 3 Char Char1,Citation Char Char1,no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1 Char Char, Ch,Heading 2 Char2 Char,No Spacing1,No Spacing112,No Spacing1121,Ch,No Spacing12,no read,No Spacing211,No Spacing2111,ta,Dont use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Tags v 2 Char,3: Cite Char,Char1 Char, Char Char Char Char Char Char Char Char Char,Char Char Char Char Char Char Char Char Char,Heading 3 Char1 Char Char Char,Citation Char Char Char Char Char,Citation Char1 Char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Style,ci,c,Intense Emphasis11,Intense Emphasis21,Intense Emphasis3,Bo,Intense Emphasis111,cite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1 Char Char Char, Ch Char,Heading 2 Char2 Char Char,No Spacing1 Char,No Spacing112 Char,No Spacing1121 Char,Ch Char,No Spacing12 Char,ta Char"/>
    <w:basedOn w:val="DefaultParagraphFont"/>
    <w:link w:val="Heading4"/>
    <w:uiPriority w:val="4"/>
    <w:qFormat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736B40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qFormat/>
    <w:rsid w:val="00736B40"/>
    <w:pPr>
      <w:ind w:left="720"/>
      <w:jc w:val="both"/>
    </w:pPr>
    <w:rPr>
      <w:rFonts w:ascii="Times New Roman" w:hAnsi="Times New Roman" w:cstheme="minorBidi"/>
      <w:u w:val="single"/>
    </w:rPr>
  </w:style>
  <w:style w:type="paragraph" w:customStyle="1" w:styleId="tag">
    <w:name w:val="tag"/>
    <w:aliases w:val="No Spacing111111"/>
    <w:basedOn w:val="Normal"/>
    <w:next w:val="Normal"/>
    <w:link w:val="BlockTitle"/>
    <w:qFormat/>
    <w:rsid w:val="00736B4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lockTitle">
    <w:name w:val="Block Title"/>
    <w:link w:val="tag"/>
    <w:rsid w:val="00736B4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Emphasis2">
    <w:name w:val="Emphasis2"/>
    <w:rsid w:val="00736B40"/>
    <w:rPr>
      <w:rFonts w:ascii="Georgia" w:hAnsi="Georgia" w:hint="default"/>
      <w:b/>
      <w:bCs w:val="0"/>
      <w:iCs/>
      <w:sz w:val="18"/>
      <w:u w:val="single"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5"/>
    <w:qFormat/>
    <w:rsid w:val="00736B40"/>
    <w:rPr>
      <w:b/>
      <w:bCs/>
      <w:u w:val="single"/>
    </w:rPr>
  </w:style>
  <w:style w:type="paragraph" w:styleId="Title">
    <w:name w:val="Title"/>
    <w:aliases w:val="UNDERLINE,Cites and Cards,Bold Underlined"/>
    <w:basedOn w:val="Normal"/>
    <w:link w:val="TitleChar"/>
    <w:uiPriority w:val="5"/>
    <w:qFormat/>
    <w:rsid w:val="00736B40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736B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36B4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,3: Cite,Char1, Char Char Char Char Char Char Char Char,Char Char Char Char Char Char Char Char,Heading 3 Char1 Char Char,Citation Char Char Char Char,Citation Char1 Char Char,Heading 3 Char Char1,Citation Char Char1,no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1 Char Char, Ch,Heading 2 Char2 Char,No Spacing1,No Spacing112,No Spacing1121,Ch,No Spacing12,no read,No Spacing211,No Spacing2111,ta,Dont use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Tags v 2 Char,3: Cite Char,Char1 Char, Char Char Char Char Char Char Char Char Char,Char Char Char Char Char Char Char Char Char,Heading 3 Char1 Char Char Char,Citation Char Char Char Char Char,Citation Char1 Char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Style,ci,c,Intense Emphasis11,Intense Emphasis21,Intense Emphasis3,Bo,Intense Emphasis111,cite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1 Char Char Char, Ch Char,Heading 2 Char2 Char Char,No Spacing1 Char,No Spacing112 Char,No Spacing1121 Char,Ch Char,No Spacing12 Char,ta Char"/>
    <w:basedOn w:val="DefaultParagraphFont"/>
    <w:link w:val="Heading4"/>
    <w:uiPriority w:val="4"/>
    <w:qFormat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736B40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qFormat/>
    <w:rsid w:val="00736B40"/>
    <w:pPr>
      <w:ind w:left="720"/>
      <w:jc w:val="both"/>
    </w:pPr>
    <w:rPr>
      <w:rFonts w:ascii="Times New Roman" w:hAnsi="Times New Roman" w:cstheme="minorBidi"/>
      <w:u w:val="single"/>
    </w:rPr>
  </w:style>
  <w:style w:type="paragraph" w:customStyle="1" w:styleId="tag">
    <w:name w:val="tag"/>
    <w:aliases w:val="No Spacing111111"/>
    <w:basedOn w:val="Normal"/>
    <w:next w:val="Normal"/>
    <w:link w:val="BlockTitle"/>
    <w:qFormat/>
    <w:rsid w:val="00736B4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lockTitle">
    <w:name w:val="Block Title"/>
    <w:link w:val="tag"/>
    <w:rsid w:val="00736B4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Emphasis2">
    <w:name w:val="Emphasis2"/>
    <w:rsid w:val="00736B40"/>
    <w:rPr>
      <w:rFonts w:ascii="Georgia" w:hAnsi="Georgia" w:hint="default"/>
      <w:b/>
      <w:bCs w:val="0"/>
      <w:iCs/>
      <w:sz w:val="18"/>
      <w:u w:val="single"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5"/>
    <w:qFormat/>
    <w:rsid w:val="00736B40"/>
    <w:rPr>
      <w:b/>
      <w:bCs/>
      <w:u w:val="single"/>
    </w:rPr>
  </w:style>
  <w:style w:type="paragraph" w:styleId="Title">
    <w:name w:val="Title"/>
    <w:aliases w:val="UNDERLINE,Cites and Cards,Bold Underlined"/>
    <w:basedOn w:val="Normal"/>
    <w:link w:val="TitleChar"/>
    <w:uiPriority w:val="5"/>
    <w:qFormat/>
    <w:rsid w:val="00736B40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736B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truth-out.org/opinion/item/12126-can-democratic-education-survive-in-a-neoliberal-societ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Andrew, Team 2011</dc:creator>
  <cp:lastModifiedBy>Andrew, Team 2011</cp:lastModifiedBy>
  <cp:revision>1</cp:revision>
  <dcterms:created xsi:type="dcterms:W3CDTF">2013-04-28T18:19:00Z</dcterms:created>
  <dcterms:modified xsi:type="dcterms:W3CDTF">2013-04-28T18:19:00Z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