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774" w:rsidRDefault="00853774" w:rsidP="00853774">
      <w:pPr>
        <w:pStyle w:val="Heading2"/>
      </w:pPr>
      <w:r>
        <w:t>Aesthetics of Law</w:t>
      </w:r>
    </w:p>
    <w:p w:rsidR="00853774" w:rsidRDefault="00853774" w:rsidP="00853774">
      <w:pPr>
        <w:pStyle w:val="Heading3"/>
      </w:pPr>
      <w:r>
        <w:lastRenderedPageBreak/>
        <w:t>2AC Farley</w:t>
      </w:r>
    </w:p>
    <w:p w:rsidR="00853774" w:rsidRPr="00BC2E6A" w:rsidRDefault="00853774" w:rsidP="00853774">
      <w:pPr>
        <w:pStyle w:val="Heading4"/>
      </w:pPr>
      <w:r w:rsidRPr="00BC2E6A">
        <w:t>Ignoring the state does not make bad policies go away – it just leaves elites unaccountable</w:t>
      </w:r>
    </w:p>
    <w:p w:rsidR="00853774" w:rsidRPr="00A71676" w:rsidRDefault="00853774" w:rsidP="00853774">
      <w:pPr>
        <w:rPr>
          <w:sz w:val="12"/>
          <w:szCs w:val="12"/>
        </w:rPr>
      </w:pPr>
      <w:r w:rsidRPr="00A71676">
        <w:rPr>
          <w:rStyle w:val="StyleStyleBold12pt"/>
          <w:sz w:val="28"/>
        </w:rPr>
        <w:t xml:space="preserve">Coombs 10 </w:t>
      </w:r>
      <w:r w:rsidRPr="00A71676">
        <w:rPr>
          <w:sz w:val="12"/>
          <w:szCs w:val="12"/>
        </w:rPr>
        <w:t>[Nathan, Political Philosophy at the University of London, “Roundtable Discussion on ‘Transnational Militancy in the 21st Century’” Journal of Critical Globalisation Studies, Issue 2]</w:t>
      </w:r>
    </w:p>
    <w:p w:rsidR="00853774" w:rsidRPr="00A71676" w:rsidRDefault="00853774" w:rsidP="00853774">
      <w:pPr>
        <w:rPr>
          <w:b/>
          <w:bCs/>
          <w:sz w:val="28"/>
        </w:rPr>
      </w:pPr>
    </w:p>
    <w:p w:rsidR="00853774" w:rsidRDefault="00853774" w:rsidP="00853774">
      <w:pPr>
        <w:rPr>
          <w:sz w:val="16"/>
        </w:rPr>
      </w:pPr>
      <w:r w:rsidRPr="00A71676">
        <w:rPr>
          <w:sz w:val="16"/>
        </w:rPr>
        <w:t>There seems to be a number of trends that we need to take account of </w:t>
      </w:r>
    </w:p>
    <w:p w:rsidR="00853774" w:rsidRDefault="00853774" w:rsidP="00853774">
      <w:pPr>
        <w:rPr>
          <w:sz w:val="16"/>
        </w:rPr>
      </w:pPr>
      <w:r>
        <w:rPr>
          <w:sz w:val="16"/>
        </w:rPr>
        <w:t>AND</w:t>
      </w:r>
    </w:p>
    <w:p w:rsidR="00853774" w:rsidRPr="00A71676" w:rsidRDefault="00853774" w:rsidP="00853774">
      <w:pPr>
        <w:rPr>
          <w:sz w:val="16"/>
        </w:rPr>
      </w:pPr>
      <w:r w:rsidRPr="00A71676">
        <w:rPr>
          <w:rStyle w:val="TitleChar"/>
        </w:rPr>
        <w:t xml:space="preserve">general </w:t>
      </w:r>
      <w:r w:rsidRPr="00A53A26">
        <w:rPr>
          <w:rStyle w:val="TitleChar"/>
          <w:highlight w:val="green"/>
        </w:rPr>
        <w:t>acceptance of a world</w:t>
      </w:r>
      <w:r w:rsidRPr="00A71676">
        <w:rPr>
          <w:sz w:val="16"/>
        </w:rPr>
        <w:t xml:space="preserve"> run more and more </w:t>
      </w:r>
      <w:r w:rsidRPr="00A53A26">
        <w:rPr>
          <w:rStyle w:val="TitleChar"/>
          <w:highlight w:val="green"/>
        </w:rPr>
        <w:t>by unaccountable elites.</w:t>
      </w:r>
      <w:r w:rsidRPr="00A71676">
        <w:rPr>
          <w:rStyle w:val="TitleChar"/>
        </w:rPr>
        <w:t> </w:t>
      </w:r>
      <w:r w:rsidRPr="00A71676">
        <w:rPr>
          <w:sz w:val="16"/>
        </w:rPr>
        <w:t xml:space="preserve"> </w:t>
      </w:r>
      <w:r w:rsidRPr="00A71676">
        <w:br w:type="page"/>
      </w:r>
    </w:p>
    <w:p w:rsidR="00853774" w:rsidRDefault="00853774" w:rsidP="00853774"/>
    <w:p w:rsidR="00853774" w:rsidRPr="00290B7A" w:rsidRDefault="00853774" w:rsidP="00853774">
      <w:pPr>
        <w:pStyle w:val="Heading4"/>
      </w:pPr>
      <w:r>
        <w:t xml:space="preserve">We prescribe a universal ontological position to people with disabilities. </w:t>
      </w:r>
    </w:p>
    <w:p w:rsidR="00853774" w:rsidRPr="00290B7A" w:rsidRDefault="00853774" w:rsidP="00853774">
      <w:r w:rsidRPr="00290B7A">
        <w:rPr>
          <w:rStyle w:val="StyleStyleBold12pt"/>
        </w:rPr>
        <w:t>Hughes 07</w:t>
      </w:r>
      <w:r w:rsidRPr="00290B7A">
        <w:t xml:space="preserve"> </w:t>
      </w:r>
      <w:r w:rsidRPr="00290B7A">
        <w:rPr>
          <w:sz w:val="12"/>
          <w:szCs w:val="12"/>
        </w:rPr>
        <w:t>(Head of Division of Sociology Glasgow Caledonian University Bill Being disabled: towards a critical social ontology for disability studies Disability &amp; Society 22.7 Taylor &amp; Francis)</w:t>
      </w:r>
    </w:p>
    <w:p w:rsidR="00853774" w:rsidRPr="00290B7A" w:rsidRDefault="00853774" w:rsidP="00853774"/>
    <w:p w:rsidR="00853774" w:rsidRDefault="00853774" w:rsidP="00853774">
      <w:pPr>
        <w:rPr>
          <w:sz w:val="16"/>
        </w:rPr>
      </w:pPr>
      <w:r w:rsidRPr="00853774">
        <w:rPr>
          <w:sz w:val="16"/>
        </w:rPr>
        <w:t xml:space="preserve">In summary, </w:t>
      </w:r>
      <w:r w:rsidRPr="00853774">
        <w:rPr>
          <w:b/>
          <w:bCs/>
          <w:u w:val="single"/>
        </w:rPr>
        <w:t>the universalistic approach to ontology in disability studies</w:t>
      </w:r>
      <w:r w:rsidRPr="00853774">
        <w:rPr>
          <w:sz w:val="16"/>
        </w:rPr>
        <w:t xml:space="preserve"> that I have sketched </w:t>
      </w:r>
    </w:p>
    <w:p w:rsidR="00853774" w:rsidRDefault="00853774" w:rsidP="00853774">
      <w:pPr>
        <w:rPr>
          <w:sz w:val="16"/>
        </w:rPr>
      </w:pPr>
      <w:r>
        <w:rPr>
          <w:sz w:val="16"/>
        </w:rPr>
        <w:t>AND</w:t>
      </w:r>
    </w:p>
    <w:p w:rsidR="00853774" w:rsidRPr="00853774" w:rsidRDefault="00853774" w:rsidP="00853774">
      <w:pPr>
        <w:rPr>
          <w:b/>
          <w:bCs/>
          <w:u w:val="single"/>
        </w:rPr>
      </w:pPr>
      <w:r w:rsidRPr="00853774">
        <w:rPr>
          <w:sz w:val="16"/>
        </w:rPr>
        <w:t xml:space="preserve">p. 164) </w:t>
      </w:r>
      <w:r w:rsidRPr="00853774">
        <w:rPr>
          <w:b/>
          <w:bCs/>
          <w:u w:val="single"/>
        </w:rPr>
        <w:t>that regularly misrepresent and sometimes destroy disabled peoples lives.</w:t>
      </w:r>
    </w:p>
    <w:p w:rsidR="00853774" w:rsidRPr="0066204B" w:rsidRDefault="00853774" w:rsidP="00853774"/>
    <w:p w:rsidR="00853774" w:rsidRPr="00301F2E" w:rsidRDefault="00853774" w:rsidP="00853774">
      <w:pPr>
        <w:pStyle w:val="Heading4"/>
      </w:pPr>
      <w:r w:rsidRPr="00301F2E">
        <w:t>Global identifications don’t tradeoff with local identifications</w:t>
      </w:r>
    </w:p>
    <w:p w:rsidR="00853774" w:rsidRPr="00850F8E" w:rsidRDefault="00853774" w:rsidP="00853774">
      <w:pPr>
        <w:pStyle w:val="tag"/>
        <w:rPr>
          <w:rStyle w:val="Heading3Char1"/>
          <w:sz w:val="16"/>
        </w:rPr>
      </w:pPr>
      <w:r>
        <w:rPr>
          <w:rStyle w:val="StyleStyleBold12pt"/>
          <w:b/>
        </w:rPr>
        <w:t xml:space="preserve">Nussbaum </w:t>
      </w:r>
      <w:r w:rsidRPr="00D1242E">
        <w:rPr>
          <w:rStyle w:val="StyleStyleBold12pt"/>
          <w:b/>
        </w:rPr>
        <w:t>94</w:t>
      </w:r>
      <w:r w:rsidRPr="00850F8E">
        <w:rPr>
          <w:rStyle w:val="Heading3Char1"/>
          <w:sz w:val="16"/>
        </w:rPr>
        <w:t xml:space="preserve"> (Martha, Professor of Law and Ethics at University of Chicago Law School, “Patriotism and Cosmopolitanism”, The Boston Review,  www.soci.niu.edu/~phildept/Kapitan/nussbaum1.html) </w:t>
      </w:r>
    </w:p>
    <w:p w:rsidR="00853774" w:rsidRPr="00850F8E" w:rsidRDefault="00853774" w:rsidP="00853774">
      <w:pPr>
        <w:rPr>
          <w:smallCaps/>
        </w:rPr>
      </w:pPr>
    </w:p>
    <w:p w:rsidR="00853774" w:rsidRDefault="00853774" w:rsidP="00853774">
      <w:pPr>
        <w:jc w:val="both"/>
        <w:rPr>
          <w:rStyle w:val="underline"/>
          <w:smallCaps/>
          <w:highlight w:val="green"/>
        </w:rPr>
      </w:pPr>
      <w:r w:rsidRPr="00850F8E">
        <w:rPr>
          <w:smallCaps/>
          <w:sz w:val="16"/>
        </w:rPr>
        <w:t xml:space="preserve">The Stoics stress that </w:t>
      </w:r>
      <w:r w:rsidRPr="00A53A26">
        <w:rPr>
          <w:rStyle w:val="underline"/>
          <w:smallCaps/>
          <w:highlight w:val="green"/>
        </w:rPr>
        <w:t xml:space="preserve">to be a citizen of the world one does not need </w:t>
      </w:r>
    </w:p>
    <w:p w:rsidR="00853774" w:rsidRDefault="00853774" w:rsidP="00853774">
      <w:pPr>
        <w:jc w:val="both"/>
        <w:rPr>
          <w:rStyle w:val="underline"/>
          <w:smallCaps/>
          <w:highlight w:val="green"/>
        </w:rPr>
      </w:pPr>
      <w:r>
        <w:rPr>
          <w:rStyle w:val="underline"/>
          <w:smallCaps/>
          <w:highlight w:val="green"/>
        </w:rPr>
        <w:t>AND</w:t>
      </w:r>
    </w:p>
    <w:p w:rsidR="00853774" w:rsidRDefault="00853774" w:rsidP="00853774">
      <w:pPr>
        <w:jc w:val="both"/>
        <w:rPr>
          <w:smallCaps/>
          <w:sz w:val="16"/>
        </w:rPr>
      </w:pPr>
      <w:r w:rsidRPr="00850F8E">
        <w:rPr>
          <w:smallCaps/>
          <w:sz w:val="16"/>
        </w:rPr>
        <w:t xml:space="preserve">and give the circle that defines our humanity a special attention and respect. </w:t>
      </w:r>
    </w:p>
    <w:p w:rsidR="00853774" w:rsidRDefault="00853774" w:rsidP="00853774"/>
    <w:p w:rsidR="00853774" w:rsidRPr="00832607" w:rsidRDefault="00853774" w:rsidP="00853774">
      <w:pPr>
        <w:pStyle w:val="Heading4"/>
        <w:rPr>
          <w:rFonts w:cs="Calibri"/>
        </w:rPr>
      </w:pPr>
      <w:r w:rsidRPr="00832607">
        <w:rPr>
          <w:rFonts w:cs="Calibri"/>
        </w:rPr>
        <w:t xml:space="preserve">They totalize the state. This </w:t>
      </w:r>
      <w:r w:rsidRPr="00832607">
        <w:rPr>
          <w:rFonts w:cs="Calibri"/>
          <w:u w:val="single"/>
        </w:rPr>
        <w:t>kills change</w:t>
      </w:r>
      <w:r w:rsidRPr="00832607">
        <w:rPr>
          <w:rFonts w:cs="Calibri"/>
        </w:rPr>
        <w:t xml:space="preserve"> and </w:t>
      </w:r>
      <w:r w:rsidRPr="00832607">
        <w:rPr>
          <w:rFonts w:cs="Calibri"/>
          <w:u w:val="single"/>
        </w:rPr>
        <w:t>ignores it can work for good</w:t>
      </w:r>
    </w:p>
    <w:p w:rsidR="00853774" w:rsidRPr="00832607" w:rsidRDefault="00853774" w:rsidP="00853774">
      <w:pPr>
        <w:rPr>
          <w:rStyle w:val="StyleStyleBold12pt"/>
        </w:rPr>
      </w:pPr>
      <w:r w:rsidRPr="00832607">
        <w:rPr>
          <w:rStyle w:val="StyleStyleBold12pt"/>
        </w:rPr>
        <w:t xml:space="preserve">Williams and Krause ‘97 </w:t>
      </w:r>
    </w:p>
    <w:p w:rsidR="00853774" w:rsidRPr="00832607" w:rsidRDefault="00853774" w:rsidP="00853774">
      <w:pPr>
        <w:rPr>
          <w:sz w:val="16"/>
          <w:szCs w:val="16"/>
        </w:rPr>
      </w:pPr>
      <w:r w:rsidRPr="00832607">
        <w:rPr>
          <w:sz w:val="16"/>
          <w:szCs w:val="16"/>
        </w:rPr>
        <w:t>(Michael C., Assistant Political Science Pf- U of Southern Maine; Keith, Political Science Pf- Graduate Institute of International Studies, CRITICAL SECURITIES, p.xvi)</w:t>
      </w:r>
    </w:p>
    <w:p w:rsidR="00853774" w:rsidRDefault="00853774" w:rsidP="00853774">
      <w:pPr>
        <w:pStyle w:val="card"/>
        <w:ind w:left="0"/>
        <w:rPr>
          <w:rFonts w:ascii="Calibri" w:hAnsi="Calibri"/>
          <w:sz w:val="16"/>
        </w:rPr>
      </w:pPr>
      <w:r w:rsidRPr="00832607">
        <w:rPr>
          <w:rFonts w:ascii="Calibri" w:hAnsi="Calibri"/>
          <w:sz w:val="16"/>
        </w:rPr>
        <w:t xml:space="preserve">Many of the chapters in this volume thus retain a concern with the centrality of </w:t>
      </w:r>
    </w:p>
    <w:p w:rsidR="00853774" w:rsidRDefault="00853774" w:rsidP="00853774">
      <w:pPr>
        <w:pStyle w:val="card"/>
        <w:ind w:left="0"/>
        <w:rPr>
          <w:rFonts w:ascii="Calibri" w:hAnsi="Calibri"/>
          <w:sz w:val="16"/>
        </w:rPr>
      </w:pPr>
      <w:r>
        <w:rPr>
          <w:rFonts w:ascii="Calibri" w:hAnsi="Calibri"/>
          <w:sz w:val="16"/>
        </w:rPr>
        <w:t>AND</w:t>
      </w:r>
    </w:p>
    <w:p w:rsidR="00853774" w:rsidRPr="00832607" w:rsidRDefault="00853774" w:rsidP="00853774">
      <w:pPr>
        <w:pStyle w:val="card"/>
        <w:ind w:left="0"/>
        <w:rPr>
          <w:rFonts w:ascii="Calibri" w:hAnsi="Calibri"/>
          <w:sz w:val="16"/>
        </w:rPr>
      </w:pPr>
      <w:r w:rsidRPr="00A53A26">
        <w:rPr>
          <w:rStyle w:val="underline"/>
          <w:rFonts w:eastAsia="Malgun Gothic"/>
          <w:highlight w:val="green"/>
        </w:rPr>
        <w:t xml:space="preserve">of </w:t>
      </w:r>
      <w:r w:rsidRPr="00853774">
        <w:rPr>
          <w:rStyle w:val="underline"/>
          <w:rFonts w:eastAsia="Malgun Gothic"/>
        </w:rPr>
        <w:t>influencing</w:t>
      </w:r>
      <w:r w:rsidRPr="00A53A26">
        <w:rPr>
          <w:rStyle w:val="underline"/>
          <w:rFonts w:eastAsia="Malgun Gothic"/>
          <w:highlight w:val="green"/>
        </w:rPr>
        <w:t xml:space="preserve"> what remains the most structurally capable actor in contemporary</w:t>
      </w:r>
      <w:r w:rsidRPr="00CE4C17">
        <w:rPr>
          <w:rStyle w:val="underline"/>
          <w:rFonts w:eastAsia="Malgun Gothic"/>
        </w:rPr>
        <w:t xml:space="preserve"> world </w:t>
      </w:r>
      <w:r w:rsidRPr="00A53A26">
        <w:rPr>
          <w:rStyle w:val="underline"/>
          <w:rFonts w:eastAsia="Malgun Gothic"/>
          <w:highlight w:val="green"/>
        </w:rPr>
        <w:t>politics.</w:t>
      </w:r>
      <w:r w:rsidRPr="00832607">
        <w:rPr>
          <w:rFonts w:ascii="Calibri" w:hAnsi="Calibri"/>
          <w:sz w:val="16"/>
        </w:rPr>
        <w:t xml:space="preserve"> </w:t>
      </w:r>
    </w:p>
    <w:p w:rsidR="00853774" w:rsidRDefault="00853774" w:rsidP="00853774"/>
    <w:p w:rsidR="00853774" w:rsidRDefault="00853774" w:rsidP="00853774">
      <w:pPr>
        <w:pStyle w:val="Heading4"/>
        <w:shd w:val="clear" w:color="auto" w:fill="FFFFFF"/>
        <w:rPr>
          <w:rFonts w:ascii="Arial" w:hAnsi="Arial" w:cs="Arial"/>
          <w:color w:val="222222"/>
        </w:rPr>
      </w:pPr>
      <w:r>
        <w:rPr>
          <w:rFonts w:ascii="Arial" w:hAnsi="Arial" w:cs="Arial"/>
          <w:color w:val="222222"/>
        </w:rPr>
        <w:t>Yes we don’t solve every problem ever but using the government still achieves real tangible progress which is a reason to vote for us</w:t>
      </w:r>
    </w:p>
    <w:p w:rsidR="00853774" w:rsidRDefault="00853774" w:rsidP="00853774">
      <w:pPr>
        <w:pStyle w:val="NormalWeb"/>
        <w:shd w:val="clear" w:color="auto" w:fill="FFFFFF"/>
        <w:rPr>
          <w:rFonts w:ascii="Arial" w:hAnsi="Arial" w:cs="Arial"/>
          <w:color w:val="222222"/>
          <w:sz w:val="20"/>
          <w:szCs w:val="20"/>
        </w:rPr>
      </w:pPr>
      <w:r w:rsidRPr="00D3105D">
        <w:rPr>
          <w:rStyle w:val="StyleStyleBold12pt"/>
        </w:rPr>
        <w:t>Goodsell '3</w:t>
      </w:r>
      <w:r>
        <w:rPr>
          <w:rStyle w:val="apple-converted-space"/>
          <w:rFonts w:ascii="Arial" w:hAnsi="Arial"/>
          <w:color w:val="222222"/>
          <w:sz w:val="20"/>
          <w:szCs w:val="20"/>
        </w:rPr>
        <w:t> </w:t>
      </w:r>
      <w:r>
        <w:rPr>
          <w:rFonts w:ascii="Arial" w:hAnsi="Arial" w:cs="Arial"/>
          <w:color w:val="222222"/>
          <w:sz w:val="20"/>
          <w:szCs w:val="20"/>
        </w:rPr>
        <w:t>Charles, Professor Emeritus at</w:t>
      </w:r>
      <w:r>
        <w:rPr>
          <w:rStyle w:val="apple-converted-space"/>
          <w:rFonts w:ascii="Arial" w:hAnsi="Arial"/>
          <w:color w:val="222222"/>
          <w:sz w:val="20"/>
          <w:szCs w:val="20"/>
        </w:rPr>
        <w:t> </w:t>
      </w:r>
      <w:hyperlink r:id="rId9" w:tgtFrame="_blank" w:tooltip="Virginia Polytechnic Institute and State University" w:history="1">
        <w:r>
          <w:rPr>
            <w:rStyle w:val="Hyperlink"/>
            <w:rFonts w:ascii="Arial" w:hAnsi="Arial" w:cs="Arial"/>
            <w:color w:val="1155CC"/>
            <w:sz w:val="20"/>
            <w:szCs w:val="20"/>
          </w:rPr>
          <w:t>Virginia Tech</w:t>
        </w:r>
      </w:hyperlink>
      <w:r>
        <w:rPr>
          <w:rFonts w:ascii="Arial" w:hAnsi="Arial" w:cs="Arial"/>
          <w:color w:val="222222"/>
          <w:sz w:val="20"/>
          <w:szCs w:val="20"/>
        </w:rPr>
        <w:t>'s</w:t>
      </w:r>
      <w:r>
        <w:rPr>
          <w:rStyle w:val="apple-converted-space"/>
          <w:rFonts w:ascii="Arial" w:hAnsi="Arial"/>
          <w:color w:val="222222"/>
          <w:sz w:val="20"/>
          <w:szCs w:val="20"/>
        </w:rPr>
        <w:t> </w:t>
      </w:r>
      <w:hyperlink r:id="rId10" w:tgtFrame="_blank" w:tooltip="Center for Public Administration and Policy" w:history="1">
        <w:r>
          <w:rPr>
            <w:rStyle w:val="Hyperlink"/>
            <w:rFonts w:ascii="Arial" w:hAnsi="Arial" w:cs="Arial"/>
            <w:color w:val="1155CC"/>
            <w:sz w:val="20"/>
            <w:szCs w:val="20"/>
          </w:rPr>
          <w:t>Center for Public Administration and Policy</w:t>
        </w:r>
      </w:hyperlink>
      <w:r>
        <w:rPr>
          <w:rStyle w:val="apple-converted-space"/>
          <w:rFonts w:ascii="Arial" w:hAnsi="Arial"/>
          <w:color w:val="222222"/>
          <w:sz w:val="20"/>
          <w:szCs w:val="20"/>
        </w:rPr>
        <w:t> </w:t>
      </w:r>
      <w:r>
        <w:rPr>
          <w:rFonts w:ascii="Arial" w:hAnsi="Arial" w:cs="Arial"/>
          <w:color w:val="222222"/>
          <w:sz w:val="20"/>
          <w:szCs w:val="20"/>
        </w:rPr>
        <w:t>"The Case for Bureaucracy, Fourth Edition" orig. 1984 p. 75-80</w:t>
      </w:r>
    </w:p>
    <w:p w:rsidR="00853774" w:rsidRDefault="00853774" w:rsidP="00853774">
      <w:pPr>
        <w:pStyle w:val="NormalWeb"/>
        <w:shd w:val="clear" w:color="auto" w:fill="FFFFFF"/>
        <w:rPr>
          <w:rFonts w:ascii="Arial" w:hAnsi="Arial" w:cs="Arial"/>
          <w:color w:val="222222"/>
          <w:sz w:val="20"/>
          <w:szCs w:val="20"/>
        </w:rPr>
      </w:pPr>
      <w:r>
        <w:rPr>
          <w:rFonts w:ascii="Arial" w:hAnsi="Arial" w:cs="Arial"/>
          <w:color w:val="222222"/>
          <w:sz w:val="20"/>
          <w:szCs w:val="20"/>
        </w:rPr>
        <w:t> </w:t>
      </w:r>
    </w:p>
    <w:p w:rsidR="00853774" w:rsidRDefault="00853774" w:rsidP="00853774">
      <w:pPr>
        <w:pStyle w:val="NormalWeb"/>
        <w:shd w:val="clear" w:color="auto" w:fill="FFFFFF"/>
        <w:rPr>
          <w:rFonts w:ascii="Arial" w:hAnsi="Arial" w:cs="Arial"/>
          <w:b/>
          <w:bCs/>
          <w:color w:val="222222"/>
          <w:sz w:val="20"/>
          <w:szCs w:val="20"/>
          <w:u w:val="single"/>
        </w:rPr>
      </w:pPr>
      <w:r>
        <w:rPr>
          <w:rFonts w:ascii="Arial" w:hAnsi="Arial" w:cs="Arial"/>
          <w:b/>
          <w:bCs/>
          <w:color w:val="222222"/>
          <w:sz w:val="20"/>
          <w:szCs w:val="20"/>
          <w:u w:val="single"/>
        </w:rPr>
        <w:t>American</w:t>
      </w:r>
      <w:r>
        <w:rPr>
          <w:rStyle w:val="apple-converted-space"/>
          <w:rFonts w:ascii="Arial" w:hAnsi="Arial"/>
          <w:b/>
          <w:color w:val="222222"/>
          <w:sz w:val="20"/>
          <w:szCs w:val="20"/>
        </w:rPr>
        <w:t> </w:t>
      </w:r>
      <w:r>
        <w:rPr>
          <w:rFonts w:ascii="Arial" w:hAnsi="Arial" w:cs="Arial"/>
          <w:b/>
          <w:bCs/>
          <w:color w:val="222222"/>
          <w:sz w:val="20"/>
          <w:szCs w:val="20"/>
          <w:u w:val="single"/>
          <w:shd w:val="clear" w:color="auto" w:fill="00FF00"/>
        </w:rPr>
        <w:t>bureaucracy</w:t>
      </w:r>
      <w:r>
        <w:rPr>
          <w:rFonts w:ascii="Arial" w:hAnsi="Arial" w:cs="Arial"/>
          <w:b/>
          <w:bCs/>
          <w:color w:val="222222"/>
          <w:sz w:val="20"/>
          <w:szCs w:val="20"/>
          <w:u w:val="single"/>
        </w:rPr>
        <w:t xml:space="preserve">, despite facing no-win situations and the complications of federalism and </w:t>
      </w:r>
    </w:p>
    <w:p w:rsidR="00853774" w:rsidRDefault="00853774" w:rsidP="00853774">
      <w:pPr>
        <w:pStyle w:val="NormalWeb"/>
        <w:shd w:val="clear" w:color="auto" w:fill="FFFFFF"/>
        <w:rPr>
          <w:rFonts w:ascii="Arial" w:hAnsi="Arial" w:cs="Arial"/>
          <w:b/>
          <w:bCs/>
          <w:color w:val="222222"/>
          <w:sz w:val="20"/>
          <w:szCs w:val="20"/>
          <w:u w:val="single"/>
        </w:rPr>
      </w:pPr>
      <w:r>
        <w:rPr>
          <w:rFonts w:ascii="Arial" w:hAnsi="Arial" w:cs="Arial"/>
          <w:b/>
          <w:bCs/>
          <w:color w:val="222222"/>
          <w:sz w:val="20"/>
          <w:szCs w:val="20"/>
          <w:u w:val="single"/>
        </w:rPr>
        <w:t>AND</w:t>
      </w:r>
    </w:p>
    <w:p w:rsidR="00853774" w:rsidRDefault="00853774" w:rsidP="00853774">
      <w:pPr>
        <w:pStyle w:val="NormalWeb"/>
        <w:shd w:val="clear" w:color="auto" w:fill="FFFFFF"/>
        <w:rPr>
          <w:rFonts w:ascii="Arial" w:hAnsi="Arial" w:cs="Arial"/>
          <w:color w:val="222222"/>
          <w:sz w:val="20"/>
          <w:szCs w:val="20"/>
        </w:rPr>
      </w:pPr>
      <w:r>
        <w:rPr>
          <w:rFonts w:ascii="Arial" w:hAnsi="Arial" w:cs="Arial"/>
          <w:color w:val="222222"/>
          <w:sz w:val="16"/>
          <w:szCs w:val="16"/>
        </w:rPr>
        <w:t>. When this combination is institutionalized, we have the essence of bureaucracy.</w:t>
      </w:r>
    </w:p>
    <w:p w:rsidR="00853774" w:rsidRPr="00832607" w:rsidRDefault="00853774" w:rsidP="00853774"/>
    <w:p w:rsidR="00853774" w:rsidRPr="00832607" w:rsidRDefault="00853774" w:rsidP="00853774">
      <w:pPr>
        <w:pStyle w:val="Heading4"/>
        <w:rPr>
          <w:rFonts w:cs="Calibri"/>
        </w:rPr>
      </w:pPr>
      <w:r w:rsidRPr="00832607">
        <w:rPr>
          <w:rFonts w:cs="Calibri"/>
        </w:rPr>
        <w:t>We epistemologically indict State K authors – reify domination</w:t>
      </w:r>
    </w:p>
    <w:p w:rsidR="00853774" w:rsidRPr="00832607" w:rsidRDefault="00853774" w:rsidP="00853774">
      <w:pPr>
        <w:rPr>
          <w:rStyle w:val="StyleStyleBold12pt"/>
        </w:rPr>
      </w:pPr>
      <w:r w:rsidRPr="00832607">
        <w:rPr>
          <w:rStyle w:val="StyleStyleBold12pt"/>
        </w:rPr>
        <w:t>Chandler ‘10</w:t>
      </w:r>
    </w:p>
    <w:p w:rsidR="00853774" w:rsidRPr="00832607" w:rsidRDefault="00853774" w:rsidP="00853774">
      <w:pPr>
        <w:rPr>
          <w:sz w:val="20"/>
        </w:rPr>
      </w:pPr>
      <w:r w:rsidRPr="00832607">
        <w:rPr>
          <w:sz w:val="16"/>
          <w:szCs w:val="16"/>
        </w:rPr>
        <w:t>(David Chandler is Professor of International Relations at the Department of Politics and International Relations, University of Westminster – Global Society, Vol. 24, No. 2, April, 2010 – http://www.davidchandler.org/pdf/journal_articles/Global%20Society%20-%20Chandler%20response.pdf)</w:t>
      </w:r>
    </w:p>
    <w:p w:rsidR="00853774" w:rsidRDefault="00853774" w:rsidP="00853774">
      <w:pPr>
        <w:rPr>
          <w:sz w:val="16"/>
        </w:rPr>
      </w:pPr>
      <w:r w:rsidRPr="00832607">
        <w:rPr>
          <w:sz w:val="16"/>
        </w:rPr>
        <w:t xml:space="preserve">The work of Foucault is not the subject of this paper. However, it </w:t>
      </w:r>
    </w:p>
    <w:p w:rsidR="00853774" w:rsidRDefault="00853774" w:rsidP="00853774">
      <w:pPr>
        <w:rPr>
          <w:sz w:val="16"/>
        </w:rPr>
      </w:pPr>
      <w:r>
        <w:rPr>
          <w:sz w:val="16"/>
        </w:rPr>
        <w:t>AND</w:t>
      </w:r>
    </w:p>
    <w:p w:rsidR="00853774" w:rsidRPr="00832607" w:rsidRDefault="00853774" w:rsidP="00853774">
      <w:pPr>
        <w:rPr>
          <w:sz w:val="16"/>
        </w:rPr>
      </w:pPr>
      <w:r w:rsidRPr="00832607">
        <w:rPr>
          <w:sz w:val="16"/>
        </w:rPr>
        <w:lastRenderedPageBreak/>
        <w:t xml:space="preserve">discipline of IR, Foucauldians could be merely offering an apologia for them. </w:t>
      </w:r>
    </w:p>
    <w:p w:rsidR="00853774" w:rsidRPr="00A71676" w:rsidRDefault="00853774" w:rsidP="00853774"/>
    <w:p w:rsidR="00853774" w:rsidRPr="00A71676" w:rsidRDefault="00853774" w:rsidP="00853774">
      <w:pPr>
        <w:pStyle w:val="Heading4"/>
        <w:rPr>
          <w:rFonts w:cs="Calibri"/>
          <w:sz w:val="28"/>
        </w:rPr>
      </w:pPr>
      <w:r w:rsidRPr="00A71676">
        <w:rPr>
          <w:rFonts w:cs="Calibri"/>
          <w:sz w:val="28"/>
        </w:rPr>
        <w:t>The State is key – we must locate specific instantiations of neoliberal governmentality in order to challenge it</w:t>
      </w:r>
    </w:p>
    <w:p w:rsidR="00853774" w:rsidRPr="00A71676" w:rsidRDefault="00853774" w:rsidP="00853774">
      <w:pPr>
        <w:pStyle w:val="citenon-bold"/>
        <w:rPr>
          <w:rFonts w:ascii="Calibri" w:hAnsi="Calibri" w:cs="Calibri"/>
          <w:sz w:val="16"/>
        </w:rPr>
      </w:pPr>
      <w:r w:rsidRPr="00A71676">
        <w:rPr>
          <w:rStyle w:val="Heading3Char"/>
          <w:rFonts w:cs="Calibri"/>
          <w:sz w:val="28"/>
        </w:rPr>
        <w:t>Tosa, 2009</w:t>
      </w:r>
      <w:r w:rsidRPr="00A71676">
        <w:rPr>
          <w:rFonts w:ascii="Calibri" w:hAnsi="Calibri" w:cs="Calibri"/>
          <w:sz w:val="16"/>
        </w:rPr>
        <w:t xml:space="preserve"> (Hiroyuki , Professor of Graduate School of International Cooperation Studies, Kobe University, “Anarchical Governance: Neoliberal Governmentality in Resonance with the State of Exception Issue”, International Political Sociology, Vol. 3 Iss. 4, p. 414–430, December)</w:t>
      </w:r>
    </w:p>
    <w:p w:rsidR="00853774" w:rsidRPr="00A71676" w:rsidRDefault="00853774" w:rsidP="00853774">
      <w:pPr>
        <w:pStyle w:val="citenon-bold"/>
        <w:rPr>
          <w:rFonts w:ascii="Calibri" w:hAnsi="Calibri" w:cs="Calibri"/>
        </w:rPr>
      </w:pPr>
    </w:p>
    <w:p w:rsidR="00853774" w:rsidRDefault="00853774" w:rsidP="00853774">
      <w:pPr>
        <w:pStyle w:val="citenon-bold"/>
        <w:rPr>
          <w:rFonts w:ascii="Calibri" w:hAnsi="Calibri" w:cs="Calibri"/>
          <w:sz w:val="16"/>
        </w:rPr>
      </w:pPr>
      <w:r w:rsidRPr="00A71676">
        <w:rPr>
          <w:rFonts w:ascii="Calibri" w:hAnsi="Calibri" w:cs="Calibri"/>
          <w:sz w:val="16"/>
        </w:rPr>
        <w:t xml:space="preserve">Although the articulation of both disciplinary and regulatory mechanisms remains intact, they are in </w:t>
      </w:r>
    </w:p>
    <w:p w:rsidR="00853774" w:rsidRDefault="00853774" w:rsidP="00853774">
      <w:pPr>
        <w:pStyle w:val="citenon-bold"/>
        <w:rPr>
          <w:rFonts w:ascii="Calibri" w:hAnsi="Calibri" w:cs="Calibri"/>
          <w:sz w:val="16"/>
        </w:rPr>
      </w:pPr>
      <w:r>
        <w:rPr>
          <w:rFonts w:ascii="Calibri" w:hAnsi="Calibri" w:cs="Calibri"/>
          <w:sz w:val="16"/>
        </w:rPr>
        <w:t>AND</w:t>
      </w:r>
    </w:p>
    <w:p w:rsidR="00853774" w:rsidRDefault="00853774" w:rsidP="00853774">
      <w:pPr>
        <w:pStyle w:val="citenon-bold"/>
        <w:rPr>
          <w:rFonts w:ascii="Calibri" w:hAnsi="Calibri" w:cs="Calibri"/>
          <w:sz w:val="16"/>
        </w:rPr>
      </w:pPr>
      <w:r w:rsidRPr="00A53A26">
        <w:rPr>
          <w:rStyle w:val="TitleChar"/>
          <w:rFonts w:ascii="Calibri" w:hAnsi="Calibri" w:cs="Calibri"/>
          <w:highlight w:val="green"/>
        </w:rPr>
        <w:t>, this political rationality seems to survive by tuning itself to new fluctuations</w:t>
      </w:r>
      <w:r w:rsidRPr="00A53A26">
        <w:rPr>
          <w:rFonts w:ascii="Calibri" w:hAnsi="Calibri" w:cs="Calibri"/>
          <w:sz w:val="16"/>
          <w:highlight w:val="green"/>
        </w:rPr>
        <w:t>.</w:t>
      </w:r>
    </w:p>
    <w:p w:rsidR="00853774" w:rsidRPr="00A703C9" w:rsidRDefault="00853774" w:rsidP="00853774"/>
    <w:p w:rsidR="00853774" w:rsidRPr="00A71676" w:rsidRDefault="00853774" w:rsidP="00853774">
      <w:pPr>
        <w:pStyle w:val="Heading4"/>
        <w:rPr>
          <w:rFonts w:cs="Calibri"/>
          <w:sz w:val="28"/>
        </w:rPr>
      </w:pPr>
      <w:r>
        <w:rPr>
          <w:rFonts w:cs="Calibri"/>
          <w:sz w:val="28"/>
        </w:rPr>
        <w:t>Role playing in disability context is good</w:t>
      </w:r>
    </w:p>
    <w:p w:rsidR="00853774" w:rsidRPr="00A71676" w:rsidRDefault="00853774" w:rsidP="00853774">
      <w:pPr>
        <w:rPr>
          <w:rStyle w:val="StyleStyleBold12pt"/>
          <w:b w:val="0"/>
          <w:sz w:val="28"/>
        </w:rPr>
      </w:pPr>
      <w:r w:rsidRPr="00A71676">
        <w:rPr>
          <w:rStyle w:val="StyleStyleBold12pt"/>
          <w:sz w:val="28"/>
        </w:rPr>
        <w:t xml:space="preserve">Roberts 2007 </w:t>
      </w:r>
      <w:r w:rsidRPr="00A71676">
        <w:rPr>
          <w:rStyle w:val="StyleStyleBold12pt"/>
          <w:b w:val="0"/>
          <w:sz w:val="12"/>
          <w:szCs w:val="12"/>
        </w:rPr>
        <w:t xml:space="preserve">(Jeff Roberts, Bachelors in Communication Studies from Baylor, from his Master’s thesis – “The Rhetorical Structure of Disability: Bridging the Gap Between What is ‘Spoken’ and What is ‘Said’ with Song - Over-Signifying with Personhood Against the Backdrop of Disease-Centric Discourse”, </w:t>
      </w:r>
      <w:hyperlink r:id="rId11" w:history="1">
        <w:r w:rsidRPr="00A71676">
          <w:rPr>
            <w:rStyle w:val="Hyperlink"/>
            <w:sz w:val="12"/>
            <w:szCs w:val="12"/>
          </w:rPr>
          <w:t>https://beardocs.baylor.edu/xmlui/bitstream/handle/2104/5086/Jeff_Roberts_Masters.pdf?sequence=1</w:t>
        </w:r>
      </w:hyperlink>
      <w:r w:rsidRPr="00A71676">
        <w:rPr>
          <w:rStyle w:val="StyleStyleBold12pt"/>
          <w:b w:val="0"/>
          <w:sz w:val="12"/>
          <w:szCs w:val="12"/>
        </w:rPr>
        <w:t>)</w:t>
      </w:r>
    </w:p>
    <w:p w:rsidR="00853774" w:rsidRPr="00A71676" w:rsidRDefault="00853774" w:rsidP="00853774"/>
    <w:p w:rsidR="00853774" w:rsidRDefault="00853774" w:rsidP="00853774">
      <w:pPr>
        <w:rPr>
          <w:rStyle w:val="TitleChar"/>
        </w:rPr>
      </w:pPr>
      <w:r w:rsidRPr="00A71676">
        <w:rPr>
          <w:rStyle w:val="TitleChar"/>
        </w:rPr>
        <w:t>Although individual action</w:t>
      </w:r>
      <w:r w:rsidRPr="00A71676">
        <w:rPr>
          <w:sz w:val="16"/>
        </w:rPr>
        <w:t xml:space="preserve"> which </w:t>
      </w:r>
      <w:r w:rsidRPr="00A71676">
        <w:rPr>
          <w:rStyle w:val="TitleChar"/>
        </w:rPr>
        <w:t xml:space="preserve">permutes the rejection of disease-centric discourse with a call </w:t>
      </w:r>
    </w:p>
    <w:p w:rsidR="00853774" w:rsidRDefault="00853774" w:rsidP="00853774">
      <w:pPr>
        <w:rPr>
          <w:rStyle w:val="TitleChar"/>
        </w:rPr>
      </w:pPr>
      <w:r>
        <w:rPr>
          <w:rStyle w:val="TitleChar"/>
        </w:rPr>
        <w:t>AND</w:t>
      </w:r>
    </w:p>
    <w:p w:rsidR="00853774" w:rsidRDefault="00853774" w:rsidP="00853774">
      <w:pPr>
        <w:rPr>
          <w:rStyle w:val="TitleChar"/>
        </w:rPr>
      </w:pPr>
      <w:r w:rsidRPr="00817BEE">
        <w:rPr>
          <w:rStyle w:val="TitleChar"/>
        </w:rPr>
        <w:t>important element of advocacy for many groups struggling for state recognition of</w:t>
      </w:r>
      <w:r w:rsidRPr="00A71676">
        <w:rPr>
          <w:rStyle w:val="TitleChar"/>
        </w:rPr>
        <w:t xml:space="preserve"> identity.</w:t>
      </w:r>
    </w:p>
    <w:p w:rsidR="00853774" w:rsidRPr="0066204B" w:rsidRDefault="00853774" w:rsidP="00853774"/>
    <w:p w:rsidR="00853774" w:rsidRDefault="00853774" w:rsidP="00853774">
      <w:pPr>
        <w:pStyle w:val="Heading3"/>
      </w:pPr>
      <w:r>
        <w:lastRenderedPageBreak/>
        <w:t>AT: Omission Link</w:t>
      </w:r>
    </w:p>
    <w:p w:rsidR="00853774" w:rsidRPr="00A703C9" w:rsidRDefault="00853774" w:rsidP="00853774">
      <w:pPr>
        <w:pStyle w:val="Heading4"/>
        <w:rPr>
          <w:rStyle w:val="StyleStyleBold12pt"/>
          <w:b/>
          <w:bCs/>
          <w:u w:val="none"/>
        </w:rPr>
      </w:pPr>
      <w:r>
        <w:t xml:space="preserve">There is no link of commission – the 1AC is not silent to the plight of the black body – we just think that the law perpetuates inequality in mobility practices for all people –we’ve chosen an approach through pragmatism – </w:t>
      </w:r>
      <w:r w:rsidRPr="00A703C9">
        <w:rPr>
          <w:rStyle w:val="StyleStyleBold12pt"/>
          <w:b/>
          <w:u w:val="none"/>
        </w:rPr>
        <w:t xml:space="preserve">Ablism exists in knowledge and produces itself through conceptions of identity, not static but fluid – our interjections are necessary. </w:t>
      </w:r>
    </w:p>
    <w:p w:rsidR="00853774" w:rsidRDefault="00853774" w:rsidP="00853774">
      <w:pPr>
        <w:rPr>
          <w:sz w:val="12"/>
          <w:szCs w:val="12"/>
        </w:rPr>
      </w:pPr>
      <w:hyperlink r:id="rId12" w:tgtFrame="_parent" w:history="1">
        <w:r w:rsidRPr="005F5815">
          <w:rPr>
            <w:rStyle w:val="StyleStyleBold12pt"/>
          </w:rPr>
          <w:t>Campbell</w:t>
        </w:r>
      </w:hyperlink>
      <w:r w:rsidRPr="005F5815">
        <w:rPr>
          <w:rStyle w:val="StyleStyleBold12pt"/>
        </w:rPr>
        <w:t xml:space="preserve"> 08</w:t>
      </w:r>
      <w:r>
        <w:rPr>
          <w:rStyle w:val="StyleStyleBold12pt"/>
          <w:sz w:val="28"/>
        </w:rPr>
        <w:t xml:space="preserve"> </w:t>
      </w:r>
      <w:r>
        <w:rPr>
          <w:sz w:val="12"/>
          <w:szCs w:val="12"/>
        </w:rPr>
        <w:t xml:space="preserve">(Fiona Kumari Convenor of the Disability Studies major in the School of Human Services, Griffith University. Existing in distant relation to Terra Abled, she inhabits the zone of peripheral subjectivities (crip, queer, south Asian and Jewish). Fiona is interested in ways technology and law create and recite disability. She is currently working on her first book Contours of Ableism. M/C Journal, Vol. 11, No. 3 (2008) - 'able' </w:t>
      </w:r>
      <w:hyperlink r:id="rId13" w:tgtFrame="_parent" w:history="1">
        <w:r>
          <w:rPr>
            <w:rStyle w:val="Hyperlink"/>
            <w:sz w:val="12"/>
            <w:szCs w:val="12"/>
          </w:rPr>
          <w:t>Home</w:t>
        </w:r>
      </w:hyperlink>
      <w:r>
        <w:rPr>
          <w:sz w:val="12"/>
          <w:szCs w:val="12"/>
        </w:rPr>
        <w:t xml:space="preserve"> &gt; </w:t>
      </w:r>
      <w:hyperlink r:id="rId14" w:tgtFrame="_parent" w:history="1">
        <w:r>
          <w:rPr>
            <w:rStyle w:val="Hyperlink"/>
            <w:sz w:val="12"/>
            <w:szCs w:val="12"/>
          </w:rPr>
          <w:t>Vol. 11, No. 3 (2008)</w:t>
        </w:r>
      </w:hyperlink>
      <w:r>
        <w:rPr>
          <w:sz w:val="12"/>
          <w:szCs w:val="12"/>
        </w:rPr>
        <w:t xml:space="preserve"> Refusing Able(ness): A Preliminary Conversation about Ableism)</w:t>
      </w:r>
    </w:p>
    <w:p w:rsidR="00853774" w:rsidRDefault="00853774" w:rsidP="00853774">
      <w:pPr>
        <w:spacing w:before="100" w:beforeAutospacing="1" w:after="100" w:afterAutospacing="1"/>
        <w:jc w:val="both"/>
        <w:rPr>
          <w:rFonts w:eastAsia="Times New Roman"/>
          <w:sz w:val="16"/>
          <w:szCs w:val="21"/>
        </w:rPr>
      </w:pPr>
      <w:r>
        <w:rPr>
          <w:rFonts w:eastAsia="Times New Roman"/>
          <w:sz w:val="16"/>
          <w:szCs w:val="21"/>
        </w:rPr>
        <w:t xml:space="preserve">So what is meant by the concept of ‘ableism’? A survey of the </w:t>
      </w:r>
    </w:p>
    <w:p w:rsidR="00853774" w:rsidRDefault="00853774" w:rsidP="00853774">
      <w:pPr>
        <w:spacing w:before="100" w:beforeAutospacing="1" w:after="100" w:afterAutospacing="1"/>
        <w:jc w:val="both"/>
        <w:rPr>
          <w:rFonts w:eastAsia="Times New Roman"/>
          <w:sz w:val="16"/>
          <w:szCs w:val="21"/>
        </w:rPr>
      </w:pPr>
      <w:r>
        <w:rPr>
          <w:rFonts w:eastAsia="Times New Roman"/>
          <w:sz w:val="16"/>
          <w:szCs w:val="21"/>
        </w:rPr>
        <w:t>AND</w:t>
      </w:r>
    </w:p>
    <w:p w:rsidR="00853774" w:rsidRDefault="00853774" w:rsidP="00853774">
      <w:pPr>
        <w:spacing w:before="100" w:beforeAutospacing="1" w:after="100" w:afterAutospacing="1"/>
        <w:jc w:val="both"/>
        <w:rPr>
          <w:rFonts w:eastAsia="Times New Roman"/>
          <w:b/>
          <w:szCs w:val="21"/>
          <w:u w:val="single"/>
        </w:rPr>
      </w:pPr>
      <w:r>
        <w:rPr>
          <w:rFonts w:eastAsia="Times New Roman"/>
          <w:b/>
          <w:szCs w:val="21"/>
          <w:u w:val="single"/>
        </w:rPr>
        <w:t>notes, is articulated on a basis of an enforced presumption that erases difference</w:t>
      </w:r>
    </w:p>
    <w:p w:rsidR="00853774" w:rsidRPr="0066204B" w:rsidRDefault="00853774" w:rsidP="00853774"/>
    <w:p w:rsidR="00853774" w:rsidRPr="00A71676" w:rsidRDefault="00853774" w:rsidP="00853774">
      <w:pPr>
        <w:pStyle w:val="Heading4"/>
        <w:rPr>
          <w:rFonts w:cs="Calibri"/>
          <w:sz w:val="28"/>
        </w:rPr>
      </w:pPr>
      <w:r w:rsidRPr="00A71676">
        <w:rPr>
          <w:rFonts w:cs="Calibri"/>
          <w:sz w:val="28"/>
        </w:rPr>
        <w:t>Intersectionality</w:t>
      </w:r>
      <w:r>
        <w:rPr>
          <w:rFonts w:cs="Calibri"/>
          <w:sz w:val="28"/>
        </w:rPr>
        <w:t xml:space="preserve"> link turns identity link</w:t>
      </w:r>
    </w:p>
    <w:p w:rsidR="00853774" w:rsidRPr="00A71676" w:rsidRDefault="00853774" w:rsidP="00853774">
      <w:pPr>
        <w:rPr>
          <w:b/>
          <w:bCs/>
          <w:sz w:val="28"/>
        </w:rPr>
      </w:pPr>
      <w:r w:rsidRPr="00A71676">
        <w:rPr>
          <w:rStyle w:val="StyleStyleBold12pt"/>
          <w:sz w:val="28"/>
        </w:rPr>
        <w:t xml:space="preserve">Yep, Lovaas, and Elia 03 </w:t>
      </w:r>
      <w:r w:rsidRPr="00A71676">
        <w:rPr>
          <w:sz w:val="12"/>
          <w:szCs w:val="12"/>
        </w:rPr>
        <w:t>(Gust, Karen, and John-- Professors at San Francisco University,  Journal of Homosexual Studies, Vol. 45, No. 2/3/4,, pp. 25-26)</w:t>
      </w:r>
    </w:p>
    <w:p w:rsidR="00853774" w:rsidRPr="00CE4C17" w:rsidRDefault="00853774" w:rsidP="00853774">
      <w:pPr>
        <w:rPr>
          <w:rStyle w:val="underline"/>
        </w:rPr>
      </w:pPr>
    </w:p>
    <w:p w:rsidR="00853774" w:rsidRDefault="00853774" w:rsidP="00853774">
      <w:pPr>
        <w:rPr>
          <w:rStyle w:val="underline"/>
          <w:highlight w:val="green"/>
        </w:rPr>
      </w:pPr>
      <w:r w:rsidRPr="00B55D2F">
        <w:rPr>
          <w:rStyle w:val="underline"/>
          <w:highlight w:val="green"/>
        </w:rPr>
        <w:t xml:space="preserve">People inhabiting and navigating the intersections of race, class, gender, and sexuality </w:t>
      </w:r>
    </w:p>
    <w:p w:rsidR="00853774" w:rsidRDefault="00853774" w:rsidP="00853774">
      <w:pPr>
        <w:rPr>
          <w:rStyle w:val="underline"/>
          <w:highlight w:val="green"/>
        </w:rPr>
      </w:pPr>
      <w:r>
        <w:rPr>
          <w:rStyle w:val="underline"/>
          <w:highlight w:val="green"/>
        </w:rPr>
        <w:t>AND</w:t>
      </w:r>
    </w:p>
    <w:p w:rsidR="00853774" w:rsidRPr="00A71676" w:rsidRDefault="00853774" w:rsidP="00853774">
      <w:pPr>
        <w:rPr>
          <w:sz w:val="16"/>
        </w:rPr>
      </w:pPr>
      <w:r w:rsidRPr="00B55D2F">
        <w:rPr>
          <w:rStyle w:val="underline"/>
          <w:highlight w:val="green"/>
        </w:rPr>
        <w:t>and experiencing the violence of racism, sexism, classism, and heteronormativity.</w:t>
      </w:r>
      <w:r w:rsidRPr="00A71676">
        <w:rPr>
          <w:sz w:val="16"/>
        </w:rPr>
        <w:t xml:space="preserve"> </w:t>
      </w:r>
    </w:p>
    <w:p w:rsidR="00853774" w:rsidRDefault="00853774" w:rsidP="00853774">
      <w:pPr>
        <w:pStyle w:val="Heading3"/>
      </w:pPr>
      <w:r>
        <w:lastRenderedPageBreak/>
        <w:t>2AC Aesthetics</w:t>
      </w:r>
    </w:p>
    <w:p w:rsidR="00853774" w:rsidRPr="00290B7A" w:rsidRDefault="00853774" w:rsidP="00853774">
      <w:pPr>
        <w:pStyle w:val="Heading4"/>
      </w:pPr>
      <w:r w:rsidRPr="00290B7A">
        <w:t>Aesthetic judgments order and give meaning to our understanding of class, race, and sex – the status quo has alienated the aesthetic of the disabled which denies them agency</w:t>
      </w:r>
    </w:p>
    <w:p w:rsidR="00853774" w:rsidRPr="00290B7A" w:rsidRDefault="00853774" w:rsidP="00853774">
      <w:pPr>
        <w:rPr>
          <w:sz w:val="14"/>
        </w:rPr>
      </w:pPr>
      <w:r w:rsidRPr="00354EEC">
        <w:rPr>
          <w:rStyle w:val="StyleStyleBold12pt"/>
        </w:rPr>
        <w:t>Siebers 10</w:t>
      </w:r>
      <w:r w:rsidRPr="00981DA9">
        <w:t xml:space="preserve"> </w:t>
      </w:r>
      <w:r w:rsidRPr="00290B7A">
        <w:rPr>
          <w:sz w:val="14"/>
        </w:rPr>
        <w:t>(Disability Aesthetics” Tom Siebers, Tobin, Prof of Literary and Cultural Criticism at the U of Michigan, 2010)</w:t>
      </w:r>
    </w:p>
    <w:p w:rsidR="00853774" w:rsidRPr="00290B7A" w:rsidRDefault="00853774" w:rsidP="00853774">
      <w:pPr>
        <w:rPr>
          <w:sz w:val="14"/>
        </w:rPr>
      </w:pPr>
    </w:p>
    <w:p w:rsidR="00853774" w:rsidRDefault="00853774" w:rsidP="00853774">
      <w:pPr>
        <w:rPr>
          <w:sz w:val="16"/>
        </w:rPr>
      </w:pPr>
      <w:r w:rsidRPr="00354EEC">
        <w:rPr>
          <w:sz w:val="16"/>
        </w:rPr>
        <w:t xml:space="preserve">Oppression is the systematic victimization of one group by another. It is a form </w:t>
      </w:r>
    </w:p>
    <w:p w:rsidR="00853774" w:rsidRDefault="00853774" w:rsidP="00853774">
      <w:pPr>
        <w:rPr>
          <w:sz w:val="16"/>
        </w:rPr>
      </w:pPr>
      <w:r>
        <w:rPr>
          <w:sz w:val="16"/>
        </w:rPr>
        <w:t>AND</w:t>
      </w:r>
    </w:p>
    <w:p w:rsidR="00853774" w:rsidRPr="00354EEC" w:rsidRDefault="00853774" w:rsidP="00853774">
      <w:pPr>
        <w:rPr>
          <w:b/>
          <w:bCs/>
          <w:u w:val="single"/>
        </w:rPr>
      </w:pPr>
      <w:r w:rsidRPr="00A53A26">
        <w:rPr>
          <w:b/>
          <w:bCs/>
          <w:highlight w:val="green"/>
          <w:u w:val="single"/>
        </w:rPr>
        <w:t>Disability represents</w:t>
      </w:r>
      <w:r w:rsidRPr="00354EEC">
        <w:rPr>
          <w:b/>
          <w:bCs/>
          <w:u w:val="single"/>
        </w:rPr>
        <w:t xml:space="preserve"> at this moment in time </w:t>
      </w:r>
      <w:r w:rsidRPr="00A53A26">
        <w:rPr>
          <w:b/>
          <w:bCs/>
          <w:highlight w:val="green"/>
          <w:u w:val="single"/>
        </w:rPr>
        <w:t>the final frontier of justifiable human inferiority</w:t>
      </w:r>
      <w:r w:rsidRPr="00354EEC">
        <w:rPr>
          <w:b/>
          <w:bCs/>
          <w:u w:val="single"/>
        </w:rPr>
        <w:t xml:space="preserve"> </w:t>
      </w:r>
    </w:p>
    <w:p w:rsidR="00853774" w:rsidRDefault="00853774" w:rsidP="00853774"/>
    <w:p w:rsidR="00853774" w:rsidRDefault="00853774" w:rsidP="00853774"/>
    <w:p w:rsidR="00853774" w:rsidRDefault="00853774" w:rsidP="00853774">
      <w:pPr>
        <w:pStyle w:val="Heading3"/>
      </w:pPr>
      <w:r>
        <w:lastRenderedPageBreak/>
        <w:t>Perm</w:t>
      </w:r>
    </w:p>
    <w:p w:rsidR="00853774" w:rsidRPr="00A71676" w:rsidRDefault="00853774" w:rsidP="00853774">
      <w:pPr>
        <w:pStyle w:val="Heading4"/>
        <w:rPr>
          <w:rFonts w:cs="Calibri"/>
          <w:sz w:val="28"/>
        </w:rPr>
      </w:pPr>
      <w:r w:rsidRPr="00A71676">
        <w:rPr>
          <w:rFonts w:cs="Calibri"/>
          <w:sz w:val="28"/>
        </w:rPr>
        <w:t>PDB. The perm solves best – theories of white supremacy need to take ableism into account</w:t>
      </w:r>
    </w:p>
    <w:p w:rsidR="00853774" w:rsidRPr="00A71676" w:rsidRDefault="00853774" w:rsidP="00853774">
      <w:r w:rsidRPr="00A71676">
        <w:rPr>
          <w:rStyle w:val="StyleStyleBold12pt"/>
          <w:sz w:val="28"/>
        </w:rPr>
        <w:t>Smith 04</w:t>
      </w:r>
      <w:r w:rsidRPr="00A71676">
        <w:t xml:space="preserve"> (Phil, Executive Director, Vermont Developmental Disabilities Council, “Whiteness, Normal Theory, and Disability Studies”, Disability Studies Quarterly Spring 2004, Volume 24, No. 2, </w:t>
      </w:r>
      <w:hyperlink r:id="rId15" w:history="1">
        <w:r w:rsidRPr="00A71676">
          <w:rPr>
            <w:rStyle w:val="Hyperlink"/>
          </w:rPr>
          <w:t>http://dsq-sds.org/article/view/491/668 //</w:t>
        </w:r>
      </w:hyperlink>
      <w:r w:rsidRPr="00A71676">
        <w:t xml:space="preserve">  )</w:t>
      </w:r>
    </w:p>
    <w:p w:rsidR="00853774" w:rsidRPr="00A71676" w:rsidRDefault="00853774" w:rsidP="00853774"/>
    <w:p w:rsidR="00853774" w:rsidRDefault="00853774" w:rsidP="00853774">
      <w:pPr>
        <w:rPr>
          <w:rStyle w:val="TitleChar"/>
          <w:highlight w:val="green"/>
        </w:rPr>
      </w:pPr>
      <w:r w:rsidRPr="00A53A26">
        <w:rPr>
          <w:rStyle w:val="TitleChar"/>
          <w:highlight w:val="green"/>
        </w:rPr>
        <w:t>I propose an intellectual alliance between whiteness</w:t>
      </w:r>
      <w:r w:rsidRPr="00A71676">
        <w:rPr>
          <w:rStyle w:val="TitleChar"/>
        </w:rPr>
        <w:t xml:space="preserve"> studies </w:t>
      </w:r>
      <w:r w:rsidRPr="00A53A26">
        <w:rPr>
          <w:rStyle w:val="TitleChar"/>
          <w:highlight w:val="green"/>
        </w:rPr>
        <w:t>and disability</w:t>
      </w:r>
      <w:r w:rsidRPr="00A71676">
        <w:rPr>
          <w:rStyle w:val="TitleChar"/>
        </w:rPr>
        <w:t xml:space="preserve"> studies </w:t>
      </w:r>
      <w:r w:rsidRPr="00A53A26">
        <w:rPr>
          <w:rStyle w:val="TitleChar"/>
          <w:highlight w:val="green"/>
        </w:rPr>
        <w:t xml:space="preserve">in order to accentuate </w:t>
      </w:r>
    </w:p>
    <w:p w:rsidR="00853774" w:rsidRDefault="00853774" w:rsidP="00853774">
      <w:pPr>
        <w:rPr>
          <w:rStyle w:val="TitleChar"/>
          <w:highlight w:val="green"/>
        </w:rPr>
      </w:pPr>
      <w:r>
        <w:rPr>
          <w:rStyle w:val="TitleChar"/>
          <w:highlight w:val="green"/>
        </w:rPr>
        <w:t>AND</w:t>
      </w:r>
    </w:p>
    <w:p w:rsidR="00853774" w:rsidRDefault="00853774" w:rsidP="00853774">
      <w:pPr>
        <w:rPr>
          <w:sz w:val="16"/>
        </w:rPr>
      </w:pPr>
      <w:r w:rsidRPr="00A71676">
        <w:rPr>
          <w:sz w:val="16"/>
        </w:rPr>
        <w:t>like Taxi Driver, or in works by photographers such as Diane Arbus?</w:t>
      </w:r>
    </w:p>
    <w:p w:rsidR="00853774" w:rsidRDefault="00853774" w:rsidP="00853774">
      <w:pPr>
        <w:rPr>
          <w:sz w:val="16"/>
        </w:rPr>
      </w:pPr>
    </w:p>
    <w:p w:rsidR="00853774" w:rsidRDefault="00853774" w:rsidP="00853774">
      <w:pPr>
        <w:rPr>
          <w:sz w:val="16"/>
        </w:rPr>
      </w:pPr>
    </w:p>
    <w:p w:rsidR="00853774" w:rsidRDefault="00853774" w:rsidP="00853774">
      <w:pPr>
        <w:pStyle w:val="Heading4"/>
      </w:pPr>
      <w:r>
        <w:t>Their radical negativity that essentializes the Black as an ontological category excludes the ontological position of mixed race folks &amp; prevents contestation of the meaning of whiteness as well as building coalitions for white allies in the struggle against white supremacy. Whether Black or White, the politics of purity is a failure</w:t>
      </w:r>
    </w:p>
    <w:p w:rsidR="00853774" w:rsidRDefault="00853774" w:rsidP="00853774">
      <w:r w:rsidRPr="009B61FD">
        <w:t xml:space="preserve">Michael J. </w:t>
      </w:r>
      <w:r w:rsidRPr="009B61FD">
        <w:rPr>
          <w:b/>
          <w:highlight w:val="green"/>
        </w:rPr>
        <w:t>Monahan</w:t>
      </w:r>
      <w:r w:rsidRPr="009B61FD">
        <w:rPr>
          <w:b/>
        </w:rPr>
        <w:t>,</w:t>
      </w:r>
      <w:r w:rsidRPr="009B61FD">
        <w:t xml:space="preserve"> Assistant Professor of Philosophy, Marquette University, Racial Justice and the Politics of Purity, </w:t>
      </w:r>
      <w:r>
        <w:rPr>
          <w:highlight w:val="green"/>
        </w:rPr>
        <w:t>'</w:t>
      </w:r>
      <w:r w:rsidRPr="009B61FD">
        <w:rPr>
          <w:b/>
          <w:highlight w:val="green"/>
        </w:rPr>
        <w:t>8</w:t>
      </w:r>
      <w:r w:rsidRPr="009B61FD">
        <w:t xml:space="preserve">, </w:t>
      </w:r>
      <w:hyperlink r:id="rId16" w:history="1">
        <w:r w:rsidRPr="00846583">
          <w:rPr>
            <w:rStyle w:val="Hyperlink"/>
          </w:rPr>
          <w:t>http://www.temple.edu/isrst/Events/documents/MichaelMonahanUpdated.doc</w:t>
        </w:r>
      </w:hyperlink>
    </w:p>
    <w:p w:rsidR="00853774" w:rsidRPr="009B61FD" w:rsidRDefault="00853774" w:rsidP="00853774"/>
    <w:p w:rsidR="00853774" w:rsidRDefault="00853774" w:rsidP="00853774">
      <w:pPr>
        <w:rPr>
          <w:sz w:val="16"/>
        </w:rPr>
      </w:pPr>
      <w:r w:rsidRPr="00847EC1">
        <w:rPr>
          <w:sz w:val="16"/>
        </w:rPr>
        <w:t xml:space="preserve">The abolitionist/elimitavist position demands that any legitimately anti-racist endeavor stand simultaneously </w:t>
      </w:r>
    </w:p>
    <w:p w:rsidR="00853774" w:rsidRDefault="00853774" w:rsidP="00853774">
      <w:pPr>
        <w:rPr>
          <w:sz w:val="16"/>
        </w:rPr>
      </w:pPr>
      <w:r>
        <w:rPr>
          <w:sz w:val="16"/>
        </w:rPr>
        <w:t>AND</w:t>
      </w:r>
    </w:p>
    <w:p w:rsidR="00853774" w:rsidRDefault="00853774" w:rsidP="00853774">
      <w:pPr>
        <w:rPr>
          <w:u w:val="single"/>
        </w:rPr>
      </w:pPr>
      <w:r w:rsidRPr="00847EC1">
        <w:rPr>
          <w:sz w:val="16"/>
        </w:rPr>
        <w:t xml:space="preserve">it is that </w:t>
      </w:r>
      <w:r w:rsidRPr="00847EC1">
        <w:rPr>
          <w:u w:val="single"/>
        </w:rPr>
        <w:t>insistence on purity</w:t>
      </w:r>
      <w:r w:rsidRPr="00847EC1">
        <w:rPr>
          <w:sz w:val="16"/>
        </w:rPr>
        <w:t xml:space="preserve"> that </w:t>
      </w:r>
      <w:r w:rsidRPr="00847EC1">
        <w:rPr>
          <w:u w:val="single"/>
        </w:rPr>
        <w:t>links racial categories to oppressive norms.</w:t>
      </w:r>
    </w:p>
    <w:p w:rsidR="00853774" w:rsidRPr="0066204B" w:rsidRDefault="00853774" w:rsidP="00853774"/>
    <w:p w:rsidR="00853774" w:rsidRDefault="00853774" w:rsidP="00853774">
      <w:pPr>
        <w:pStyle w:val="Heading3"/>
      </w:pPr>
      <w:r>
        <w:lastRenderedPageBreak/>
        <w:t>2AC Social Death</w:t>
      </w:r>
    </w:p>
    <w:p w:rsidR="00853774" w:rsidRPr="00336858" w:rsidRDefault="00853774" w:rsidP="00853774">
      <w:pPr>
        <w:pStyle w:val="Heading4"/>
        <w:rPr>
          <w:rFonts w:cs="Arial"/>
        </w:rPr>
      </w:pPr>
      <w:r w:rsidRPr="00336858">
        <w:rPr>
          <w:rFonts w:cs="Arial"/>
        </w:rPr>
        <w:t>No social death</w:t>
      </w:r>
      <w:r>
        <w:rPr>
          <w:rFonts w:cs="Arial"/>
        </w:rPr>
        <w:t>—</w:t>
      </w:r>
      <w:r w:rsidRPr="00336858">
        <w:rPr>
          <w:rFonts w:cs="Arial"/>
        </w:rPr>
        <w:t>history proves</w:t>
      </w:r>
    </w:p>
    <w:p w:rsidR="00853774" w:rsidRDefault="00853774" w:rsidP="00853774">
      <w:pPr>
        <w:rPr>
          <w:rFonts w:cs="Arial"/>
        </w:rPr>
      </w:pPr>
      <w:r w:rsidRPr="00DB0F84">
        <w:rPr>
          <w:rStyle w:val="StyleStyleBold12pt"/>
        </w:rPr>
        <w:t>Brown 9</w:t>
      </w:r>
      <w:r>
        <w:rPr>
          <w:rFonts w:cs="Arial"/>
        </w:rPr>
        <w:t>—</w:t>
      </w:r>
      <w:r w:rsidRPr="00336858">
        <w:rPr>
          <w:rFonts w:cs="Arial"/>
        </w:rPr>
        <w:t>Vincent, Prof. of History and African and African-American St</w:t>
      </w:r>
      <w:r>
        <w:rPr>
          <w:rFonts w:cs="Arial"/>
        </w:rPr>
        <w:t>udies @ Harvard Univ. [December,</w:t>
      </w:r>
      <w:r w:rsidRPr="00336858">
        <w:rPr>
          <w:rFonts w:cs="Arial"/>
        </w:rPr>
        <w:t xml:space="preserve"> </w:t>
      </w:r>
      <w:r>
        <w:rPr>
          <w:rFonts w:cs="Arial"/>
        </w:rPr>
        <w:t>“</w:t>
      </w:r>
      <w:r w:rsidRPr="00336858">
        <w:rPr>
          <w:rFonts w:cs="Arial"/>
        </w:rPr>
        <w:t>Social Death and Political Life in the Study of Slavery,</w:t>
      </w:r>
      <w:r>
        <w:rPr>
          <w:rFonts w:cs="Arial"/>
        </w:rPr>
        <w:t>”</w:t>
      </w:r>
      <w:r w:rsidRPr="00336858">
        <w:rPr>
          <w:rFonts w:cs="Arial"/>
        </w:rPr>
        <w:t xml:space="preserve"> </w:t>
      </w:r>
      <w:r w:rsidRPr="000C65A7">
        <w:rPr>
          <w:rFonts w:cs="Arial"/>
          <w:i/>
        </w:rPr>
        <w:t>American Historical Review</w:t>
      </w:r>
      <w:r w:rsidRPr="00336858">
        <w:rPr>
          <w:rFonts w:cs="Arial"/>
        </w:rPr>
        <w:t>, p. 1231-1249</w:t>
      </w:r>
      <w:r>
        <w:rPr>
          <w:rFonts w:cs="Arial"/>
        </w:rPr>
        <w:t>]</w:t>
      </w:r>
    </w:p>
    <w:p w:rsidR="00853774" w:rsidRPr="00336858" w:rsidRDefault="00853774" w:rsidP="00853774">
      <w:pPr>
        <w:rPr>
          <w:rFonts w:cs="Arial"/>
        </w:rPr>
      </w:pPr>
    </w:p>
    <w:p w:rsidR="00853774" w:rsidRDefault="00853774" w:rsidP="00853774">
      <w:pPr>
        <w:rPr>
          <w:sz w:val="16"/>
        </w:rPr>
      </w:pPr>
      <w:r w:rsidRPr="000C65A7">
        <w:rPr>
          <w:sz w:val="16"/>
        </w:rPr>
        <w:t xml:space="preserve">THE PREMISE OF ORLANDO PATTERSON’S MAJOR WORK, that enslaved Africans were natally alienated and </w:t>
      </w:r>
    </w:p>
    <w:p w:rsidR="00853774" w:rsidRDefault="00853774" w:rsidP="00853774">
      <w:pPr>
        <w:rPr>
          <w:sz w:val="16"/>
        </w:rPr>
      </w:pPr>
      <w:r>
        <w:rPr>
          <w:sz w:val="16"/>
        </w:rPr>
        <w:t>AND</w:t>
      </w:r>
    </w:p>
    <w:p w:rsidR="00853774" w:rsidRPr="000C65A7" w:rsidRDefault="00853774" w:rsidP="00853774">
      <w:pPr>
        <w:rPr>
          <w:sz w:val="16"/>
        </w:rPr>
      </w:pPr>
      <w:r w:rsidRPr="00336858">
        <w:rPr>
          <w:rStyle w:val="TitleChar"/>
          <w:rFonts w:cs="Arial"/>
        </w:rPr>
        <w:t>of becoming ‘African American’ in culture, orientation, and identity</w:t>
      </w:r>
      <w:r w:rsidRPr="000C65A7">
        <w:rPr>
          <w:sz w:val="16"/>
        </w:rPr>
        <w:t>.”40</w:t>
      </w:r>
    </w:p>
    <w:p w:rsidR="00853774" w:rsidRDefault="00853774" w:rsidP="00853774"/>
    <w:p w:rsidR="00853774" w:rsidRPr="00336858" w:rsidRDefault="00853774" w:rsidP="00853774">
      <w:pPr>
        <w:pStyle w:val="Heading4"/>
        <w:rPr>
          <w:rFonts w:cs="Arial"/>
        </w:rPr>
      </w:pPr>
      <w:r w:rsidRPr="00336858">
        <w:rPr>
          <w:rFonts w:cs="Arial"/>
        </w:rPr>
        <w:t>The invocation of social death as ontologically inevitable inscribes a pessimism towards politics which makes agency impossible and oversimplifies the history of resistance</w:t>
      </w:r>
    </w:p>
    <w:p w:rsidR="00853774" w:rsidRDefault="00853774" w:rsidP="00853774">
      <w:pPr>
        <w:rPr>
          <w:rFonts w:cs="Arial"/>
        </w:rPr>
      </w:pPr>
      <w:r w:rsidRPr="00DB0F84">
        <w:rPr>
          <w:rStyle w:val="StyleStyleBold12pt"/>
        </w:rPr>
        <w:t>Brown 9</w:t>
      </w:r>
      <w:r>
        <w:rPr>
          <w:rFonts w:cs="Arial"/>
        </w:rPr>
        <w:t>—</w:t>
      </w:r>
      <w:r w:rsidRPr="00336858">
        <w:rPr>
          <w:rFonts w:cs="Arial"/>
        </w:rPr>
        <w:t>Vincent, Prof. of History and African and African-American St</w:t>
      </w:r>
      <w:r>
        <w:rPr>
          <w:rFonts w:cs="Arial"/>
        </w:rPr>
        <w:t>udies @ Harvard Univ. [December,</w:t>
      </w:r>
      <w:r w:rsidRPr="00336858">
        <w:rPr>
          <w:rFonts w:cs="Arial"/>
        </w:rPr>
        <w:t xml:space="preserve"> </w:t>
      </w:r>
      <w:r>
        <w:rPr>
          <w:rFonts w:cs="Arial"/>
        </w:rPr>
        <w:t>“</w:t>
      </w:r>
      <w:r w:rsidRPr="00336858">
        <w:rPr>
          <w:rFonts w:cs="Arial"/>
        </w:rPr>
        <w:t>Social Death and Political Life in the Study of Slavery,</w:t>
      </w:r>
      <w:r>
        <w:rPr>
          <w:rFonts w:cs="Arial"/>
        </w:rPr>
        <w:t>”</w:t>
      </w:r>
      <w:r w:rsidRPr="00336858">
        <w:rPr>
          <w:rFonts w:cs="Arial"/>
        </w:rPr>
        <w:t xml:space="preserve"> </w:t>
      </w:r>
      <w:r w:rsidRPr="000C65A7">
        <w:rPr>
          <w:rFonts w:cs="Arial"/>
          <w:i/>
        </w:rPr>
        <w:t>American Historical Review</w:t>
      </w:r>
      <w:r w:rsidRPr="00336858">
        <w:rPr>
          <w:rFonts w:cs="Arial"/>
        </w:rPr>
        <w:t>, p. 1231-1249</w:t>
      </w:r>
      <w:r>
        <w:rPr>
          <w:rFonts w:cs="Arial"/>
        </w:rPr>
        <w:t>]</w:t>
      </w:r>
    </w:p>
    <w:p w:rsidR="00853774" w:rsidRPr="00336858" w:rsidRDefault="00853774" w:rsidP="00853774">
      <w:pPr>
        <w:rPr>
          <w:rFonts w:cs="Arial"/>
        </w:rPr>
      </w:pPr>
    </w:p>
    <w:p w:rsidR="00853774" w:rsidRDefault="00853774" w:rsidP="00853774">
      <w:pPr>
        <w:rPr>
          <w:sz w:val="16"/>
        </w:rPr>
      </w:pPr>
      <w:r w:rsidRPr="000C65A7">
        <w:rPr>
          <w:sz w:val="16"/>
        </w:rPr>
        <w:t xml:space="preserve">Specters of the Atlantic is a compellingly sophisticated study of the relation be- tween </w:t>
      </w:r>
    </w:p>
    <w:p w:rsidR="00853774" w:rsidRDefault="00853774" w:rsidP="00853774">
      <w:pPr>
        <w:rPr>
          <w:sz w:val="16"/>
        </w:rPr>
      </w:pPr>
      <w:r>
        <w:rPr>
          <w:sz w:val="16"/>
        </w:rPr>
        <w:t>AND</w:t>
      </w:r>
    </w:p>
    <w:p w:rsidR="00853774" w:rsidRPr="000C65A7" w:rsidRDefault="00853774" w:rsidP="00853774">
      <w:pPr>
        <w:rPr>
          <w:sz w:val="16"/>
        </w:rPr>
      </w:pPr>
      <w:r w:rsidRPr="000C65A7">
        <w:rPr>
          <w:sz w:val="16"/>
        </w:rPr>
        <w:t>That is precisely what the women on the Hudibras fought to accomplish.31</w:t>
      </w:r>
    </w:p>
    <w:p w:rsidR="00853774" w:rsidRDefault="00853774" w:rsidP="00853774"/>
    <w:p w:rsidR="00853774" w:rsidRDefault="00853774" w:rsidP="00853774"/>
    <w:p w:rsidR="00853774" w:rsidRDefault="00853774" w:rsidP="00853774">
      <w:pPr>
        <w:pStyle w:val="Heading2"/>
      </w:pPr>
      <w:r>
        <w:lastRenderedPageBreak/>
        <w:t>Universalism</w:t>
      </w:r>
    </w:p>
    <w:p w:rsidR="00853774" w:rsidRDefault="00853774" w:rsidP="00853774">
      <w:pPr>
        <w:pStyle w:val="Heading3"/>
      </w:pPr>
      <w:r>
        <w:lastRenderedPageBreak/>
        <w:t>AT: suffering critique</w:t>
      </w:r>
    </w:p>
    <w:p w:rsidR="00853774" w:rsidRPr="0094168F" w:rsidRDefault="00853774" w:rsidP="00853774">
      <w:pPr>
        <w:pStyle w:val="Heading4"/>
      </w:pPr>
      <w:r w:rsidRPr="0094168F">
        <w:t xml:space="preserve">Permutation – endorse the world-changing of the Aff in combination with Nietzschean life celebration.  Their framework alone yields callousness and despair.  The permutation is necessary to affirm freedom and life.  </w:t>
      </w:r>
    </w:p>
    <w:p w:rsidR="00853774" w:rsidRPr="00850F8E" w:rsidRDefault="00853774" w:rsidP="00853774">
      <w:pPr>
        <w:pStyle w:val="tag"/>
        <w:rPr>
          <w:rStyle w:val="Heading3Char"/>
          <w:sz w:val="16"/>
        </w:rPr>
      </w:pPr>
      <w:r w:rsidRPr="0094168F">
        <w:rPr>
          <w:rFonts w:eastAsiaTheme="majorEastAsia"/>
        </w:rPr>
        <w:t>May, 2005</w:t>
      </w:r>
      <w:r w:rsidRPr="00850F8E">
        <w:rPr>
          <w:rStyle w:val="Heading3Char"/>
          <w:sz w:val="16"/>
        </w:rPr>
        <w:t xml:space="preserve"> (Todd, Professor of Philosophy at Clemson University, "To change the world, to celebrate life, "Philosophy and Social Criticism. 31(5-6), p. 519-520, 527)</w:t>
      </w:r>
    </w:p>
    <w:p w:rsidR="00853774" w:rsidRPr="00422F45" w:rsidRDefault="00853774" w:rsidP="00853774">
      <w:pPr>
        <w:shd w:val="clear" w:color="auto" w:fill="FFFFFF"/>
        <w:spacing w:before="43" w:line="197" w:lineRule="exact"/>
        <w:ind w:left="5"/>
        <w:rPr>
          <w:rStyle w:val="underline"/>
          <w:b/>
          <w:smallCaps/>
        </w:rPr>
      </w:pPr>
    </w:p>
    <w:p w:rsidR="00853774" w:rsidRDefault="00853774" w:rsidP="00853774">
      <w:pPr>
        <w:rPr>
          <w:sz w:val="14"/>
        </w:rPr>
      </w:pPr>
      <w:r w:rsidRPr="00B55D2F">
        <w:rPr>
          <w:rStyle w:val="underline"/>
          <w:b/>
          <w:highlight w:val="green"/>
        </w:rPr>
        <w:t>To change the world and to celebrate life</w:t>
      </w:r>
      <w:r w:rsidRPr="00422F45">
        <w:rPr>
          <w:rStyle w:val="underline"/>
          <w:b/>
        </w:rPr>
        <w:t xml:space="preserve">. This, </w:t>
      </w:r>
      <w:r w:rsidRPr="00422F45">
        <w:rPr>
          <w:sz w:val="14"/>
        </w:rPr>
        <w:t xml:space="preserve">as the theologian Harvey </w:t>
      </w:r>
    </w:p>
    <w:p w:rsidR="00853774" w:rsidRDefault="00853774" w:rsidP="00853774">
      <w:pPr>
        <w:rPr>
          <w:sz w:val="14"/>
        </w:rPr>
      </w:pPr>
      <w:r>
        <w:rPr>
          <w:sz w:val="14"/>
        </w:rPr>
        <w:t>AND</w:t>
      </w:r>
    </w:p>
    <w:p w:rsidR="00853774" w:rsidRPr="00422F45" w:rsidRDefault="00853774" w:rsidP="00853774">
      <w:pPr>
        <w:rPr>
          <w:smallCaps/>
          <w:sz w:val="14"/>
        </w:rPr>
      </w:pPr>
      <w:r w:rsidRPr="00422F45">
        <w:rPr>
          <w:rStyle w:val="underline"/>
          <w:b/>
        </w:rPr>
        <w:t xml:space="preserve">than with inevitable </w:t>
      </w:r>
      <w:r w:rsidRPr="00422F45">
        <w:rPr>
          <w:sz w:val="14"/>
        </w:rPr>
        <w:t xml:space="preserve">anthropological </w:t>
      </w:r>
      <w:r w:rsidRPr="00422F45">
        <w:rPr>
          <w:rStyle w:val="underline"/>
          <w:b/>
        </w:rPr>
        <w:t>constraints</w:t>
      </w:r>
      <w:r w:rsidRPr="00422F45">
        <w:rPr>
          <w:sz w:val="14"/>
        </w:rPr>
        <w:t xml:space="preserve">... </w:t>
      </w:r>
      <w:r w:rsidRPr="00422F45">
        <w:rPr>
          <w:rStyle w:val="underline"/>
          <w:b/>
        </w:rPr>
        <w:t>That is where to discover our freedom</w:t>
      </w:r>
      <w:r w:rsidRPr="00422F45">
        <w:rPr>
          <w:sz w:val="14"/>
        </w:rPr>
        <w:t xml:space="preserve">. </w:t>
      </w:r>
    </w:p>
    <w:p w:rsidR="00853774" w:rsidRPr="0066204B" w:rsidRDefault="00853774" w:rsidP="00853774"/>
    <w:p w:rsidR="00853774" w:rsidRPr="00832607" w:rsidRDefault="00853774" w:rsidP="00853774">
      <w:pPr>
        <w:pStyle w:val="Heading4"/>
        <w:rPr>
          <w:rFonts w:cs="Calibri"/>
        </w:rPr>
      </w:pPr>
      <w:r>
        <w:rPr>
          <w:rFonts w:cs="Calibri"/>
        </w:rPr>
        <w:t>The ethic of RESPONSIBILITY and AFFIRMATION is the OPPOSITE of THEIR LINK STORY – the alternative is restentiment</w:t>
      </w:r>
    </w:p>
    <w:p w:rsidR="00853774" w:rsidRPr="00832607" w:rsidRDefault="00853774" w:rsidP="00853774">
      <w:r w:rsidRPr="00832607">
        <w:rPr>
          <w:rStyle w:val="StyleStyleBold12pt"/>
          <w:rFonts w:eastAsia="Calibri"/>
        </w:rPr>
        <w:t>Biskowski 95</w:t>
      </w:r>
      <w:r w:rsidRPr="00832607">
        <w:t xml:space="preserve"> Lawrence J. PROFESSOR OF POLITICAL SCIENCE --- assistant professor of political science, University of Georgia, “Politics versus Aesthetics: Arendt's Critiques of Nietzsche and Heidegger,” The Review of Politics, Vol. 57, No. 1, Winter, 1995</w:t>
      </w:r>
    </w:p>
    <w:p w:rsidR="00853774" w:rsidRPr="00832607" w:rsidRDefault="00853774" w:rsidP="00853774">
      <w:pPr>
        <w:pStyle w:val="card"/>
        <w:ind w:left="0"/>
        <w:rPr>
          <w:rFonts w:ascii="Calibri" w:hAnsi="Calibri"/>
        </w:rPr>
      </w:pPr>
    </w:p>
    <w:p w:rsidR="00853774" w:rsidRDefault="00853774" w:rsidP="00853774">
      <w:pPr>
        <w:pStyle w:val="card"/>
        <w:ind w:left="0"/>
        <w:rPr>
          <w:rFonts w:ascii="Calibri" w:hAnsi="Calibri"/>
          <w:sz w:val="12"/>
          <w:szCs w:val="12"/>
        </w:rPr>
      </w:pPr>
      <w:r w:rsidRPr="00832607">
        <w:rPr>
          <w:rFonts w:ascii="Calibri" w:hAnsi="Calibri"/>
          <w:sz w:val="12"/>
          <w:szCs w:val="12"/>
        </w:rPr>
        <w:t xml:space="preserve">Even this great exchange of values, Arendt seems to tell us, was not </w:t>
      </w:r>
    </w:p>
    <w:p w:rsidR="00853774" w:rsidRDefault="00853774" w:rsidP="00853774">
      <w:pPr>
        <w:pStyle w:val="card"/>
        <w:ind w:left="0"/>
        <w:rPr>
          <w:rFonts w:ascii="Calibri" w:hAnsi="Calibri"/>
          <w:sz w:val="12"/>
          <w:szCs w:val="12"/>
        </w:rPr>
      </w:pPr>
      <w:r>
        <w:rPr>
          <w:rFonts w:ascii="Calibri" w:hAnsi="Calibri"/>
          <w:sz w:val="12"/>
          <w:szCs w:val="12"/>
        </w:rPr>
        <w:t>AND</w:t>
      </w:r>
    </w:p>
    <w:p w:rsidR="00853774" w:rsidRPr="00832607" w:rsidRDefault="00853774" w:rsidP="00853774">
      <w:pPr>
        <w:pStyle w:val="card"/>
        <w:ind w:left="0"/>
        <w:rPr>
          <w:rFonts w:ascii="Calibri" w:hAnsi="Calibri"/>
          <w:sz w:val="16"/>
        </w:rPr>
      </w:pPr>
      <w:r w:rsidRPr="00B55D2F">
        <w:rPr>
          <w:rStyle w:val="Emphasis"/>
          <w:highlight w:val="green"/>
        </w:rPr>
        <w:t>of the weak</w:t>
      </w:r>
      <w:r w:rsidRPr="00B55D2F">
        <w:rPr>
          <w:rStyle w:val="underline"/>
          <w:rFonts w:ascii="Calibri" w:eastAsia="Calibri" w:hAnsi="Calibri"/>
          <w:b/>
          <w:sz w:val="22"/>
          <w:highlight w:val="green"/>
        </w:rPr>
        <w:t>, and</w:t>
      </w:r>
      <w:r w:rsidRPr="00422F45">
        <w:rPr>
          <w:rStyle w:val="underline"/>
          <w:rFonts w:ascii="Calibri" w:eastAsia="Calibri" w:hAnsi="Calibri"/>
          <w:b/>
          <w:sz w:val="22"/>
        </w:rPr>
        <w:t xml:space="preserve"> possibly even </w:t>
      </w:r>
      <w:r w:rsidRPr="00B55D2F">
        <w:rPr>
          <w:rStyle w:val="underline"/>
          <w:rFonts w:ascii="Calibri" w:eastAsia="Calibri" w:hAnsi="Calibri"/>
          <w:b/>
          <w:sz w:val="22"/>
          <w:highlight w:val="green"/>
        </w:rPr>
        <w:t>their most dangerous one</w:t>
      </w:r>
      <w:r w:rsidRPr="00832607">
        <w:rPr>
          <w:rFonts w:ascii="Calibri" w:hAnsi="Calibri"/>
          <w:sz w:val="16"/>
        </w:rPr>
        <w:t>."4*</w:t>
      </w:r>
    </w:p>
    <w:p w:rsidR="00853774" w:rsidRDefault="00853774" w:rsidP="00853774"/>
    <w:p w:rsidR="00853774" w:rsidRPr="00832607" w:rsidRDefault="00853774" w:rsidP="00853774">
      <w:pPr>
        <w:pStyle w:val="Heading4"/>
        <w:rPr>
          <w:rFonts w:cs="Calibri"/>
        </w:rPr>
      </w:pPr>
      <w:r w:rsidRPr="00832607">
        <w:rPr>
          <w:rFonts w:cs="Calibri"/>
        </w:rPr>
        <w:t>The response to the failure of politics is to improve it---the neg is solipsistic inward-turning that dooms the possibility of reforms</w:t>
      </w:r>
    </w:p>
    <w:p w:rsidR="00853774" w:rsidRPr="00832607" w:rsidRDefault="00853774" w:rsidP="00853774">
      <w:pPr>
        <w:pStyle w:val="card"/>
        <w:ind w:left="0"/>
        <w:rPr>
          <w:rFonts w:ascii="Calibri" w:hAnsi="Calibri"/>
        </w:rPr>
      </w:pPr>
      <w:r w:rsidRPr="00832607">
        <w:rPr>
          <w:rStyle w:val="StyleStyleBold12pt"/>
          <w:rFonts w:ascii="Calibri" w:eastAsia="Calibri" w:hAnsi="Calibri"/>
        </w:rPr>
        <w:t>Biskowski 95</w:t>
      </w:r>
      <w:r w:rsidRPr="00832607">
        <w:rPr>
          <w:rFonts w:ascii="Calibri" w:hAnsi="Calibri"/>
        </w:rPr>
        <w:t xml:space="preserve"> </w:t>
      </w:r>
      <w:r w:rsidRPr="00832607">
        <w:rPr>
          <w:rFonts w:ascii="Calibri" w:hAnsi="Calibri"/>
          <w:sz w:val="12"/>
          <w:szCs w:val="12"/>
        </w:rPr>
        <w:t>Lawrence J., “Politics versus Aesthetics: Arendt's Critiques of Nietzsche and Heidegger,” The Review of Politics, Vol. 57, No. 1, Winter, 1995</w:t>
      </w:r>
    </w:p>
    <w:p w:rsidR="00853774" w:rsidRPr="00B55D2F" w:rsidRDefault="00853774" w:rsidP="00853774">
      <w:pPr>
        <w:pStyle w:val="card"/>
        <w:ind w:left="0"/>
        <w:rPr>
          <w:rStyle w:val="StyleBoldUnderline"/>
          <w:rFonts w:ascii="Calibri" w:hAnsi="Calibri"/>
          <w:highlight w:val="green"/>
        </w:rPr>
      </w:pPr>
    </w:p>
    <w:p w:rsidR="00853774" w:rsidRDefault="00853774" w:rsidP="00853774">
      <w:pPr>
        <w:pStyle w:val="card"/>
        <w:ind w:left="0"/>
        <w:rPr>
          <w:rStyle w:val="Emphasis"/>
          <w:highlight w:val="green"/>
        </w:rPr>
      </w:pPr>
      <w:r w:rsidRPr="00B55D2F">
        <w:rPr>
          <w:rStyle w:val="StyleBoldUnderline"/>
          <w:rFonts w:ascii="Calibri" w:hAnsi="Calibri"/>
          <w:szCs w:val="22"/>
          <w:highlight w:val="green"/>
        </w:rPr>
        <w:t>One lesson Arendt gleaned</w:t>
      </w:r>
      <w:r w:rsidRPr="00DA3B35">
        <w:rPr>
          <w:rStyle w:val="StyleBoldUnderline"/>
          <w:rFonts w:ascii="Calibri" w:hAnsi="Calibri"/>
          <w:szCs w:val="22"/>
        </w:rPr>
        <w:t xml:space="preserve"> from the Nazi experience</w:t>
      </w:r>
      <w:r w:rsidRPr="00832607">
        <w:rPr>
          <w:rFonts w:ascii="Calibri" w:hAnsi="Calibri"/>
          <w:sz w:val="16"/>
        </w:rPr>
        <w:t xml:space="preserve"> and its aftermath </w:t>
      </w:r>
      <w:r w:rsidRPr="00B55D2F">
        <w:rPr>
          <w:rStyle w:val="StyleBoldUnderline"/>
          <w:rFonts w:ascii="Calibri" w:hAnsi="Calibri"/>
          <w:szCs w:val="22"/>
          <w:highlight w:val="green"/>
        </w:rPr>
        <w:t>was how easily</w:t>
      </w:r>
      <w:r w:rsidRPr="00DA3B35">
        <w:rPr>
          <w:rStyle w:val="StyleBoldUnderline"/>
          <w:rFonts w:ascii="Calibri" w:hAnsi="Calibri"/>
          <w:szCs w:val="22"/>
        </w:rPr>
        <w:t xml:space="preserve"> the </w:t>
      </w:r>
    </w:p>
    <w:p w:rsidR="00853774" w:rsidRDefault="00853774" w:rsidP="00853774">
      <w:pPr>
        <w:pStyle w:val="card"/>
        <w:ind w:left="0"/>
        <w:rPr>
          <w:rStyle w:val="Emphasis"/>
          <w:highlight w:val="green"/>
        </w:rPr>
      </w:pPr>
      <w:r>
        <w:rPr>
          <w:rStyle w:val="Emphasis"/>
          <w:highlight w:val="green"/>
        </w:rPr>
        <w:t>AND</w:t>
      </w:r>
    </w:p>
    <w:p w:rsidR="00853774" w:rsidRPr="00832607" w:rsidRDefault="00853774" w:rsidP="00853774">
      <w:pPr>
        <w:pStyle w:val="card"/>
        <w:ind w:left="0"/>
        <w:rPr>
          <w:rFonts w:ascii="Calibri" w:hAnsi="Calibri"/>
          <w:sz w:val="16"/>
        </w:rPr>
      </w:pPr>
      <w:r w:rsidRPr="00832607">
        <w:rPr>
          <w:rFonts w:ascii="Calibri" w:hAnsi="Calibri"/>
          <w:sz w:val="12"/>
          <w:szCs w:val="12"/>
        </w:rPr>
        <w:t>aestheticized politics radically adverse to morality and moral interpretation seems much less so.</w:t>
      </w:r>
    </w:p>
    <w:p w:rsidR="00853774" w:rsidRPr="0066204B" w:rsidRDefault="00853774" w:rsidP="00853774"/>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774" w:rsidRDefault="00853774" w:rsidP="005F5576">
      <w:r>
        <w:separator/>
      </w:r>
    </w:p>
  </w:endnote>
  <w:endnote w:type="continuationSeparator" w:id="0">
    <w:p w:rsidR="00853774" w:rsidRDefault="0085377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774" w:rsidRDefault="00853774" w:rsidP="005F5576">
      <w:r>
        <w:separator/>
      </w:r>
    </w:p>
  </w:footnote>
  <w:footnote w:type="continuationSeparator" w:id="0">
    <w:p w:rsidR="00853774" w:rsidRDefault="0085377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774"/>
    <w:rsid w:val="000022F2"/>
    <w:rsid w:val="0000459F"/>
    <w:rsid w:val="00004EB4"/>
    <w:rsid w:val="0002196C"/>
    <w:rsid w:val="00021F29"/>
    <w:rsid w:val="00027EED"/>
    <w:rsid w:val="0003041D"/>
    <w:rsid w:val="00033028"/>
    <w:rsid w:val="000360A7"/>
    <w:rsid w:val="00044DE7"/>
    <w:rsid w:val="00052A1D"/>
    <w:rsid w:val="00055E12"/>
    <w:rsid w:val="00064A59"/>
    <w:rsid w:val="0007162E"/>
    <w:rsid w:val="00073B9A"/>
    <w:rsid w:val="00090287"/>
    <w:rsid w:val="00090BA2"/>
    <w:rsid w:val="000978A3"/>
    <w:rsid w:val="00097D7E"/>
    <w:rsid w:val="000A1CA3"/>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9F7"/>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CC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006D"/>
    <w:rsid w:val="006014AB"/>
    <w:rsid w:val="00605F20"/>
    <w:rsid w:val="0061680A"/>
    <w:rsid w:val="00620E03"/>
    <w:rsid w:val="00623045"/>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2A95"/>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774"/>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1A3"/>
    <w:rsid w:val="00DF61C2"/>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chartTrackingRefBased/>
  <w15:docId w15:val="{8E6E948F-41AC-448C-8C4A-850555A2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5377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Heading 3 Char1 Char Char,Citation Char Char Char Char,Citation Char1 Char Char,Heading 3 Char Char1,Citation Char Char1,no,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1 Char Char, Ch,Heading 2 Char2 Char,Ch,No Spacing12,No Spacing1,No Spacing112,No Spacing1121,no read,No Spacing211,No Spacing2111,No Spacing4,No Spacing11111,No Spacing5,tag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Heading 3 Char1 Char Char Char,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Title Cha"/>
    <w:basedOn w:val="DefaultParagraphFont"/>
    <w:link w:val="CitationCharChar"/>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Heading 2 Char1 Char Char Char, Ch Char,Heading 2 Char2 Char Char,Ch Char,No Spacing12 Char,No Spacing1 Char,No Spacing112 Char,No Spacing1121 Char,tags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Cites and Cards Char1,Cites and Cards Char"/>
    <w:basedOn w:val="DefaultParagraphFont"/>
    <w:link w:val="Title"/>
    <w:uiPriority w:val="1"/>
    <w:qFormat/>
    <w:rsid w:val="00853774"/>
    <w:rPr>
      <w:b/>
      <w:bCs/>
      <w:u w:val="single"/>
    </w:rPr>
  </w:style>
  <w:style w:type="paragraph" w:styleId="Title">
    <w:name w:val="Title"/>
    <w:aliases w:val="UNDERLINE,Cites and Cards"/>
    <w:basedOn w:val="Normal"/>
    <w:link w:val="TitleChar"/>
    <w:uiPriority w:val="1"/>
    <w:qFormat/>
    <w:rsid w:val="00853774"/>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rsid w:val="00853774"/>
    <w:rPr>
      <w:rFonts w:asciiTheme="majorHAnsi" w:eastAsiaTheme="majorEastAsia" w:hAnsiTheme="majorHAnsi" w:cstheme="majorBidi"/>
      <w:spacing w:val="-10"/>
      <w:kern w:val="28"/>
      <w:sz w:val="56"/>
      <w:szCs w:val="56"/>
    </w:rPr>
  </w:style>
  <w:style w:type="character" w:customStyle="1" w:styleId="underline">
    <w:name w:val="underline"/>
    <w:link w:val="textbold"/>
    <w:qFormat/>
    <w:rsid w:val="00853774"/>
    <w:rPr>
      <w:u w:val="single"/>
    </w:rPr>
  </w:style>
  <w:style w:type="paragraph" w:customStyle="1" w:styleId="textbold">
    <w:name w:val="text bold"/>
    <w:basedOn w:val="Normal"/>
    <w:link w:val="underline"/>
    <w:rsid w:val="00853774"/>
    <w:pPr>
      <w:ind w:left="720"/>
      <w:jc w:val="both"/>
    </w:pPr>
    <w:rPr>
      <w:rFonts w:asciiTheme="minorHAnsi" w:hAnsiTheme="minorHAnsi" w:cstheme="minorBidi"/>
      <w:u w:val="single"/>
    </w:rPr>
  </w:style>
  <w:style w:type="paragraph" w:customStyle="1" w:styleId="tag">
    <w:name w:val="tag"/>
    <w:aliases w:val="No Spacing111111"/>
    <w:basedOn w:val="Normal"/>
    <w:next w:val="Normal"/>
    <w:link w:val="BlockTitle"/>
    <w:qFormat/>
    <w:rsid w:val="00853774"/>
    <w:rPr>
      <w:rFonts w:ascii="Times New Roman" w:eastAsia="Times New Roman" w:hAnsi="Times New Roman" w:cs="Times New Roman"/>
      <w:b/>
      <w:sz w:val="24"/>
      <w:szCs w:val="20"/>
    </w:rPr>
  </w:style>
  <w:style w:type="character" w:customStyle="1" w:styleId="BlockTitle">
    <w:name w:val="Block Title"/>
    <w:link w:val="tag"/>
    <w:rsid w:val="00853774"/>
    <w:rPr>
      <w:rFonts w:ascii="Times New Roman" w:eastAsia="Times New Roman" w:hAnsi="Times New Roman" w:cs="Times New Roman"/>
      <w:b/>
      <w:sz w:val="24"/>
      <w:szCs w:val="20"/>
    </w:rPr>
  </w:style>
  <w:style w:type="character" w:customStyle="1" w:styleId="Heading3Char1">
    <w:name w:val="Heading 3 Char1"/>
    <w:aliases w:val="Citation Char,Heading 3 Char Char Char Char Char Char Char,Heading 3 Char Char Char Char Char2,Underlined Text Char Char Char,Heading 3 Char Char Char Char Char Char1,citation Char Char1,citation Char Char Char,Heading 3 Char Char1 Char"/>
    <w:qFormat/>
    <w:locked/>
    <w:rsid w:val="00853774"/>
    <w:rPr>
      <w:rFonts w:ascii="Times New Roman" w:eastAsia="Times New Roman" w:hAnsi="Times New Roman" w:cs="Arial"/>
      <w:bCs/>
      <w:sz w:val="14"/>
      <w:szCs w:val="14"/>
    </w:rPr>
  </w:style>
  <w:style w:type="character" w:customStyle="1" w:styleId="apple-converted-space">
    <w:name w:val="apple-converted-space"/>
    <w:basedOn w:val="DefaultParagraphFont"/>
    <w:rsid w:val="00853774"/>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853774"/>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853774"/>
    <w:rPr>
      <w:rFonts w:ascii="Times New Roman" w:eastAsia="Times New Roman" w:hAnsi="Times New Roman" w:cs="Times New Roman"/>
      <w:sz w:val="24"/>
      <w:szCs w:val="24"/>
    </w:rPr>
  </w:style>
  <w:style w:type="paragraph" w:customStyle="1" w:styleId="card">
    <w:name w:val="card"/>
    <w:basedOn w:val="Normal"/>
    <w:next w:val="Normal"/>
    <w:link w:val="cardChar"/>
    <w:qFormat/>
    <w:rsid w:val="00853774"/>
    <w:pPr>
      <w:ind w:left="288" w:right="288"/>
    </w:pPr>
    <w:rPr>
      <w:rFonts w:ascii="Times New Roman" w:eastAsia="Times New Roman" w:hAnsi="Times New Roman" w:cs="Times New Roman"/>
      <w:sz w:val="20"/>
      <w:szCs w:val="20"/>
    </w:rPr>
  </w:style>
  <w:style w:type="character" w:customStyle="1" w:styleId="cardChar">
    <w:name w:val="card Char"/>
    <w:link w:val="card"/>
    <w:locked/>
    <w:rsid w:val="00853774"/>
    <w:rPr>
      <w:rFonts w:ascii="Times New Roman" w:eastAsia="Times New Roman" w:hAnsi="Times New Roman" w:cs="Times New Roman"/>
      <w:sz w:val="20"/>
      <w:szCs w:val="20"/>
    </w:rPr>
  </w:style>
  <w:style w:type="paragraph" w:customStyle="1" w:styleId="citenon-bold">
    <w:name w:val="cite non-bold"/>
    <w:basedOn w:val="Normal"/>
    <w:link w:val="citenon-boldChar"/>
    <w:rsid w:val="00853774"/>
    <w:rPr>
      <w:rFonts w:ascii="Garamond" w:eastAsia="Times New Roman" w:hAnsi="Garamond" w:cs="Times New Roman"/>
      <w:szCs w:val="20"/>
    </w:rPr>
  </w:style>
  <w:style w:type="character" w:customStyle="1" w:styleId="citenon-boldChar">
    <w:name w:val="cite non-bold Char"/>
    <w:link w:val="citenon-bold"/>
    <w:rsid w:val="00853774"/>
    <w:rPr>
      <w:rFonts w:ascii="Garamond" w:eastAsia="Times New Roman" w:hAnsi="Garamond" w:cs="Times New Roman"/>
      <w:szCs w:val="20"/>
    </w:rPr>
  </w:style>
  <w:style w:type="paragraph" w:customStyle="1" w:styleId="CitationCharChar">
    <w:name w:val="Citation Char Char"/>
    <w:basedOn w:val="Normal"/>
    <w:link w:val="StyleBoldUnderline"/>
    <w:uiPriority w:val="6"/>
    <w:rsid w:val="00853774"/>
    <w:pPr>
      <w:ind w:left="1440" w:right="1440"/>
    </w:pPr>
    <w:rPr>
      <w:rFonts w:asciiTheme="minorHAnsi" w:hAnsiTheme="minorHAnsi" w:cstheme="minorBidi"/>
      <w:b/>
      <w:bCs/>
      <w:u w:val="single"/>
    </w:rPr>
  </w:style>
  <w:style w:type="character" w:customStyle="1" w:styleId="Box">
    <w:name w:val="Box"/>
    <w:qFormat/>
    <w:rsid w:val="00853774"/>
    <w:rPr>
      <w:b/>
      <w:u w:val="single"/>
      <w:bdr w:val="single" w:sz="4" w:space="0" w:color="auto"/>
    </w:rPr>
  </w:style>
  <w:style w:type="paragraph" w:customStyle="1" w:styleId="cardtext">
    <w:name w:val="card text"/>
    <w:basedOn w:val="Normal"/>
    <w:link w:val="cardtextChar"/>
    <w:qFormat/>
    <w:rsid w:val="00853774"/>
    <w:pPr>
      <w:ind w:left="288" w:right="288"/>
    </w:pPr>
    <w:rPr>
      <w:rFonts w:eastAsia="Calibri"/>
    </w:rPr>
  </w:style>
  <w:style w:type="character" w:customStyle="1" w:styleId="cardtextChar">
    <w:name w:val="card text Char"/>
    <w:link w:val="cardtext"/>
    <w:rsid w:val="00853774"/>
    <w:rPr>
      <w:rFonts w:ascii="Calibri" w:eastAsia="Calibri" w:hAnsi="Calibri" w:cs="Calibri"/>
    </w:rPr>
  </w:style>
  <w:style w:type="character" w:customStyle="1" w:styleId="boldunderline">
    <w:name w:val="bold underline"/>
    <w:qFormat/>
    <w:rsid w:val="00853774"/>
    <w:rPr>
      <w:rFonts w:ascii="Calibri" w:hAnsi="Calibr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ournal.media-culture.org.au/index.php/mcjournal/inde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journal.media-culture.org.au/index.php/mcjournal/article/viewArticle/46/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emple.edu/isrst/Events/documents/MichaelMonahanUpdated.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eardocs.baylor.edu/xmlui/bitstream/handle/2104/5086/Jeff_Roberts_Masters.pdf?sequence=1" TargetMode="External"/><Relationship Id="rId5" Type="http://schemas.openxmlformats.org/officeDocument/2006/relationships/settings" Target="settings.xml"/><Relationship Id="rId15" Type="http://schemas.openxmlformats.org/officeDocument/2006/relationships/hyperlink" Target="http://dsq-sds.org/article/view/491/668%20//" TargetMode="External"/><Relationship Id="rId10" Type="http://schemas.openxmlformats.org/officeDocument/2006/relationships/hyperlink" Target="http://en.wikipedia.org/wiki/Center_for_Public_Administration_and_Policy" TargetMode="External"/><Relationship Id="rId4" Type="http://schemas.openxmlformats.org/officeDocument/2006/relationships/styles" Target="styles.xml"/><Relationship Id="rId9" Type="http://schemas.openxmlformats.org/officeDocument/2006/relationships/hyperlink" Target="http://en.wikipedia.org/wiki/Virginia_Polytechnic_Institute_and_State_University" TargetMode="External"/><Relationship Id="rId14" Type="http://schemas.openxmlformats.org/officeDocument/2006/relationships/hyperlink" Target="http://journal.media-culture.org.au/index.php/mcjournal/issue/view/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1402</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Viveth Karthikeyan</dc:creator>
  <cp:keywords/>
  <dc:description/>
  <cp:lastModifiedBy>Viveth Karthikeyan</cp:lastModifiedBy>
  <cp:revision>1</cp:revision>
  <dcterms:created xsi:type="dcterms:W3CDTF">2013-04-27T23:23:00Z</dcterms:created>
  <dcterms:modified xsi:type="dcterms:W3CDTF">2013-04-27T23:24:00Z</dcterms:modified>
</cp:coreProperties>
</file>