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887" w:rsidRDefault="00677887" w:rsidP="00677887">
      <w:pPr>
        <w:pStyle w:val="Hat"/>
        <w:framePr w:wrap="notBeside"/>
      </w:pPr>
      <w:r>
        <w:t>ST. Mark’s TS – 2AC AT Counterplans (Grapevine)</w:t>
      </w:r>
    </w:p>
    <w:p w:rsidR="00677887" w:rsidRDefault="00677887" w:rsidP="00677887">
      <w:pPr>
        <w:pStyle w:val="Heading2"/>
      </w:pPr>
      <w:r w:rsidRPr="00EB265A">
        <w:t>Shameless Plug</w:t>
      </w:r>
    </w:p>
    <w:p w:rsidR="00677887" w:rsidRPr="00D54004" w:rsidRDefault="00677887" w:rsidP="00677887">
      <w:pPr>
        <w:rPr>
          <w:sz w:val="12"/>
        </w:rPr>
      </w:pPr>
    </w:p>
    <w:p w:rsidR="00677887" w:rsidRPr="00D54004" w:rsidRDefault="00677887" w:rsidP="00677887">
      <w:pPr>
        <w:rPr>
          <w:b/>
        </w:rPr>
      </w:pPr>
      <w:r w:rsidRPr="00D54004">
        <w:rPr>
          <w:b/>
        </w:rPr>
        <w:t xml:space="preserve">This document was formatted with </w:t>
      </w:r>
      <w:proofErr w:type="spellStart"/>
      <w:r w:rsidRPr="00D54004">
        <w:rPr>
          <w:b/>
        </w:rPr>
        <w:t>DigiDebate</w:t>
      </w:r>
      <w:proofErr w:type="spellEnd"/>
      <w:r w:rsidRPr="00D54004">
        <w:rPr>
          <w:b/>
        </w:rPr>
        <w:t xml:space="preserve"> 1.0 Beta, coming soon. Go to </w:t>
      </w:r>
      <w:r w:rsidRPr="00D54004">
        <w:rPr>
          <w:b/>
          <w:color w:val="000000"/>
        </w:rPr>
        <w:t>http://www.digidebate.com</w:t>
      </w:r>
      <w:r w:rsidRPr="00D54004">
        <w:rPr>
          <w:b/>
        </w:rPr>
        <w:t xml:space="preserve"> for more details.</w:t>
      </w:r>
    </w:p>
    <w:p w:rsidR="00880440" w:rsidRPr="00D54004" w:rsidRDefault="00880440" w:rsidP="00EC16FA">
      <w:pPr>
        <w:rPr>
          <w:sz w:val="12"/>
        </w:rPr>
      </w:pPr>
    </w:p>
    <w:p w:rsidR="00281B61" w:rsidRDefault="00281B61" w:rsidP="00281B61">
      <w:pPr>
        <w:pStyle w:val="Heading2"/>
      </w:pPr>
      <w:r w:rsidRPr="00281B61">
        <w:t>2AC CP Consult – Generic</w:t>
      </w:r>
    </w:p>
    <w:p w:rsidR="00281B61" w:rsidRPr="009C4D3D" w:rsidRDefault="00281B61" w:rsidP="00281B61">
      <w:pPr>
        <w:rPr>
          <w:sz w:val="12"/>
        </w:rPr>
      </w:pPr>
    </w:p>
    <w:p w:rsidR="00281B61" w:rsidRPr="009C4D3D" w:rsidRDefault="00281B61" w:rsidP="00281B61">
      <w:pPr>
        <w:rPr>
          <w:b/>
          <w:lang w:eastAsia="zh-CN"/>
        </w:rPr>
      </w:pPr>
      <w:r w:rsidRPr="009C4D3D">
        <w:rPr>
          <w:b/>
          <w:iCs/>
        </w:rPr>
        <w:t xml:space="preserve">Clarifying the plan mirrors real world </w:t>
      </w:r>
      <w:r w:rsidRPr="009C4D3D">
        <w:rPr>
          <w:b/>
          <w:lang w:eastAsia="zh-CN"/>
        </w:rPr>
        <w:t>policymaking—this is best</w:t>
      </w:r>
    </w:p>
    <w:p w:rsidR="00281B61" w:rsidRPr="009C4D3D" w:rsidRDefault="00281B61" w:rsidP="00281B61">
      <w:pPr>
        <w:rPr>
          <w:sz w:val="12"/>
          <w:szCs w:val="12"/>
          <w:lang w:val="en-GB"/>
        </w:rPr>
      </w:pPr>
      <w:r w:rsidRPr="009C4D3D">
        <w:rPr>
          <w:b/>
          <w:iCs/>
        </w:rPr>
        <w:t>UN 3</w:t>
      </w:r>
      <w:r w:rsidRPr="009C4D3D">
        <w:rPr>
          <w:sz w:val="12"/>
          <w:lang w:val="en-GB"/>
        </w:rPr>
        <w:t xml:space="preserve"> – United Nations Youth and Student Association (Resolution Writing, http://afa.at/vimun/resolution1.doc, AG)</w:t>
      </w:r>
    </w:p>
    <w:p w:rsidR="00281B61" w:rsidRPr="009C4D3D" w:rsidRDefault="00281B61" w:rsidP="00281B61">
      <w:pPr>
        <w:tabs>
          <w:tab w:val="left" w:pos="360"/>
        </w:tabs>
        <w:rPr>
          <w:sz w:val="12"/>
          <w:szCs w:val="12"/>
          <w:lang w:val="en-GB"/>
        </w:rPr>
      </w:pPr>
    </w:p>
    <w:p w:rsidR="00281B61" w:rsidRPr="009C4D3D" w:rsidRDefault="00281B61" w:rsidP="00281B61">
      <w:pPr>
        <w:rPr>
          <w:sz w:val="12"/>
        </w:rPr>
      </w:pPr>
      <w:r w:rsidRPr="009C4D3D">
        <w:rPr>
          <w:sz w:val="12"/>
        </w:rPr>
        <w:t xml:space="preserve">The precise wording of the resolution must be examined carefully when you are debating how to vote. The references in the preamble should be checked. </w:t>
      </w:r>
      <w:proofErr w:type="gramStart"/>
      <w:r w:rsidRPr="009C4D3D">
        <w:rPr>
          <w:sz w:val="12"/>
        </w:rPr>
        <w:t>If your country opposed a certain UN resolution or opposes items mentioned in the Preamble, than you should voice your opposition to the working paper.</w:t>
      </w:r>
      <w:proofErr w:type="gramEnd"/>
      <w:r w:rsidRPr="009C4D3D">
        <w:rPr>
          <w:sz w:val="12"/>
        </w:rPr>
        <w:t xml:space="preserve"> If your country´s policies support the general goal of the resolution, but you have reservations about the wording of certain sections in the resolution, you should attempt to seek changes in the language to make the resolution more acceptable. Rule 6 Amendments </w:t>
      </w:r>
      <w:proofErr w:type="gramStart"/>
      <w:r w:rsidRPr="009C4D3D">
        <w:rPr>
          <w:sz w:val="12"/>
        </w:rPr>
        <w:t>An</w:t>
      </w:r>
      <w:proofErr w:type="gramEnd"/>
      <w:r w:rsidRPr="009C4D3D">
        <w:rPr>
          <w:sz w:val="12"/>
        </w:rPr>
        <w:t xml:space="preserve"> amendment is a clarification or a change in a resolution that incorporates additional interests or concerns after the resolution has been formally submitted to a committee. Basically, an amendment is a proposal that does no more than add to, delete (strike out) or substitute from part or a phrase of the current draft resolution. </w:t>
      </w:r>
    </w:p>
    <w:p w:rsidR="00281B61" w:rsidRPr="009C4D3D" w:rsidRDefault="00281B61" w:rsidP="00281B61">
      <w:pPr>
        <w:rPr>
          <w:sz w:val="12"/>
        </w:rPr>
      </w:pPr>
    </w:p>
    <w:p w:rsidR="00281B61" w:rsidRPr="009C4D3D" w:rsidRDefault="00281B61" w:rsidP="00281B61">
      <w:pPr>
        <w:rPr>
          <w:b/>
        </w:rPr>
      </w:pPr>
      <w:r w:rsidRPr="009C4D3D">
        <w:rPr>
          <w:b/>
        </w:rPr>
        <w:t>Resolved isn’t in the plan – military definition</w:t>
      </w:r>
    </w:p>
    <w:p w:rsidR="00281B61" w:rsidRPr="009C4D3D" w:rsidRDefault="00281B61" w:rsidP="00281B61">
      <w:pPr>
        <w:rPr>
          <w:sz w:val="12"/>
          <w:szCs w:val="10"/>
        </w:rPr>
      </w:pPr>
      <w:r w:rsidRPr="009C4D3D">
        <w:rPr>
          <w:b/>
        </w:rPr>
        <w:t>DOD 6</w:t>
      </w:r>
      <w:r w:rsidRPr="009C4D3D">
        <w:rPr>
          <w:sz w:val="12"/>
        </w:rPr>
        <w:t xml:space="preserve"> – US Department of Defense </w:t>
      </w:r>
      <w:r w:rsidRPr="009C4D3D">
        <w:rPr>
          <w:sz w:val="12"/>
          <w:szCs w:val="10"/>
        </w:rPr>
        <w:t xml:space="preserve">(6/28, The Colon, http://64.233.167.104/search?q=cache:CRkgc8Pi1TsJ:www.dod.state.hi.us/HIARNG/298rti/298rti/l230is_app_d.pdf, AG) </w:t>
      </w:r>
    </w:p>
    <w:p w:rsidR="00281B61" w:rsidRPr="009C4D3D" w:rsidRDefault="00281B61" w:rsidP="00281B61">
      <w:pPr>
        <w:rPr>
          <w:sz w:val="12"/>
          <w:szCs w:val="12"/>
        </w:rPr>
      </w:pPr>
    </w:p>
    <w:p w:rsidR="00281B61" w:rsidRPr="009C4D3D" w:rsidRDefault="00281B61" w:rsidP="00281B61">
      <w:pPr>
        <w:rPr>
          <w:sz w:val="12"/>
        </w:rPr>
      </w:pPr>
      <w:r w:rsidRPr="009C4D3D">
        <w:rPr>
          <w:sz w:val="12"/>
        </w:rPr>
        <w:t xml:space="preserve">The colon introduces the following: [continues] g. A formal resolution, after the word "resolved:" Resolved: (colon) </w:t>
      </w:r>
      <w:proofErr w:type="gramStart"/>
      <w:r w:rsidRPr="009C4D3D">
        <w:rPr>
          <w:sz w:val="12"/>
        </w:rPr>
        <w:t>That</w:t>
      </w:r>
      <w:proofErr w:type="gramEnd"/>
      <w:r w:rsidRPr="009C4D3D">
        <w:rPr>
          <w:sz w:val="12"/>
        </w:rPr>
        <w:t xml:space="preserve"> this co</w:t>
      </w:r>
      <w:bookmarkStart w:id="0" w:name="_GoBack"/>
      <w:r w:rsidRPr="009C4D3D">
        <w:rPr>
          <w:sz w:val="12"/>
        </w:rPr>
        <w:t>u</w:t>
      </w:r>
      <w:bookmarkEnd w:id="0"/>
      <w:r w:rsidRPr="009C4D3D">
        <w:rPr>
          <w:sz w:val="12"/>
        </w:rPr>
        <w:t>ncil petition the mayor.</w:t>
      </w:r>
    </w:p>
    <w:p w:rsidR="00281B61" w:rsidRPr="009C4D3D" w:rsidRDefault="00281B61" w:rsidP="00281B61">
      <w:pPr>
        <w:rPr>
          <w:sz w:val="12"/>
        </w:rPr>
      </w:pPr>
    </w:p>
    <w:p w:rsidR="00281B61" w:rsidRPr="009C4D3D" w:rsidRDefault="00281B61" w:rsidP="00281B61">
      <w:pPr>
        <w:rPr>
          <w:b/>
        </w:rPr>
      </w:pPr>
      <w:r w:rsidRPr="009C4D3D">
        <w:rPr>
          <w:b/>
        </w:rPr>
        <w:t>Should isn’t mandatory</w:t>
      </w:r>
    </w:p>
    <w:p w:rsidR="00281B61" w:rsidRPr="009C4D3D" w:rsidRDefault="00281B61" w:rsidP="00281B61">
      <w:pPr>
        <w:rPr>
          <w:sz w:val="12"/>
        </w:rPr>
      </w:pPr>
      <w:r w:rsidRPr="009C4D3D">
        <w:rPr>
          <w:b/>
        </w:rPr>
        <w:t>Taylor and Howard 5</w:t>
      </w:r>
      <w:r w:rsidRPr="009C4D3D">
        <w:rPr>
          <w:sz w:val="12"/>
        </w:rPr>
        <w:t xml:space="preserve"> - Resources for the Future, Partnership to Cut Hunger and Poverty in Africa (Michael and Julie, “Investing in Africa's future: U.S. Agricultural development assistance for Sub-Saharan Africa”, 9/12, http://www.sarpn.org.za/documents/d0001784/5-US-agric_Sept2005_Chap2.pdf)</w:t>
      </w:r>
    </w:p>
    <w:p w:rsidR="00281B61" w:rsidRPr="009C4D3D" w:rsidRDefault="00281B61" w:rsidP="00281B61">
      <w:pPr>
        <w:rPr>
          <w:sz w:val="12"/>
        </w:rPr>
      </w:pPr>
    </w:p>
    <w:p w:rsidR="00281B61" w:rsidRPr="009C4D3D" w:rsidRDefault="00281B61" w:rsidP="00281B61">
      <w:pPr>
        <w:rPr>
          <w:sz w:val="12"/>
          <w:szCs w:val="20"/>
        </w:rPr>
      </w:pPr>
      <w:r w:rsidRPr="009C4D3D">
        <w:rPr>
          <w:sz w:val="12"/>
        </w:rPr>
        <w:t xml:space="preserve">Other legislated DA earmarks in the FY2005 appropriations bill are smaller and </w:t>
      </w:r>
      <w:proofErr w:type="gramStart"/>
      <w:r w:rsidRPr="009C4D3D">
        <w:rPr>
          <w:sz w:val="12"/>
        </w:rPr>
        <w:t>more  targeted</w:t>
      </w:r>
      <w:proofErr w:type="gramEnd"/>
      <w:r w:rsidRPr="009C4D3D">
        <w:rPr>
          <w:sz w:val="12"/>
        </w:rPr>
        <w:t xml:space="preserve">: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w:t>
      </w:r>
      <w:r w:rsidRPr="009C4D3D">
        <w:rPr>
          <w:i/>
          <w:sz w:val="12"/>
        </w:rPr>
        <w:t xml:space="preserve">shall </w:t>
      </w:r>
      <w:r w:rsidRPr="009C4D3D">
        <w:rPr>
          <w:sz w:val="12"/>
        </w:rPr>
        <w:t xml:space="preserve">in connection </w:t>
      </w:r>
      <w:proofErr w:type="gramStart"/>
      <w:r w:rsidRPr="009C4D3D">
        <w:rPr>
          <w:sz w:val="12"/>
        </w:rPr>
        <w:t>with  only</w:t>
      </w:r>
      <w:proofErr w:type="gramEnd"/>
      <w:r w:rsidRPr="009C4D3D">
        <w:rPr>
          <w:sz w:val="12"/>
        </w:rPr>
        <w:t xml:space="preserve"> two of these eight earmarks; the others say that USAID </w:t>
      </w:r>
      <w:r w:rsidRPr="009C4D3D">
        <w:rPr>
          <w:i/>
          <w:sz w:val="12"/>
        </w:rPr>
        <w:t>should</w:t>
      </w:r>
      <w:r w:rsidRPr="009C4D3D">
        <w:rPr>
          <w:sz w:val="12"/>
        </w:rPr>
        <w:t xml:space="preserve"> make the prescribed amount  available. The difference between </w:t>
      </w:r>
      <w:r w:rsidRPr="009C4D3D">
        <w:rPr>
          <w:i/>
          <w:sz w:val="12"/>
        </w:rPr>
        <w:t xml:space="preserve">shall </w:t>
      </w:r>
      <w:r w:rsidRPr="009C4D3D">
        <w:rPr>
          <w:sz w:val="12"/>
        </w:rPr>
        <w:t xml:space="preserve">and </w:t>
      </w:r>
      <w:r w:rsidRPr="009C4D3D">
        <w:rPr>
          <w:i/>
          <w:sz w:val="12"/>
        </w:rPr>
        <w:t xml:space="preserve">should </w:t>
      </w:r>
      <w:r w:rsidRPr="009C4D3D">
        <w:rPr>
          <w:sz w:val="12"/>
          <w:szCs w:val="20"/>
        </w:rPr>
        <w:t xml:space="preserve">may have legal significance—one is clearly  mandatory while the other is a strong admonition—but it makes little practical difference in  USAID’s need to comply with the congressional directive to the best of its ability. </w:t>
      </w:r>
    </w:p>
    <w:p w:rsidR="00281B61" w:rsidRPr="00281B61" w:rsidRDefault="00281B61" w:rsidP="00281B61"/>
    <w:p w:rsidR="00281B61" w:rsidRDefault="00281B61" w:rsidP="00281B61">
      <w:pPr>
        <w:pStyle w:val="Heading2"/>
      </w:pPr>
      <w:r w:rsidRPr="00281B61">
        <w:t>2AC CP Consult – Russia</w:t>
      </w:r>
    </w:p>
    <w:p w:rsidR="00281B61" w:rsidRPr="004A29E3" w:rsidRDefault="00281B61" w:rsidP="00281B61">
      <w:pPr>
        <w:rPr>
          <w:sz w:val="12"/>
        </w:rPr>
      </w:pPr>
    </w:p>
    <w:p w:rsidR="009C4D3D" w:rsidRPr="004A29E3" w:rsidRDefault="009C4D3D" w:rsidP="009C4D3D">
      <w:pPr>
        <w:rPr>
          <w:b/>
          <w:lang w:eastAsia="x-none"/>
        </w:rPr>
      </w:pPr>
      <w:r w:rsidRPr="004A29E3">
        <w:rPr>
          <w:b/>
          <w:lang w:eastAsia="x-none"/>
        </w:rPr>
        <w:t xml:space="preserve">Alt cause—START </w:t>
      </w:r>
    </w:p>
    <w:p w:rsidR="009C4D3D" w:rsidRPr="004A29E3" w:rsidRDefault="009C4D3D" w:rsidP="009C4D3D">
      <w:pPr>
        <w:rPr>
          <w:sz w:val="12"/>
          <w:lang w:eastAsia="x-none"/>
        </w:rPr>
      </w:pPr>
      <w:r w:rsidRPr="004A29E3">
        <w:rPr>
          <w:b/>
          <w:lang w:eastAsia="x-none"/>
        </w:rPr>
        <w:t>Lugar 8</w:t>
      </w:r>
      <w:r w:rsidRPr="004A29E3">
        <w:rPr>
          <w:sz w:val="12"/>
          <w:lang w:eastAsia="x-none"/>
        </w:rPr>
        <w:t xml:space="preserve"> (Richard, Washington Times, 7/18)</w:t>
      </w:r>
    </w:p>
    <w:p w:rsidR="009C4D3D" w:rsidRPr="004A29E3" w:rsidRDefault="009C4D3D" w:rsidP="009C4D3D">
      <w:pPr>
        <w:rPr>
          <w:sz w:val="12"/>
          <w:lang w:eastAsia="x-none"/>
        </w:rPr>
      </w:pPr>
    </w:p>
    <w:p w:rsidR="009C4D3D" w:rsidRPr="004A29E3" w:rsidRDefault="009C4D3D" w:rsidP="009C4D3D">
      <w:pPr>
        <w:rPr>
          <w:sz w:val="12"/>
        </w:rPr>
      </w:pPr>
      <w:r w:rsidRPr="004A29E3">
        <w:rPr>
          <w:sz w:val="12"/>
        </w:rPr>
        <w:t>By contrast, administration officials testified to the importance of START during Senate consideration of the Moscow Treaty in 2003. This is not a mere technical issue - the foundation of the U.S.-Russian strategic relationship is about to expire and with it, the key basis for trust between the two sides.</w:t>
      </w:r>
    </w:p>
    <w:p w:rsidR="009C4D3D" w:rsidRPr="004A29E3" w:rsidRDefault="009C4D3D" w:rsidP="009C4D3D">
      <w:pPr>
        <w:rPr>
          <w:b/>
          <w:lang w:eastAsia="x-none"/>
        </w:rPr>
      </w:pPr>
    </w:p>
    <w:p w:rsidR="009C4D3D" w:rsidRPr="004A29E3" w:rsidRDefault="004A29E3" w:rsidP="009C4D3D">
      <w:pPr>
        <w:rPr>
          <w:b/>
          <w:lang w:eastAsia="x-none"/>
        </w:rPr>
      </w:pPr>
      <w:r w:rsidRPr="004A29E3">
        <w:rPr>
          <w:b/>
          <w:lang w:eastAsia="x-none"/>
        </w:rPr>
        <w:t>Consultation on K</w:t>
      </w:r>
      <w:r w:rsidR="009C4D3D" w:rsidRPr="004A29E3">
        <w:rPr>
          <w:b/>
          <w:lang w:eastAsia="x-none"/>
        </w:rPr>
        <w:t>orea solves</w:t>
      </w:r>
    </w:p>
    <w:p w:rsidR="009C4D3D" w:rsidRPr="004A29E3" w:rsidRDefault="009C4D3D" w:rsidP="009C4D3D">
      <w:pPr>
        <w:rPr>
          <w:rStyle w:val="Underline"/>
          <w:sz w:val="12"/>
          <w:u w:val="none"/>
        </w:rPr>
      </w:pPr>
      <w:proofErr w:type="spellStart"/>
      <w:r w:rsidRPr="004A29E3">
        <w:rPr>
          <w:rStyle w:val="Underline"/>
          <w:b/>
          <w:u w:val="none"/>
        </w:rPr>
        <w:t>Syneder</w:t>
      </w:r>
      <w:proofErr w:type="spellEnd"/>
      <w:r w:rsidRPr="004A29E3">
        <w:rPr>
          <w:rStyle w:val="Underline"/>
          <w:b/>
          <w:u w:val="none"/>
        </w:rPr>
        <w:t xml:space="preserve"> et al 10</w:t>
      </w:r>
      <w:r w:rsidRPr="004A29E3">
        <w:rPr>
          <w:rStyle w:val="Underline"/>
          <w:sz w:val="12"/>
          <w:u w:val="none"/>
        </w:rPr>
        <w:t xml:space="preserve"> (Council of Foreign Relations Task Force, “U.S. Policy </w:t>
      </w:r>
      <w:proofErr w:type="gramStart"/>
      <w:r w:rsidRPr="004A29E3">
        <w:rPr>
          <w:rStyle w:val="Underline"/>
          <w:sz w:val="12"/>
          <w:u w:val="none"/>
        </w:rPr>
        <w:t>Toward</w:t>
      </w:r>
      <w:proofErr w:type="gramEnd"/>
      <w:r w:rsidRPr="004A29E3">
        <w:rPr>
          <w:rStyle w:val="Underline"/>
          <w:sz w:val="12"/>
          <w:u w:val="none"/>
        </w:rPr>
        <w:t xml:space="preserve"> the Korean Peninsula”, Independent Task Force Report No. 64, </w:t>
      </w:r>
      <w:proofErr w:type="spellStart"/>
      <w:r w:rsidRPr="004A29E3">
        <w:rPr>
          <w:rStyle w:val="Underline"/>
          <w:sz w:val="12"/>
          <w:u w:val="none"/>
        </w:rPr>
        <w:t>ZBurdette</w:t>
      </w:r>
      <w:proofErr w:type="spellEnd"/>
      <w:r w:rsidRPr="004A29E3">
        <w:rPr>
          <w:rStyle w:val="Underline"/>
          <w:sz w:val="12"/>
          <w:u w:val="none"/>
        </w:rPr>
        <w:t>)</w:t>
      </w:r>
    </w:p>
    <w:p w:rsidR="009C4D3D" w:rsidRPr="004A29E3" w:rsidRDefault="009C4D3D" w:rsidP="009C4D3D">
      <w:pPr>
        <w:rPr>
          <w:rStyle w:val="Underline"/>
        </w:rPr>
      </w:pPr>
    </w:p>
    <w:p w:rsidR="009C4D3D" w:rsidRPr="004A29E3" w:rsidRDefault="009C4D3D" w:rsidP="004A29E3">
      <w:pPr>
        <w:rPr>
          <w:sz w:val="12"/>
        </w:rPr>
      </w:pPr>
      <w:r w:rsidRPr="004A29E3">
        <w:rPr>
          <w:sz w:val="12"/>
        </w:rPr>
        <w:t xml:space="preserve">Despite accepting the six-party framework established by the George W. Bush administration as the main vehicle for pursuing negotiations, the </w:t>
      </w:r>
      <w:r w:rsidRPr="004A29E3">
        <w:rPr>
          <w:rStyle w:val="Underline"/>
          <w:sz w:val="12"/>
          <w:u w:val="none"/>
        </w:rPr>
        <w:t xml:space="preserve">Obama </w:t>
      </w:r>
      <w:r w:rsidRPr="004A29E3">
        <w:rPr>
          <w:sz w:val="12"/>
        </w:rPr>
        <w:t xml:space="preserve">administration </w:t>
      </w:r>
      <w:r w:rsidRPr="004A29E3">
        <w:rPr>
          <w:rStyle w:val="Underline"/>
          <w:sz w:val="12"/>
          <w:u w:val="none"/>
        </w:rPr>
        <w:t>has signaled a shift from past policy by emphasizing reassurance of South Korean and Japanese allies. This is partly a response to the perception</w:t>
      </w:r>
      <w:r w:rsidRPr="004A29E3">
        <w:rPr>
          <w:sz w:val="12"/>
        </w:rPr>
        <w:t xml:space="preserve"> in the region that the George W. </w:t>
      </w:r>
      <w:r w:rsidRPr="004A29E3">
        <w:rPr>
          <w:rStyle w:val="Underline"/>
          <w:sz w:val="12"/>
          <w:u w:val="none"/>
        </w:rPr>
        <w:t>Bush administration leaned too heavily on bilateral negotiations</w:t>
      </w:r>
      <w:r w:rsidRPr="004A29E3">
        <w:rPr>
          <w:sz w:val="12"/>
        </w:rPr>
        <w:t xml:space="preserve"> with North Korea </w:t>
      </w:r>
      <w:r w:rsidRPr="004A29E3">
        <w:rPr>
          <w:rStyle w:val="Underline"/>
          <w:sz w:val="12"/>
          <w:u w:val="none"/>
        </w:rPr>
        <w:t>at the expense of alliance consultation.</w:t>
      </w:r>
      <w:r w:rsidRPr="004A29E3">
        <w:rPr>
          <w:sz w:val="12"/>
        </w:rPr>
        <w:t xml:space="preserve"> Special </w:t>
      </w:r>
      <w:r w:rsidRPr="004A29E3">
        <w:rPr>
          <w:rStyle w:val="Underline"/>
          <w:sz w:val="12"/>
          <w:u w:val="none"/>
        </w:rPr>
        <w:t xml:space="preserve">Representative Bosworth has engaged in </w:t>
      </w:r>
      <w:r w:rsidRPr="004A29E3">
        <w:rPr>
          <w:sz w:val="12"/>
        </w:rPr>
        <w:t xml:space="preserve">frequent </w:t>
      </w:r>
      <w:r w:rsidRPr="004A29E3">
        <w:rPr>
          <w:rStyle w:val="Underline"/>
          <w:sz w:val="12"/>
          <w:u w:val="none"/>
        </w:rPr>
        <w:t>policy consultations with</w:t>
      </w:r>
      <w:r w:rsidRPr="004A29E3">
        <w:rPr>
          <w:sz w:val="12"/>
        </w:rPr>
        <w:t xml:space="preserve"> </w:t>
      </w:r>
      <w:r w:rsidRPr="004A29E3">
        <w:rPr>
          <w:rStyle w:val="Underline"/>
          <w:sz w:val="12"/>
          <w:u w:val="none"/>
        </w:rPr>
        <w:t>North Korea’s neighbors, including China and Russia</w:t>
      </w:r>
      <w:r w:rsidRPr="004A29E3">
        <w:rPr>
          <w:sz w:val="12"/>
        </w:rPr>
        <w:t>, to promote regional cohesion in response to North Korea’s nuclear pursuits. When North Korea initiated a “charm offensive” in the latter part of ŒŸŸ‹ by renewing diplomatic outreach to the United States and South Korea, the Obama administration responded by sending Bosworth to Pyongyang in December ŒŸŸ‹ to convey the message that North Korea should return to the denuclearization path by coming back to the Six Party Talks.</w:t>
      </w:r>
    </w:p>
    <w:p w:rsidR="009C4D3D" w:rsidRPr="004A29E3" w:rsidRDefault="009C4D3D" w:rsidP="00281B61">
      <w:pPr>
        <w:rPr>
          <w:sz w:val="12"/>
        </w:rPr>
      </w:pPr>
    </w:p>
    <w:p w:rsidR="00D54004" w:rsidRDefault="00D54004" w:rsidP="00677887">
      <w:pPr>
        <w:pStyle w:val="Heading2"/>
      </w:pPr>
      <w:r>
        <w:t>2AC CP Hardening</w:t>
      </w:r>
    </w:p>
    <w:p w:rsidR="00D54004" w:rsidRPr="00D54004" w:rsidRDefault="00D54004" w:rsidP="00D54004">
      <w:pPr>
        <w:rPr>
          <w:sz w:val="12"/>
        </w:rPr>
      </w:pPr>
    </w:p>
    <w:p w:rsidR="00D54004" w:rsidRPr="00D54004" w:rsidRDefault="00D54004" w:rsidP="00D54004">
      <w:pPr>
        <w:rPr>
          <w:b/>
        </w:rPr>
      </w:pPr>
      <w:r w:rsidRPr="00D54004">
        <w:rPr>
          <w:b/>
        </w:rPr>
        <w:t xml:space="preserve">Near space is the </w:t>
      </w:r>
      <w:r w:rsidRPr="004A29E3">
        <w:rPr>
          <w:b/>
        </w:rPr>
        <w:t>only way</w:t>
      </w:r>
      <w:r w:rsidRPr="00D54004">
        <w:rPr>
          <w:b/>
        </w:rPr>
        <w:t xml:space="preserve"> to truly provide </w:t>
      </w:r>
      <w:r w:rsidRPr="00D54004">
        <w:rPr>
          <w:b/>
        </w:rPr>
        <w:t>hardening</w:t>
      </w:r>
    </w:p>
    <w:p w:rsidR="00D54004" w:rsidRPr="00D54004" w:rsidRDefault="00D54004" w:rsidP="00D54004">
      <w:pPr>
        <w:rPr>
          <w:sz w:val="12"/>
        </w:rPr>
      </w:pPr>
      <w:proofErr w:type="spellStart"/>
      <w:r w:rsidRPr="00D54004">
        <w:rPr>
          <w:b/>
        </w:rPr>
        <w:t>Tomme</w:t>
      </w:r>
      <w:proofErr w:type="spellEnd"/>
      <w:r w:rsidRPr="00D54004">
        <w:rPr>
          <w:b/>
        </w:rPr>
        <w:t xml:space="preserve">, US </w:t>
      </w:r>
      <w:proofErr w:type="spellStart"/>
      <w:r w:rsidRPr="00D54004">
        <w:rPr>
          <w:b/>
        </w:rPr>
        <w:t>Airforce</w:t>
      </w:r>
      <w:proofErr w:type="spellEnd"/>
      <w:r w:rsidRPr="00D54004">
        <w:rPr>
          <w:b/>
        </w:rPr>
        <w:t xml:space="preserve"> Lieutenant Colonel, 5</w:t>
      </w:r>
      <w:r w:rsidRPr="00D54004">
        <w:rPr>
          <w:sz w:val="12"/>
        </w:rPr>
        <w:t xml:space="preserve"> (Ed, PhD in plasma physics, “CADRE Quick-Look”, </w:t>
      </w:r>
      <w:r w:rsidRPr="00D54004">
        <w:rPr>
          <w:color w:val="000000"/>
          <w:sz w:val="12"/>
        </w:rPr>
        <w:t>http://www.au.af.mil/au/awc/awcgate/cadre/ari_ql2004-25.pdf</w:t>
      </w:r>
      <w:r w:rsidRPr="00D54004">
        <w:rPr>
          <w:sz w:val="12"/>
        </w:rPr>
        <w:t xml:space="preserve">, </w:t>
      </w:r>
      <w:proofErr w:type="spellStart"/>
      <w:r w:rsidRPr="00D54004">
        <w:rPr>
          <w:sz w:val="12"/>
        </w:rPr>
        <w:t>mrs</w:t>
      </w:r>
      <w:proofErr w:type="spellEnd"/>
      <w:r w:rsidRPr="00D54004">
        <w:rPr>
          <w:sz w:val="12"/>
        </w:rPr>
        <w:t>)</w:t>
      </w:r>
    </w:p>
    <w:p w:rsidR="00D54004" w:rsidRPr="00D54004" w:rsidRDefault="00D54004" w:rsidP="00D54004">
      <w:pPr>
        <w:rPr>
          <w:sz w:val="12"/>
        </w:rPr>
      </w:pPr>
    </w:p>
    <w:p w:rsidR="00D54004" w:rsidRPr="00D54004" w:rsidRDefault="00D54004" w:rsidP="00D54004">
      <w:pPr>
        <w:rPr>
          <w:sz w:val="12"/>
        </w:rPr>
      </w:pPr>
      <w:r w:rsidRPr="00D54004">
        <w:rPr>
          <w:sz w:val="12"/>
        </w:rPr>
        <w:t xml:space="preserve">Satellite assets are also notoriously unresponsive to rapidly changing operational conditions. While minor changes in orbits are possible and are routinely accomplished, major changes are either impossible to do or can be done only at the cost of substantially reducing the life of the asset. Satellite launch responsiveness is similarly constrained. Currently it takes months for an existing satellite to be mated to its launch vehicle and moved to the pad for launch. Efforts to employ so-called tactical satellites with significantly reduced costs, design schedules, and launch times, while laudable, seem rather fantastic in the near term. Satellites are also generally unmaintainable; once they fail they will never be repaired. The technology that is frozen into their designs years to decades before their end of service life cannot be changed. Satellites do, however, have a freedom of </w:t>
      </w:r>
      <w:proofErr w:type="spellStart"/>
      <w:r w:rsidRPr="00D54004">
        <w:rPr>
          <w:sz w:val="12"/>
        </w:rPr>
        <w:t>overflight</w:t>
      </w:r>
      <w:proofErr w:type="spellEnd"/>
      <w:r w:rsidRPr="00D54004">
        <w:rPr>
          <w:sz w:val="12"/>
        </w:rPr>
        <w:t xml:space="preserve"> that near-space platforms likely would not enjoy. </w:t>
      </w:r>
    </w:p>
    <w:p w:rsidR="00D54004" w:rsidRPr="00D54004" w:rsidRDefault="00D54004" w:rsidP="00D54004">
      <w:pPr>
        <w:rPr>
          <w:sz w:val="12"/>
        </w:rPr>
      </w:pPr>
      <w:proofErr w:type="gramStart"/>
      <w:r w:rsidRPr="00D54004">
        <w:rPr>
          <w:sz w:val="12"/>
        </w:rPr>
        <w:t>Solution/Possible Courses of Action.</w:t>
      </w:r>
      <w:proofErr w:type="gramEnd"/>
      <w:r w:rsidRPr="00D54004">
        <w:rPr>
          <w:sz w:val="12"/>
        </w:rPr>
        <w:t xml:space="preserve"> Near-space assets, on the other hand, seem ideally suited to satisfy the requirements of operational and tactical commanders. They are relatively inexpensive, costing thousands to millions of dollars per platform (excluding payloads) instead of tens of millions to billions of dollars. They can provide stay-and-stare </w:t>
      </w:r>
      <w:proofErr w:type="spellStart"/>
      <w:r w:rsidRPr="00D54004">
        <w:rPr>
          <w:sz w:val="12"/>
        </w:rPr>
        <w:t>persistences</w:t>
      </w:r>
      <w:proofErr w:type="spellEnd"/>
      <w:r w:rsidRPr="00D54004">
        <w:rPr>
          <w:sz w:val="12"/>
        </w:rPr>
        <w:t xml:space="preserve"> on the order of days, weeks, and months. They can be on station within hours of being called for by a commander and do not have predictable flight paths that would allow an adversary to defeat them by the timing of his actions. They can be returned to base and repaired. Near-space is the operationally responsive space that warfighters have been pursuing for years. </w:t>
      </w:r>
    </w:p>
    <w:p w:rsidR="00D54004" w:rsidRPr="00D54004" w:rsidRDefault="00D54004" w:rsidP="00D54004">
      <w:pPr>
        <w:rPr>
          <w:sz w:val="12"/>
        </w:rPr>
      </w:pPr>
    </w:p>
    <w:p w:rsidR="00D54004" w:rsidRPr="00D54004" w:rsidRDefault="00D54004" w:rsidP="00D54004">
      <w:pPr>
        <w:rPr>
          <w:b/>
        </w:rPr>
      </w:pPr>
      <w:r w:rsidRPr="00D54004">
        <w:rPr>
          <w:b/>
        </w:rPr>
        <w:t>Counterplan solves comparatively better – responsiveness</w:t>
      </w:r>
    </w:p>
    <w:p w:rsidR="00D54004" w:rsidRPr="00D54004" w:rsidRDefault="00D54004" w:rsidP="00D54004">
      <w:pPr>
        <w:rPr>
          <w:rStyle w:val="Hyperlink"/>
          <w:sz w:val="12"/>
        </w:rPr>
      </w:pPr>
      <w:proofErr w:type="spellStart"/>
      <w:r w:rsidRPr="00D54004">
        <w:rPr>
          <w:b/>
        </w:rPr>
        <w:t>Tomme</w:t>
      </w:r>
      <w:proofErr w:type="spellEnd"/>
      <w:r w:rsidRPr="00D54004">
        <w:rPr>
          <w:b/>
        </w:rPr>
        <w:t xml:space="preserve">, US </w:t>
      </w:r>
      <w:proofErr w:type="spellStart"/>
      <w:r w:rsidRPr="00D54004">
        <w:rPr>
          <w:b/>
        </w:rPr>
        <w:t>Airforce</w:t>
      </w:r>
      <w:proofErr w:type="spellEnd"/>
      <w:r w:rsidRPr="00D54004">
        <w:rPr>
          <w:b/>
        </w:rPr>
        <w:t xml:space="preserve"> Lieutenant Colonel, 5</w:t>
      </w:r>
      <w:r w:rsidRPr="00D54004">
        <w:rPr>
          <w:sz w:val="12"/>
        </w:rPr>
        <w:t xml:space="preserve"> (Ed, </w:t>
      </w:r>
      <w:r w:rsidRPr="00D54004">
        <w:rPr>
          <w:color w:val="000000"/>
          <w:sz w:val="12"/>
        </w:rPr>
        <w:t>http://www.au.af.mil/au/awc/awcgate/cadre/ari_2005-01.pdf</w:t>
      </w:r>
      <w:r w:rsidRPr="00D54004">
        <w:rPr>
          <w:rStyle w:val="Hyperlink"/>
          <w:sz w:val="12"/>
        </w:rPr>
        <w:t xml:space="preserve">, The Paradigm Shift to Effects-Based Space: </w:t>
      </w:r>
    </w:p>
    <w:p w:rsidR="00D54004" w:rsidRPr="00D54004" w:rsidRDefault="00D54004" w:rsidP="00D54004">
      <w:pPr>
        <w:rPr>
          <w:sz w:val="12"/>
        </w:rPr>
      </w:pPr>
      <w:r w:rsidRPr="00D54004">
        <w:rPr>
          <w:rStyle w:val="Hyperlink"/>
          <w:sz w:val="12"/>
        </w:rPr>
        <w:t xml:space="preserve">Near-Space as a Combat Space Effects Enabler”, </w:t>
      </w:r>
      <w:proofErr w:type="spellStart"/>
      <w:r w:rsidRPr="00D54004">
        <w:rPr>
          <w:rStyle w:val="Hyperlink"/>
          <w:sz w:val="12"/>
        </w:rPr>
        <w:t>ZBurdette</w:t>
      </w:r>
      <w:proofErr w:type="spellEnd"/>
      <w:r w:rsidRPr="00D54004">
        <w:rPr>
          <w:rStyle w:val="Hyperlink"/>
          <w:sz w:val="12"/>
        </w:rPr>
        <w:t>)</w:t>
      </w:r>
    </w:p>
    <w:p w:rsidR="00D54004" w:rsidRPr="00D54004" w:rsidRDefault="00D54004" w:rsidP="00D54004">
      <w:pPr>
        <w:rPr>
          <w:sz w:val="12"/>
        </w:rPr>
      </w:pPr>
    </w:p>
    <w:p w:rsidR="00D54004" w:rsidRPr="00D54004" w:rsidRDefault="00D54004" w:rsidP="00D54004">
      <w:pPr>
        <w:rPr>
          <w:sz w:val="12"/>
        </w:rPr>
      </w:pPr>
      <w:r w:rsidRPr="00D54004">
        <w:rPr>
          <w:sz w:val="12"/>
        </w:rPr>
        <w:t xml:space="preserve">Once on orbit, satellites are all but unresponsive. It takes an enormous amount of energy to change the orbit of a satellite. To change the plane of a satellite in orbit by 60 degrees takes almost as much energy as it took to get the satellite into the original orbit. If the space shuttle burned all of its onboard fuel, it could only change its inclination by 2½ degrees.105 </w:t>
      </w:r>
      <w:proofErr w:type="gramStart"/>
      <w:r w:rsidRPr="00D54004">
        <w:rPr>
          <w:sz w:val="12"/>
        </w:rPr>
        <w:t>It</w:t>
      </w:r>
      <w:proofErr w:type="gramEnd"/>
      <w:r w:rsidRPr="00D54004">
        <w:rPr>
          <w:sz w:val="12"/>
        </w:rPr>
        <w:t xml:space="preserve"> is these huge energy costs that all but prohibit repositioning of satellites at the whim of a commander. Satellites are also non-responsive to launch, currently taking from an advertised eight days for the newest evolved expendable launch vehicles (EELV), the Delta IV or Atlas V, up to 200 days to process a Titan IV launch site.106 These numbers are also predicated on having a satellite built, checked out, and available for mating to the launch vehicle. The Joint </w:t>
      </w:r>
      <w:proofErr w:type="spellStart"/>
      <w:r w:rsidRPr="00D54004">
        <w:rPr>
          <w:sz w:val="12"/>
        </w:rPr>
        <w:t>Warfighting</w:t>
      </w:r>
      <w:proofErr w:type="spellEnd"/>
      <w:r w:rsidRPr="00D54004">
        <w:rPr>
          <w:sz w:val="12"/>
        </w:rPr>
        <w:t xml:space="preserve"> Space concept calls for much more responsive launches of small satellites, ideally within hours of notification. However the problems involved in the co-located warehousing of the appropriate satellites and launchers required to achieve this goal seem quite formidable at the present time. The capacity of the nation’s budget to sustain the heavy blow dealt by requiring a large number of “tactical” satellites and launchers to be kept in warehouses “just in case” is another serious flaw with this program that is seldom addressed by proponents. Even if</w:t>
      </w:r>
      <w:r w:rsidRPr="00D54004">
        <w:rPr>
          <w:b/>
        </w:rPr>
        <w:t xml:space="preserve"> </w:t>
      </w:r>
      <w:r w:rsidRPr="00D54004">
        <w:rPr>
          <w:sz w:val="12"/>
        </w:rPr>
        <w:t>24</w:t>
      </w:r>
      <w:r w:rsidRPr="00D54004">
        <w:rPr>
          <w:b/>
        </w:rPr>
        <w:t xml:space="preserve"> </w:t>
      </w:r>
      <w:r w:rsidRPr="00D54004">
        <w:rPr>
          <w:sz w:val="12"/>
        </w:rPr>
        <w:t xml:space="preserve">these sobering troubles could be overcome, they do not obviate the on-orbit non-responsiveness of satellites. </w:t>
      </w:r>
    </w:p>
    <w:p w:rsidR="00D54004" w:rsidRPr="00D54004" w:rsidRDefault="00D54004" w:rsidP="00D54004">
      <w:pPr>
        <w:rPr>
          <w:sz w:val="12"/>
        </w:rPr>
      </w:pPr>
      <w:r w:rsidRPr="00D54004">
        <w:rPr>
          <w:sz w:val="12"/>
        </w:rPr>
        <w:t>Air-breathers, both manned and unmanned, are extremely responsive. They can be launched in minutes to hours, and once on station they can be redirected at will. During Operation IRAQI FREEDOM, UAVs were the choice for real-time information. Their video feeds were watched live by commanders, at least one of whom personally commanded a real-time weapons release on a high-sensitivity target to ensure responsibility for a potential high-visibility mistake would not fall upon his subordinates.107 Near-space platforms are also extremely responsive compared to satellites and almost as responsive as air-breathers to launch and redirect. In general, near-space platforms require about a minute per thousand feet to ascend</w:t>
      </w:r>
      <w:proofErr w:type="gramStart"/>
      <w:r w:rsidRPr="00D54004">
        <w:rPr>
          <w:sz w:val="12"/>
        </w:rPr>
        <w:t>,108</w:t>
      </w:r>
      <w:proofErr w:type="gramEnd"/>
      <w:r w:rsidRPr="00D54004">
        <w:rPr>
          <w:sz w:val="12"/>
        </w:rPr>
        <w:t xml:space="preserve"> so it takes about two hours for them to be on-station at 120,000 ft. They also cruise more slowly than most air-breathers, so getting to their assigned stations will take longer. However, once they are there, they can stay there for a very long time. Operational risk is substantially reduced because of the single launch and recovery cycle that produces months of duration on station. </w:t>
      </w:r>
    </w:p>
    <w:p w:rsidR="00D54004" w:rsidRPr="00D54004" w:rsidRDefault="00D54004" w:rsidP="00D54004">
      <w:pPr>
        <w:rPr>
          <w:u w:val="single"/>
        </w:rPr>
      </w:pPr>
    </w:p>
    <w:p w:rsidR="00D54004" w:rsidRPr="00D54004" w:rsidRDefault="00D54004" w:rsidP="00D54004">
      <w:pPr>
        <w:rPr>
          <w:sz w:val="12"/>
        </w:rPr>
      </w:pPr>
    </w:p>
    <w:p w:rsidR="00677887" w:rsidRDefault="00677887" w:rsidP="00677887">
      <w:pPr>
        <w:pStyle w:val="Heading2"/>
      </w:pPr>
      <w:r>
        <w:t>2AC CP PIC Pegasus Launch Vehicles</w:t>
      </w:r>
    </w:p>
    <w:p w:rsidR="00677887" w:rsidRPr="00D54004" w:rsidRDefault="00677887" w:rsidP="00677887">
      <w:pPr>
        <w:rPr>
          <w:sz w:val="12"/>
        </w:rPr>
      </w:pPr>
    </w:p>
    <w:p w:rsidR="00625745" w:rsidRPr="00D54004" w:rsidRDefault="00625745" w:rsidP="00677887">
      <w:pPr>
        <w:rPr>
          <w:b/>
        </w:rPr>
      </w:pPr>
      <w:r w:rsidRPr="00D54004">
        <w:rPr>
          <w:b/>
        </w:rPr>
        <w:t>Zero net benefit—Pegasus is used internationally now</w:t>
      </w:r>
    </w:p>
    <w:p w:rsidR="00625745" w:rsidRPr="00D54004" w:rsidRDefault="00625745" w:rsidP="00677887">
      <w:pPr>
        <w:rPr>
          <w:sz w:val="12"/>
        </w:rPr>
      </w:pPr>
      <w:r w:rsidRPr="00D54004">
        <w:rPr>
          <w:b/>
        </w:rPr>
        <w:t>Orbital Science 8</w:t>
      </w:r>
      <w:r w:rsidRPr="00D54004">
        <w:rPr>
          <w:sz w:val="12"/>
        </w:rPr>
        <w:t xml:space="preserve"> - industry leader in small- and medium-class space and rocket systems (2008, Orbital Science Corporation, “Pegasus”, http://www.orbital.com/spacelaunch/pegasus/) </w:t>
      </w:r>
    </w:p>
    <w:p w:rsidR="00625745" w:rsidRPr="00D54004" w:rsidRDefault="00625745" w:rsidP="00677887">
      <w:pPr>
        <w:rPr>
          <w:sz w:val="12"/>
        </w:rPr>
      </w:pPr>
    </w:p>
    <w:p w:rsidR="00625745" w:rsidRPr="00D54004" w:rsidRDefault="00625745" w:rsidP="00677887">
      <w:pPr>
        <w:rPr>
          <w:sz w:val="12"/>
        </w:rPr>
      </w:pPr>
      <w:r w:rsidRPr="00D54004">
        <w:rPr>
          <w:sz w:val="12"/>
        </w:rPr>
        <w:t>On April 5, 1990, Orbital began a new era in commercial space flight when our Pegasus rocket was launched for the first time from beneath a NASA B-52 carrier aircraft in a mission that originated from Dryden Flight Research Center in California. In the decade since its maiden flight, Pegasus has become the world's standard for affordable and reliable small launch vehicles. It has conducted 40 missions, launching over 80 satellites.</w:t>
      </w:r>
    </w:p>
    <w:p w:rsidR="00625745" w:rsidRPr="00D54004" w:rsidRDefault="00625745" w:rsidP="00677887">
      <w:pPr>
        <w:rPr>
          <w:sz w:val="12"/>
        </w:rPr>
      </w:pPr>
      <w:r w:rsidRPr="00D54004">
        <w:rPr>
          <w:sz w:val="12"/>
        </w:rPr>
        <w:t xml:space="preserve">The three-stage Pegasus is used by commercial, government and international customers to deploy small satellites weighing up to 1,000 pounds into low-Earth orbit. Pegasus is carried aloft by our "Stargazer" L-1011 aircraft to approximately 40,000 feet over </w:t>
      </w:r>
      <w:proofErr w:type="gramStart"/>
      <w:r w:rsidRPr="00D54004">
        <w:rPr>
          <w:sz w:val="12"/>
        </w:rPr>
        <w:t>open ocean</w:t>
      </w:r>
      <w:proofErr w:type="gramEnd"/>
      <w:r w:rsidRPr="00D54004">
        <w:rPr>
          <w:sz w:val="12"/>
        </w:rPr>
        <w:t>, where it is released and then free-falls in a horizontal position for five seconds before igniting its first stage rocket motor. With the aerodynamic lift generated by its unique delta-shaped wing, Pegasus typically delivers satellites into orbit in a little over 10 minutes.</w:t>
      </w:r>
    </w:p>
    <w:p w:rsidR="00625745" w:rsidRPr="00D54004" w:rsidRDefault="00625745" w:rsidP="00677887">
      <w:pPr>
        <w:rPr>
          <w:sz w:val="12"/>
        </w:rPr>
      </w:pPr>
      <w:r w:rsidRPr="00D54004">
        <w:rPr>
          <w:sz w:val="12"/>
        </w:rPr>
        <w:t>This patented air-launch system reduces cost and provides customers with unparalleled flexibility to operate from virtually anywhere on Earth with minimal ground support requirements. Pegasus launches have been conducted from six separate sites in the U.S., Europe and the Marshall Islands, the first time a space launch vehicle has demonstrated such operational flexibility.</w:t>
      </w:r>
    </w:p>
    <w:p w:rsidR="00625745" w:rsidRPr="00D54004" w:rsidRDefault="00625745" w:rsidP="00677887">
      <w:pPr>
        <w:rPr>
          <w:sz w:val="12"/>
        </w:rPr>
      </w:pPr>
    </w:p>
    <w:p w:rsidR="00736042" w:rsidRDefault="00736042" w:rsidP="00677887">
      <w:pPr>
        <w:pStyle w:val="Heading2"/>
      </w:pPr>
      <w:r>
        <w:t>2AC CP PPWT</w:t>
      </w:r>
    </w:p>
    <w:p w:rsidR="00736042" w:rsidRPr="00D54004" w:rsidRDefault="00736042" w:rsidP="00736042">
      <w:pPr>
        <w:rPr>
          <w:sz w:val="12"/>
        </w:rPr>
      </w:pPr>
    </w:p>
    <w:p w:rsidR="00736042" w:rsidRPr="00D54004" w:rsidRDefault="00736042" w:rsidP="00736042">
      <w:pPr>
        <w:rPr>
          <w:b/>
        </w:rPr>
      </w:pPr>
      <w:r w:rsidRPr="00D54004">
        <w:rPr>
          <w:b/>
        </w:rPr>
        <w:t>PPWT fails</w:t>
      </w:r>
    </w:p>
    <w:p w:rsidR="00736042" w:rsidRPr="00D54004" w:rsidRDefault="00736042" w:rsidP="00736042">
      <w:pPr>
        <w:rPr>
          <w:sz w:val="12"/>
        </w:rPr>
      </w:pPr>
      <w:proofErr w:type="spellStart"/>
      <w:r w:rsidRPr="00D54004">
        <w:rPr>
          <w:b/>
        </w:rPr>
        <w:t>Listner</w:t>
      </w:r>
      <w:proofErr w:type="spellEnd"/>
      <w:r w:rsidRPr="00D54004">
        <w:rPr>
          <w:sz w:val="12"/>
        </w:rPr>
        <w:t xml:space="preserve"> </w:t>
      </w:r>
      <w:r w:rsidRPr="00D54004">
        <w:rPr>
          <w:b/>
        </w:rPr>
        <w:t>4-25</w:t>
      </w:r>
      <w:r w:rsidRPr="00D54004">
        <w:rPr>
          <w:sz w:val="12"/>
        </w:rPr>
        <w:t>-2011 (Michael is a legal and policy analyst with a focus on issues relating to space law and policy. Michael has numerous writings on the topic published in legal and online journals and also writes a regular column on space law and policy at Examiner.com. Michael received his JD in 2001 from Regent University of School of Law in Virginia Beach, “An exercise in the Art of War: China’s National Defense white paper, outer space, and the PPWT” http://www.thespacereview.com/article/1828/1) BW</w:t>
      </w:r>
    </w:p>
    <w:p w:rsidR="00736042" w:rsidRPr="00D54004" w:rsidRDefault="00736042" w:rsidP="00736042">
      <w:pPr>
        <w:rPr>
          <w:sz w:val="12"/>
        </w:rPr>
      </w:pPr>
    </w:p>
    <w:p w:rsidR="00736042" w:rsidRPr="00D54004" w:rsidRDefault="00736042" w:rsidP="00736042">
      <w:pPr>
        <w:rPr>
          <w:sz w:val="12"/>
        </w:rPr>
      </w:pPr>
      <w:r w:rsidRPr="00D54004">
        <w:rPr>
          <w:sz w:val="12"/>
        </w:rPr>
        <w:t>The proffered purpose in the preamble of the PPWT6 by the Russian Federation and China is to address the deficiency of Article IV of the Outer Space Treaty.7 Article IV bans the placement of nuclear weapons and other weapons of mass destruction in orbit of the earth, but it is silent concerning weapons that are non-nuclear or otherwise do not reach the destructive potential of a weapon of mass destruction.</w:t>
      </w:r>
    </w:p>
    <w:p w:rsidR="00736042" w:rsidRPr="00D54004" w:rsidRDefault="00736042" w:rsidP="00736042">
      <w:pPr>
        <w:rPr>
          <w:sz w:val="12"/>
        </w:rPr>
      </w:pPr>
      <w:r w:rsidRPr="00D54004">
        <w:rPr>
          <w:sz w:val="12"/>
        </w:rPr>
        <w:t>The PPWT offers the following definition of a space weapon:</w:t>
      </w:r>
    </w:p>
    <w:p w:rsidR="00736042" w:rsidRPr="00D54004" w:rsidRDefault="00736042" w:rsidP="00736042">
      <w:pPr>
        <w:rPr>
          <w:sz w:val="12"/>
        </w:rPr>
      </w:pPr>
      <w:r w:rsidRPr="00D54004">
        <w:rPr>
          <w:sz w:val="12"/>
        </w:rPr>
        <w:t>The term “weapon in outer space” means any device placed in outer space, based on any physical principle, which has been specially produced or converted to destroy, damage or disrupt the normal functioning of objects in outer space, on the Earth or in the Earth’s atmosphere, or to eliminate a population or components of the biosphere which are important to human existence or inflict damage on them;</w:t>
      </w:r>
    </w:p>
    <w:p w:rsidR="00736042" w:rsidRPr="00D54004" w:rsidRDefault="00736042" w:rsidP="00736042">
      <w:pPr>
        <w:rPr>
          <w:sz w:val="12"/>
        </w:rPr>
      </w:pPr>
      <w:r w:rsidRPr="00D54004">
        <w:rPr>
          <w:sz w:val="12"/>
        </w:rPr>
        <w:t>The PPWT goes on to say that:</w:t>
      </w:r>
    </w:p>
    <w:p w:rsidR="00736042" w:rsidRPr="00D54004" w:rsidRDefault="00736042" w:rsidP="00736042">
      <w:pPr>
        <w:rPr>
          <w:sz w:val="12"/>
        </w:rPr>
      </w:pPr>
      <w:r w:rsidRPr="00D54004">
        <w:rPr>
          <w:sz w:val="12"/>
        </w:rPr>
        <w:t>A weapon shall be considered to have been “placed” in outer space if it orbits the Earth at least once, or follows a section of such an orbit before leaving this orbit, or is permanently located somewhere in outer space;</w:t>
      </w:r>
    </w:p>
    <w:p w:rsidR="00736042" w:rsidRPr="00D54004" w:rsidRDefault="00736042" w:rsidP="00736042">
      <w:pPr>
        <w:rPr>
          <w:sz w:val="12"/>
        </w:rPr>
      </w:pPr>
      <w:r w:rsidRPr="00D54004">
        <w:rPr>
          <w:sz w:val="12"/>
        </w:rPr>
        <w:t>The PPWT then defines the “use of force” or the threat of “use of force” as:</w:t>
      </w:r>
    </w:p>
    <w:p w:rsidR="00736042" w:rsidRPr="00D54004" w:rsidRDefault="00736042" w:rsidP="00736042">
      <w:pPr>
        <w:rPr>
          <w:sz w:val="12"/>
        </w:rPr>
      </w:pPr>
      <w:r w:rsidRPr="00D54004">
        <w:rPr>
          <w:sz w:val="12"/>
        </w:rPr>
        <w:t>The “use of force” or the “threat of force” mean any hostile actions against outer space objects including, inter alia, actions aimed at destroying them, damaging them, temporarily or permanently disrupting their normal functioning or deliberately changing their orbit parameters, or the threat of such actions.</w:t>
      </w:r>
    </w:p>
    <w:p w:rsidR="00736042" w:rsidRPr="00D54004" w:rsidRDefault="00736042" w:rsidP="00736042">
      <w:pPr>
        <w:rPr>
          <w:sz w:val="12"/>
        </w:rPr>
      </w:pPr>
      <w:r w:rsidRPr="00D54004">
        <w:rPr>
          <w:sz w:val="12"/>
        </w:rPr>
        <w:t>The PPWT prohibits space weapons as defined by stating that:</w:t>
      </w:r>
    </w:p>
    <w:p w:rsidR="00736042" w:rsidRPr="00D54004" w:rsidRDefault="00736042" w:rsidP="00736042">
      <w:pPr>
        <w:rPr>
          <w:sz w:val="12"/>
        </w:rPr>
      </w:pPr>
      <w:r w:rsidRPr="00D54004">
        <w:rPr>
          <w:sz w:val="12"/>
        </w:rPr>
        <w:t>[t]he States Parties undertake not to place in orbit around the Earth any objects carrying any kinds of weapons, not to install such weapons on celestial bodies and not to place such weapons in outer space in any other manner; not to resort to the threat or use of force against outer space objects; and not to assist or induce other States, groups of States or international organizations to participate in activities prohibited by this Treaty.</w:t>
      </w:r>
    </w:p>
    <w:p w:rsidR="00736042" w:rsidRPr="00D54004" w:rsidRDefault="00736042" w:rsidP="00736042">
      <w:pPr>
        <w:rPr>
          <w:sz w:val="12"/>
        </w:rPr>
      </w:pPr>
      <w:r w:rsidRPr="00D54004">
        <w:rPr>
          <w:sz w:val="12"/>
        </w:rPr>
        <w:t>More important than what the PPWT prohibits is what it does not prohibit or address. An August 18, 2009, letter from the Russian Federation and PRC delegation to the Disarmament Conference addressed concerns with the PPWT raised by other members. In particular, the letter asserts that:</w:t>
      </w:r>
    </w:p>
    <w:p w:rsidR="00736042" w:rsidRPr="00D54004" w:rsidRDefault="00736042" w:rsidP="00736042">
      <w:pPr>
        <w:rPr>
          <w:sz w:val="12"/>
        </w:rPr>
      </w:pPr>
      <w:r w:rsidRPr="00D54004">
        <w:rPr>
          <w:sz w:val="12"/>
        </w:rPr>
        <w:t xml:space="preserve">The PPWT prohibits the use or threat of force against “outer space objects”, but it does not prohibit the use or threat of force in outer space. </w:t>
      </w:r>
    </w:p>
    <w:p w:rsidR="00736042" w:rsidRPr="00D54004" w:rsidRDefault="00736042" w:rsidP="00736042">
      <w:pPr>
        <w:rPr>
          <w:sz w:val="12"/>
        </w:rPr>
      </w:pPr>
      <w:r w:rsidRPr="00D54004">
        <w:rPr>
          <w:sz w:val="12"/>
        </w:rPr>
        <w:t xml:space="preserve">The PPWT does not alter the right to self-defense allowed under Article 51 of the UN Charter; so long as that weapon is not prohibited by international law and is not used against a signatory of the PPWT. </w:t>
      </w:r>
    </w:p>
    <w:p w:rsidR="00736042" w:rsidRPr="00D54004" w:rsidRDefault="00736042" w:rsidP="00736042">
      <w:pPr>
        <w:rPr>
          <w:sz w:val="12"/>
        </w:rPr>
      </w:pPr>
      <w:r w:rsidRPr="00D54004">
        <w:rPr>
          <w:sz w:val="12"/>
        </w:rPr>
        <w:t xml:space="preserve">The PPWT does not </w:t>
      </w:r>
      <w:proofErr w:type="gramStart"/>
      <w:r w:rsidRPr="00D54004">
        <w:rPr>
          <w:sz w:val="12"/>
        </w:rPr>
        <w:t>prohibit,</w:t>
      </w:r>
      <w:proofErr w:type="gramEnd"/>
      <w:r w:rsidRPr="00D54004">
        <w:rPr>
          <w:sz w:val="12"/>
        </w:rPr>
        <w:t xml:space="preserve"> the development, testing, and deployment of anti-satellite weapons (ASATs) so long as they do not meet the definition of “weapon in outer space” as defined by the PPWT. </w:t>
      </w:r>
    </w:p>
    <w:p w:rsidR="00736042" w:rsidRPr="00D54004" w:rsidRDefault="00736042" w:rsidP="00736042">
      <w:pPr>
        <w:rPr>
          <w:sz w:val="12"/>
        </w:rPr>
      </w:pPr>
      <w:r w:rsidRPr="00D54004">
        <w:rPr>
          <w:sz w:val="12"/>
        </w:rPr>
        <w:t xml:space="preserve">The PPWT does not prohibit the development, testing and deployment of ground-based lasers and electronic suppression systems. </w:t>
      </w:r>
    </w:p>
    <w:p w:rsidR="00736042" w:rsidRPr="00D54004" w:rsidRDefault="00736042" w:rsidP="00736042">
      <w:pPr>
        <w:rPr>
          <w:sz w:val="12"/>
        </w:rPr>
      </w:pPr>
      <w:r w:rsidRPr="00D54004">
        <w:rPr>
          <w:sz w:val="12"/>
        </w:rPr>
        <w:t xml:space="preserve">The PPWT does not address the issue of “dual-purpose” space technologies that could be employed both for peaceful or aggressive purposes. </w:t>
      </w:r>
    </w:p>
    <w:p w:rsidR="00736042" w:rsidRPr="00D54004" w:rsidRDefault="00736042" w:rsidP="00736042">
      <w:pPr>
        <w:rPr>
          <w:sz w:val="12"/>
        </w:rPr>
      </w:pPr>
      <w:r w:rsidRPr="00D54004">
        <w:rPr>
          <w:sz w:val="12"/>
        </w:rPr>
        <w:t xml:space="preserve">The PPWT does not include any mechanism for verification. </w:t>
      </w:r>
    </w:p>
    <w:p w:rsidR="00736042" w:rsidRPr="00D54004" w:rsidRDefault="00736042" w:rsidP="00736042">
      <w:pPr>
        <w:rPr>
          <w:sz w:val="12"/>
        </w:rPr>
      </w:pPr>
      <w:proofErr w:type="gramStart"/>
      <w:r w:rsidRPr="00D54004">
        <w:rPr>
          <w:sz w:val="12"/>
        </w:rPr>
        <w:t>The wording and interpretation of the PPWT works to the PRC’s advantage by allowing it to continue to develop and deploy direct-ascent ASAT technology and other ground-based ASAT techniques.</w:t>
      </w:r>
      <w:proofErr w:type="gramEnd"/>
      <w:r w:rsidRPr="00D54004">
        <w:rPr>
          <w:sz w:val="12"/>
        </w:rPr>
        <w:t xml:space="preserve"> On the other hand, countries such as the United States would be limited in the means it could use to develop and deploy defenses specifically if the means of defense might be defined as a space weapon under the PPWT.</w:t>
      </w:r>
    </w:p>
    <w:p w:rsidR="00736042" w:rsidRPr="00D54004" w:rsidRDefault="00736042" w:rsidP="00736042">
      <w:pPr>
        <w:rPr>
          <w:sz w:val="12"/>
        </w:rPr>
      </w:pPr>
    </w:p>
    <w:p w:rsidR="00677887" w:rsidRDefault="00736042" w:rsidP="00677887">
      <w:pPr>
        <w:pStyle w:val="Heading2"/>
      </w:pPr>
      <w:r>
        <w:t>2AC CP Privatization – Generic</w:t>
      </w:r>
    </w:p>
    <w:p w:rsidR="00677887" w:rsidRPr="00D54004" w:rsidRDefault="00677887" w:rsidP="00677887">
      <w:pPr>
        <w:rPr>
          <w:sz w:val="12"/>
        </w:rPr>
      </w:pPr>
    </w:p>
    <w:p w:rsidR="00625745" w:rsidRPr="00D54004" w:rsidRDefault="00625745" w:rsidP="00677887">
      <w:pPr>
        <w:rPr>
          <w:b/>
        </w:rPr>
      </w:pPr>
      <w:r w:rsidRPr="00D54004">
        <w:rPr>
          <w:b/>
        </w:rPr>
        <w:t xml:space="preserve">Government is </w:t>
      </w:r>
      <w:proofErr w:type="gramStart"/>
      <w:r w:rsidRPr="00D54004">
        <w:rPr>
          <w:b/>
        </w:rPr>
        <w:t>key</w:t>
      </w:r>
      <w:proofErr w:type="gramEnd"/>
    </w:p>
    <w:p w:rsidR="00625745" w:rsidRPr="00D54004" w:rsidRDefault="00625745" w:rsidP="00677887">
      <w:pPr>
        <w:rPr>
          <w:sz w:val="12"/>
        </w:rPr>
      </w:pPr>
      <w:proofErr w:type="spellStart"/>
      <w:r w:rsidRPr="00D54004">
        <w:rPr>
          <w:b/>
        </w:rPr>
        <w:t>Larrimore</w:t>
      </w:r>
      <w:proofErr w:type="spellEnd"/>
      <w:r w:rsidRPr="00D54004">
        <w:rPr>
          <w:b/>
        </w:rPr>
        <w:t xml:space="preserve"> 7</w:t>
      </w:r>
      <w:r w:rsidRPr="00D54004">
        <w:rPr>
          <w:sz w:val="12"/>
        </w:rPr>
        <w:t xml:space="preserve"> – Lt Col, USAF (April, Scott C., Air Force Fellows Air University, “Operationally Responsive Space: A New Paradigm or </w:t>
      </w:r>
      <w:proofErr w:type="gramStart"/>
      <w:r w:rsidRPr="00D54004">
        <w:rPr>
          <w:sz w:val="12"/>
        </w:rPr>
        <w:t>Another</w:t>
      </w:r>
      <w:proofErr w:type="gramEnd"/>
      <w:r w:rsidRPr="00D54004">
        <w:rPr>
          <w:sz w:val="12"/>
        </w:rPr>
        <w:t xml:space="preserve"> False Start?” </w:t>
      </w:r>
    </w:p>
    <w:p w:rsidR="00625745" w:rsidRPr="00D54004" w:rsidRDefault="00625745" w:rsidP="00677887">
      <w:pPr>
        <w:rPr>
          <w:sz w:val="12"/>
        </w:rPr>
      </w:pPr>
      <w:r w:rsidRPr="00D54004">
        <w:rPr>
          <w:sz w:val="12"/>
        </w:rPr>
        <w:t>https://www.afresearch.org/skins/rims/q_mod_be0e99f3-fc56-4ccb-8dfe-670c0822a153/q_act_downloadpaper/q_obj_5ea32116-b119-43ab-8fcb-9565110bb741/display.aspx?rs=enginespage)RK</w:t>
      </w:r>
    </w:p>
    <w:p w:rsidR="00625745" w:rsidRPr="00D54004" w:rsidRDefault="00625745" w:rsidP="00677887">
      <w:pPr>
        <w:rPr>
          <w:sz w:val="12"/>
        </w:rPr>
      </w:pPr>
    </w:p>
    <w:p w:rsidR="00625745" w:rsidRPr="00D54004" w:rsidRDefault="00625745" w:rsidP="00677887">
      <w:pPr>
        <w:rPr>
          <w:sz w:val="12"/>
        </w:rPr>
      </w:pPr>
      <w:r w:rsidRPr="00D54004">
        <w:rPr>
          <w:sz w:val="12"/>
        </w:rPr>
        <w:t>Recommendation 5: Purchase and store several small launch vehicles.</w:t>
      </w:r>
    </w:p>
    <w:p w:rsidR="00625745" w:rsidRPr="00D54004" w:rsidRDefault="00625745" w:rsidP="00677887">
      <w:pPr>
        <w:rPr>
          <w:sz w:val="12"/>
        </w:rPr>
      </w:pPr>
      <w:r w:rsidRPr="00D54004">
        <w:rPr>
          <w:sz w:val="12"/>
        </w:rPr>
        <w:t xml:space="preserve">By purchasing several small boosters and putting them in storage, the United States begins forming its space tactical reserve. The boosters are ready if called upon in contingency support of joint forces or if needed to replace a damaged satellite. Furthermore, science and technology experimental satellites (e.g. </w:t>
      </w:r>
      <w:proofErr w:type="spellStart"/>
      <w:r w:rsidRPr="00D54004">
        <w:rPr>
          <w:sz w:val="12"/>
        </w:rPr>
        <w:t>TacSats</w:t>
      </w:r>
      <w:proofErr w:type="spellEnd"/>
      <w:r w:rsidRPr="00D54004">
        <w:rPr>
          <w:sz w:val="12"/>
        </w:rPr>
        <w:t xml:space="preserve">) can draw upon this reserve, providing launch stability for the science program and offering an opportunity to exercise the operational launch team. Satellites developers could then optimize their spacecraft to the provided rocket. Replacement boosters would be acquired each year and placed into the reserve. This is a similar concept of operation used for Thor launchers supporting Program 437 ASAT mission and ballistic missile tests.4 </w:t>
      </w:r>
      <w:proofErr w:type="gramStart"/>
      <w:r w:rsidRPr="00D54004">
        <w:rPr>
          <w:sz w:val="12"/>
        </w:rPr>
        <w:t>It</w:t>
      </w:r>
      <w:proofErr w:type="gramEnd"/>
      <w:r w:rsidRPr="00D54004">
        <w:rPr>
          <w:sz w:val="12"/>
        </w:rPr>
        <w:t xml:space="preserve"> is doubtful that resources would allow more than one booster model to be stored and supported.</w:t>
      </w:r>
    </w:p>
    <w:p w:rsidR="00625745" w:rsidRPr="00D54004" w:rsidRDefault="00625745" w:rsidP="00677887">
      <w:pPr>
        <w:rPr>
          <w:sz w:val="12"/>
        </w:rPr>
      </w:pPr>
      <w:r w:rsidRPr="00D54004">
        <w:rPr>
          <w:sz w:val="12"/>
        </w:rPr>
        <w:t>Recommendation 6: Organize ORS Program Office as standalone joint organization</w:t>
      </w:r>
    </w:p>
    <w:p w:rsidR="00625745" w:rsidRPr="00D54004" w:rsidRDefault="00625745" w:rsidP="00677887">
      <w:pPr>
        <w:rPr>
          <w:sz w:val="12"/>
        </w:rPr>
      </w:pPr>
      <w:r w:rsidRPr="00D54004">
        <w:rPr>
          <w:sz w:val="12"/>
        </w:rPr>
        <w:t>The Congressionally mandated ORS Program Office should be established as a joint DOD/NRO organization. A joint program office will increase synergy and integration with established on-orbit national space systems while forming another path for emerging operational requirement to be passed to on-orbit systems. Furthermore, providing some ownership of the ORS solution potentially helps obtaining “buy-in” from the Intelligence Community. An organization falling completely under DOD auspices would hinder this needed integration.</w:t>
      </w:r>
    </w:p>
    <w:p w:rsidR="00625745" w:rsidRPr="00D54004" w:rsidRDefault="00625745" w:rsidP="00677887">
      <w:pPr>
        <w:rPr>
          <w:sz w:val="12"/>
        </w:rPr>
      </w:pPr>
      <w:r w:rsidRPr="00D54004">
        <w:rPr>
          <w:sz w:val="12"/>
        </w:rPr>
        <w:t>A standalone system decoupled from SMC’s Space Development and Test Wing will prevent Congress’ perception of poor performance from the current Joint Warfighter Space (JWS)/ORS from bleeding over into the new ORS Program Office. DOD should disband the current JWS/ORS Program Office upon the new Program Office’s establishment.</w:t>
      </w:r>
    </w:p>
    <w:p w:rsidR="00625745" w:rsidRPr="00D54004" w:rsidRDefault="00625745" w:rsidP="00677887">
      <w:pPr>
        <w:rPr>
          <w:sz w:val="12"/>
        </w:rPr>
      </w:pPr>
      <w:r w:rsidRPr="00D54004">
        <w:rPr>
          <w:sz w:val="12"/>
        </w:rPr>
        <w:t>Recommendation 7: Organize the Joint ORS Program Office with 2 Components</w:t>
      </w:r>
    </w:p>
    <w:p w:rsidR="00625745" w:rsidRPr="00D54004" w:rsidRDefault="00625745" w:rsidP="00677887">
      <w:pPr>
        <w:rPr>
          <w:sz w:val="12"/>
        </w:rPr>
      </w:pPr>
      <w:r w:rsidRPr="00D54004">
        <w:rPr>
          <w:sz w:val="12"/>
        </w:rPr>
        <w:t>The ORS Program Office should be expanded to include a joint technology demonstration program office, the focus of current initiatives, as well as a joint reconstitution program office. A reconstitution program office under ORS auspices will allow synergy between technology development, experimentation, and a reconstitution system.</w:t>
      </w:r>
    </w:p>
    <w:p w:rsidR="00625745" w:rsidRPr="00D54004" w:rsidRDefault="00625745" w:rsidP="00677887">
      <w:pPr>
        <w:rPr>
          <w:sz w:val="12"/>
        </w:rPr>
      </w:pPr>
      <w:r w:rsidRPr="00D54004">
        <w:rPr>
          <w:sz w:val="12"/>
        </w:rPr>
        <w:t>Recommendation 8: Form a Joint Reconstitution Program Office.</w:t>
      </w:r>
    </w:p>
    <w:p w:rsidR="00625745" w:rsidRPr="00D54004" w:rsidRDefault="00625745" w:rsidP="00677887">
      <w:pPr>
        <w:rPr>
          <w:sz w:val="12"/>
        </w:rPr>
      </w:pPr>
      <w:r w:rsidRPr="00D54004">
        <w:rPr>
          <w:sz w:val="12"/>
        </w:rPr>
        <w:t>A reconstitution capability is an insurance policy to minimize loss of critical space assets. To date, the nation has not needed this insurance due to operational redundancy or geopolitical stability. As ASAT technology proliferates, the number of actors that can affect United States’ space systems grows. A modest reconstitution capability is becoming a wise and prudent investment in a growing multi-polar and fractured world.</w:t>
      </w:r>
    </w:p>
    <w:p w:rsidR="00625745" w:rsidRPr="00D54004" w:rsidRDefault="00625745" w:rsidP="00677887">
      <w:pPr>
        <w:rPr>
          <w:sz w:val="12"/>
        </w:rPr>
      </w:pPr>
      <w:r w:rsidRPr="00D54004">
        <w:rPr>
          <w:sz w:val="12"/>
        </w:rPr>
        <w:t>A joint DOD/NRO program office should acquire this reconstitution capability. The NRO is the owner and operator of potential adversaries’ most likely targets while the DOD ORS Program Office and associated organizations are the purveyors of responsive space launch systems and technologies. Both organizations would bring to the new program offices their respective technical, operational, and institutional expertise ensuring the reconstitution space system can work with established tasking and dissemination systems.</w:t>
      </w:r>
    </w:p>
    <w:p w:rsidR="00625745" w:rsidRPr="00D54004" w:rsidRDefault="00625745" w:rsidP="00677887">
      <w:pPr>
        <w:rPr>
          <w:sz w:val="12"/>
        </w:rPr>
      </w:pPr>
      <w:r w:rsidRPr="00D54004">
        <w:rPr>
          <w:sz w:val="12"/>
        </w:rPr>
        <w:t>Recommendation 9: Develop a government-controlled responsive launch operations team.</w:t>
      </w:r>
    </w:p>
    <w:p w:rsidR="00625745" w:rsidRPr="00D54004" w:rsidRDefault="00625745" w:rsidP="00677887">
      <w:pPr>
        <w:rPr>
          <w:sz w:val="12"/>
        </w:rPr>
      </w:pPr>
      <w:r w:rsidRPr="00D54004">
        <w:rPr>
          <w:sz w:val="12"/>
        </w:rPr>
        <w:t>The nation may not have the time to wait for a launch contractor to provided launch services. That contractor may have conflicting priorities and insufficient staff to support time critical ORS launch requirements. The government should form a government or “blue suit” launch operations team to provide the needed responsiveness. If contracted out, support to contingency launches should be explicit in the contract. This team would be responsible for integrating a small launcher, processing, and checking out a satellite aboard the booster, and launch operations. Besides training for contingency launches, the team would gain valuable experience launching periodic technology demonstration satellites. Due to the inherently local nature of the launch support, the Air Force Reserves in the state in which the launch facility is located may be well suited for this mission.</w:t>
      </w:r>
    </w:p>
    <w:p w:rsidR="00625745" w:rsidRPr="00D54004" w:rsidRDefault="00625745" w:rsidP="00677887">
      <w:pPr>
        <w:rPr>
          <w:sz w:val="12"/>
        </w:rPr>
      </w:pPr>
      <w:r w:rsidRPr="00D54004">
        <w:rPr>
          <w:sz w:val="12"/>
        </w:rPr>
        <w:t>Recommendation 10: Develop a government-controlled responsive satellite operations team.</w:t>
      </w:r>
    </w:p>
    <w:p w:rsidR="00625745" w:rsidRPr="00D54004" w:rsidRDefault="00625745" w:rsidP="00677887">
      <w:pPr>
        <w:rPr>
          <w:sz w:val="12"/>
        </w:rPr>
      </w:pPr>
      <w:r w:rsidRPr="00D54004">
        <w:rPr>
          <w:sz w:val="12"/>
        </w:rPr>
        <w:t>Once the ORS satellite is launched, it will need to be commanded. The satellite will need to be expeditiously deployed, checked out, and readied for operational use and then placed into nominal operation. A government or “blue suit” team should provide this capability. The team would have to exercise with simulators to develop proficiency operating reconstitution and augmentation spacecraft. Depending upon similarity with stored contingency satellites, the space operations team could operate technology demonstration satellites as well. If the reconstitution capability includes reconnaissance spacecraft, the satellite operations organization should be Joint. Due to the potential for surge operations, this may be a mission well suited to the Air Force Reserves. Satellite operations location can be independent from launch site. Further discussion is required with operating organizations to determine the appropriate command relationship and authorities.</w:t>
      </w:r>
    </w:p>
    <w:p w:rsidR="00625745" w:rsidRPr="00D54004" w:rsidRDefault="00625745" w:rsidP="00677887">
      <w:pPr>
        <w:rPr>
          <w:sz w:val="12"/>
        </w:rPr>
      </w:pPr>
    </w:p>
    <w:p w:rsidR="00625745" w:rsidRPr="00D54004" w:rsidRDefault="00625745" w:rsidP="00677887">
      <w:pPr>
        <w:rPr>
          <w:b/>
        </w:rPr>
      </w:pPr>
      <w:r w:rsidRPr="00D54004">
        <w:rPr>
          <w:b/>
        </w:rPr>
        <w:t>CP links to politics</w:t>
      </w:r>
    </w:p>
    <w:p w:rsidR="00625745" w:rsidRPr="00D54004" w:rsidRDefault="00625745" w:rsidP="00677887">
      <w:pPr>
        <w:rPr>
          <w:sz w:val="12"/>
        </w:rPr>
      </w:pPr>
      <w:proofErr w:type="spellStart"/>
      <w:r w:rsidRPr="00D54004">
        <w:rPr>
          <w:b/>
        </w:rPr>
        <w:t>Hillhouse</w:t>
      </w:r>
      <w:proofErr w:type="spellEnd"/>
      <w:r w:rsidRPr="00D54004">
        <w:rPr>
          <w:b/>
        </w:rPr>
        <w:t xml:space="preserve"> 11</w:t>
      </w:r>
      <w:r w:rsidRPr="00D54004">
        <w:rPr>
          <w:sz w:val="12"/>
        </w:rPr>
        <w:t xml:space="preserve"> - BSE and MSE in Aerospace Engineering at the University of Texas at Austin, worked as an undergraduate and graduate assistant with the GNC group at the Center for Space Research (3/6/11, Jim, America Space, “Moon Race: China Gears Up While US Downshifts,” http://www.americaspace.org/?p=7003)RK</w:t>
      </w:r>
    </w:p>
    <w:p w:rsidR="00625745" w:rsidRPr="00D54004" w:rsidRDefault="00625745" w:rsidP="00677887">
      <w:pPr>
        <w:rPr>
          <w:sz w:val="12"/>
        </w:rPr>
      </w:pPr>
    </w:p>
    <w:p w:rsidR="00625745" w:rsidRPr="00D54004" w:rsidRDefault="00625745" w:rsidP="00677887">
      <w:pPr>
        <w:rPr>
          <w:sz w:val="12"/>
        </w:rPr>
      </w:pPr>
      <w:r w:rsidRPr="00D54004">
        <w:rPr>
          <w:sz w:val="12"/>
        </w:rPr>
        <w:t xml:space="preserve">In Fast Company’s China Gears Up for Lunar Space Race </w:t>
      </w:r>
      <w:proofErr w:type="gramStart"/>
      <w:r w:rsidRPr="00D54004">
        <w:rPr>
          <w:sz w:val="12"/>
        </w:rPr>
        <w:t>With</w:t>
      </w:r>
      <w:proofErr w:type="gramEnd"/>
      <w:r w:rsidRPr="00D54004">
        <w:rPr>
          <w:sz w:val="12"/>
        </w:rPr>
        <w:t xml:space="preserve"> World’s Biggest Rocket Factory, China is setting its </w:t>
      </w:r>
      <w:proofErr w:type="spellStart"/>
      <w:r w:rsidRPr="00D54004">
        <w:rPr>
          <w:sz w:val="12"/>
        </w:rPr>
        <w:t>sites</w:t>
      </w:r>
      <w:proofErr w:type="spellEnd"/>
      <w:r w:rsidRPr="00D54004">
        <w:rPr>
          <w:sz w:val="12"/>
        </w:rPr>
        <w:t xml:space="preserve"> on winning the next Moon Race. Meanwhile, in Washington the Administration wants to let a thousand commercial space companies bloom even as it ignores the will of Congress by not following either in spirit or letter the 2010 NASA Authorization Act. At least, that’s the charitable explanation for the disconnect between the President’s 2012 NASA Budget and the 2010 NASA Act that the President signed last fall. Last week, in separate testimony before the House Space Appropriations and Authorization committees, NASA Administrator Bolden made clear that he didn’t “get it” that Congress had spoken to what the nation’s space policy would be when it passed the 2010 NASA Authorization Act. Instead, NASA’s budget inverts the policy priorities outlined by Congress in the 2010 Act so that national space is sacrificed in favor of continued subsidies for commercial space.</w:t>
      </w:r>
    </w:p>
    <w:p w:rsidR="00625745" w:rsidRPr="00D54004" w:rsidRDefault="00625745" w:rsidP="00677887">
      <w:pPr>
        <w:rPr>
          <w:sz w:val="12"/>
        </w:rPr>
      </w:pPr>
      <w:r w:rsidRPr="00D54004">
        <w:rPr>
          <w:sz w:val="12"/>
        </w:rPr>
        <w:t xml:space="preserve">While taking the same basic path that the Administration took last year, one is left guessing that the Administration must believe that this time, unlike in 2010, the battle to outsource our nation’s human space flight program will turn-out differently. The response from Congress, as evidenced from the hearings of both of the House committees last week, must be leaving some in the Administration with a sense of </w:t>
      </w:r>
      <w:proofErr w:type="spellStart"/>
      <w:r w:rsidRPr="00D54004">
        <w:rPr>
          <w:sz w:val="12"/>
        </w:rPr>
        <w:t>deja</w:t>
      </w:r>
      <w:proofErr w:type="spellEnd"/>
      <w:r w:rsidRPr="00D54004">
        <w:rPr>
          <w:sz w:val="12"/>
        </w:rPr>
        <w:t xml:space="preserve"> vu all over again. If insanity is indeed defined as doing the same thing but expecting a different outcome, it may be time to hold a mental competency hearing for some in the Administration responsible for developing its 2012 NASA Budget.</w:t>
      </w:r>
    </w:p>
    <w:p w:rsidR="00736042" w:rsidRPr="00D54004" w:rsidRDefault="00736042" w:rsidP="00677887">
      <w:pPr>
        <w:rPr>
          <w:sz w:val="12"/>
        </w:rPr>
      </w:pPr>
    </w:p>
    <w:p w:rsidR="00736042" w:rsidRPr="00736042" w:rsidRDefault="00736042" w:rsidP="00736042">
      <w:pPr>
        <w:pStyle w:val="Heading2"/>
      </w:pPr>
      <w:r>
        <w:t>2AC CP Privatization – Prizes</w:t>
      </w:r>
    </w:p>
    <w:p w:rsidR="008275EC" w:rsidRPr="00D54004" w:rsidRDefault="008275EC" w:rsidP="00677887">
      <w:pPr>
        <w:rPr>
          <w:sz w:val="12"/>
        </w:rPr>
      </w:pPr>
    </w:p>
    <w:p w:rsidR="008275EC" w:rsidRPr="00D54004" w:rsidRDefault="008275EC" w:rsidP="008275EC">
      <w:pPr>
        <w:rPr>
          <w:b/>
        </w:rPr>
      </w:pPr>
      <w:r w:rsidRPr="00D54004">
        <w:rPr>
          <w:b/>
        </w:rPr>
        <w:t>Prizes fail – don’t spur sufficient investment or innovation.</w:t>
      </w:r>
    </w:p>
    <w:p w:rsidR="008275EC" w:rsidRPr="00D54004" w:rsidRDefault="008275EC" w:rsidP="008275EC">
      <w:pPr>
        <w:rPr>
          <w:sz w:val="12"/>
        </w:rPr>
      </w:pPr>
      <w:proofErr w:type="spellStart"/>
      <w:r w:rsidRPr="00D54004">
        <w:rPr>
          <w:b/>
        </w:rPr>
        <w:t>Kalil</w:t>
      </w:r>
      <w:proofErr w:type="spellEnd"/>
      <w:r w:rsidRPr="00D54004">
        <w:rPr>
          <w:b/>
        </w:rPr>
        <w:t xml:space="preserve"> </w:t>
      </w:r>
      <w:r w:rsidR="00736042" w:rsidRPr="00D54004">
        <w:rPr>
          <w:b/>
        </w:rPr>
        <w:t>6</w:t>
      </w:r>
      <w:r w:rsidRPr="00D54004">
        <w:rPr>
          <w:sz w:val="12"/>
        </w:rPr>
        <w:t xml:space="preserve"> (Thomas Special Assistant to the Chancellor for Science and Technology at UC Berkeley, December, “Prizes for Technological Innovation,” </w:t>
      </w:r>
      <w:hyperlink r:id="rId7" w:history="1">
        <w:r w:rsidRPr="00D54004">
          <w:rPr>
            <w:rStyle w:val="Hyperlink"/>
            <w:sz w:val="12"/>
          </w:rPr>
          <w:t>http://www.brookings.edu/views/papers/200612kalil.pdf</w:t>
        </w:r>
      </w:hyperlink>
      <w:r w:rsidRPr="00D54004">
        <w:rPr>
          <w:sz w:val="12"/>
        </w:rPr>
        <w:t>)</w:t>
      </w:r>
    </w:p>
    <w:p w:rsidR="008275EC" w:rsidRPr="00D54004" w:rsidRDefault="008275EC" w:rsidP="008275EC">
      <w:pPr>
        <w:rPr>
          <w:sz w:val="12"/>
        </w:rPr>
      </w:pPr>
    </w:p>
    <w:p w:rsidR="008275EC" w:rsidRPr="00D54004" w:rsidRDefault="008275EC" w:rsidP="00677887">
      <w:pPr>
        <w:rPr>
          <w:sz w:val="12"/>
        </w:rPr>
      </w:pPr>
      <w:r w:rsidRPr="00D54004">
        <w:rPr>
          <w:sz w:val="12"/>
        </w:rPr>
        <w:t xml:space="preserve">Prizes have significant limitations. In most circumstances, they should not be the policy instrument of choice for science and technology. Since only winning teams receive prizes, and only after they have won, all entrants must have or raise the funds necessary to compete. Most researchers and small and medium-sized companies find it difficult to self-finance or </w:t>
      </w:r>
      <w:proofErr w:type="gramStart"/>
      <w:r w:rsidRPr="00D54004">
        <w:rPr>
          <w:sz w:val="12"/>
        </w:rPr>
        <w:t>raise</w:t>
      </w:r>
      <w:proofErr w:type="gramEnd"/>
      <w:r w:rsidRPr="00D54004">
        <w:rPr>
          <w:sz w:val="12"/>
        </w:rPr>
        <w:t xml:space="preserve"> external funding. For example, offering a prize for a breakthrough in high-energy physics would not work if it required physicists to raise billions of dollars to build a new particle accelerator. Furthermore, it may be impossible to clearly specify in advance what the victory conditions are, since the outcomes of fundamental research are, by definition, unknowable or difficult to quantify in advance. Many of the most interesting discoveries in science are serendipitous. Even when the goals of a prize are generally understood, it may be difficult to develop appropriately specific proxies for those goals, such as an improvement in the price-to-performance ratio of a given technology, or widespread market acceptance. Finally, prizes are more likely than traditional funding mechanisms to lead to duplication of effort, although this effect can be mitigated through careful program design (Newell and Wilson 2005).</w:t>
      </w:r>
    </w:p>
    <w:p w:rsidR="003301BE" w:rsidRPr="00D54004" w:rsidRDefault="003301BE" w:rsidP="00677887">
      <w:pPr>
        <w:rPr>
          <w:sz w:val="12"/>
        </w:rPr>
      </w:pPr>
    </w:p>
    <w:p w:rsidR="003301BE" w:rsidRDefault="003301BE" w:rsidP="003301BE">
      <w:pPr>
        <w:pStyle w:val="Heading2"/>
      </w:pPr>
      <w:r>
        <w:t xml:space="preserve">2AC CP </w:t>
      </w:r>
      <w:proofErr w:type="spellStart"/>
      <w:r>
        <w:t>Stratosats</w:t>
      </w:r>
      <w:proofErr w:type="spellEnd"/>
      <w:r>
        <w:t>/Below the Mesosphere</w:t>
      </w:r>
    </w:p>
    <w:p w:rsidR="003301BE" w:rsidRPr="00D54004" w:rsidRDefault="003301BE" w:rsidP="003301BE">
      <w:pPr>
        <w:rPr>
          <w:sz w:val="12"/>
        </w:rPr>
      </w:pPr>
    </w:p>
    <w:p w:rsidR="0090009A" w:rsidRPr="00D54004" w:rsidRDefault="0090009A" w:rsidP="0090009A">
      <w:pPr>
        <w:rPr>
          <w:b/>
        </w:rPr>
      </w:pPr>
      <w:r w:rsidRPr="00D54004">
        <w:rPr>
          <w:b/>
        </w:rPr>
        <w:t>Counterplan is vulnerable to Chinese and Russian attack</w:t>
      </w:r>
    </w:p>
    <w:p w:rsidR="0090009A" w:rsidRPr="00D54004" w:rsidRDefault="0090009A" w:rsidP="0090009A">
      <w:pPr>
        <w:rPr>
          <w:sz w:val="12"/>
        </w:rPr>
      </w:pPr>
      <w:r w:rsidRPr="00D54004">
        <w:rPr>
          <w:b/>
        </w:rPr>
        <w:t>Hall 6</w:t>
      </w:r>
      <w:r w:rsidRPr="00D54004">
        <w:rPr>
          <w:sz w:val="12"/>
        </w:rPr>
        <w:t xml:space="preserve"> (Kurt D., “Near Space: Should Air Force Space Command Take Control of Its Shore?” </w:t>
      </w:r>
      <w:r w:rsidRPr="00D54004">
        <w:rPr>
          <w:color w:val="000000"/>
          <w:sz w:val="12"/>
        </w:rPr>
        <w:t>http://www.au.af.mil/au/awc/awcgate/maxwell/mp38.pdf</w:t>
      </w:r>
      <w:r w:rsidRPr="00D54004">
        <w:rPr>
          <w:sz w:val="12"/>
        </w:rPr>
        <w:t>, mat)</w:t>
      </w:r>
    </w:p>
    <w:p w:rsidR="0090009A" w:rsidRPr="00D54004" w:rsidRDefault="0090009A" w:rsidP="0090009A">
      <w:pPr>
        <w:rPr>
          <w:sz w:val="12"/>
        </w:rPr>
      </w:pPr>
    </w:p>
    <w:p w:rsidR="0090009A" w:rsidRPr="00D54004" w:rsidRDefault="0090009A" w:rsidP="0090009A">
      <w:pPr>
        <w:rPr>
          <w:sz w:val="12"/>
        </w:rPr>
      </w:pPr>
      <w:r w:rsidRPr="00D54004">
        <w:rPr>
          <w:sz w:val="12"/>
        </w:rPr>
        <w:t xml:space="preserve">Despite its smaller radar cross section, an airship possesses a distinctive infrared signature due to the high temperature of the skin and internal gases. Moreover, normal communications broadcasting or surveillance-radar emissions produce radio-frequency signatures. If the design drives the operating ceiling to 65,000 feet, Russian SA-5, SA-10, SA-12, SA-20, and Chinese MIM-104 2000 missiles could reach these vehicles. Although tests show that a small, </w:t>
      </w:r>
      <w:proofErr w:type="spellStart"/>
      <w:r w:rsidRPr="00D54004">
        <w:rPr>
          <w:sz w:val="12"/>
        </w:rPr>
        <w:t>nonrigid</w:t>
      </w:r>
      <w:proofErr w:type="spellEnd"/>
      <w:r w:rsidRPr="00D54004">
        <w:rPr>
          <w:sz w:val="12"/>
        </w:rPr>
        <w:t xml:space="preserve"> airship could withstand numerous bullet holes and perform a controlled landing, the design requires sufﬁcient strength to prevent “unzipping” or a tear propagating across the fabric.</w:t>
      </w:r>
    </w:p>
    <w:p w:rsidR="003301BE" w:rsidRPr="00D54004" w:rsidRDefault="003301BE" w:rsidP="0090009A">
      <w:pPr>
        <w:rPr>
          <w:sz w:val="12"/>
        </w:rPr>
      </w:pPr>
    </w:p>
    <w:p w:rsidR="0090009A" w:rsidRPr="00D54004" w:rsidRDefault="0090009A" w:rsidP="0090009A">
      <w:pPr>
        <w:rPr>
          <w:b/>
        </w:rPr>
      </w:pPr>
      <w:r w:rsidRPr="00D54004">
        <w:rPr>
          <w:b/>
        </w:rPr>
        <w:t>Space is superior</w:t>
      </w:r>
    </w:p>
    <w:p w:rsidR="0090009A" w:rsidRPr="00D54004" w:rsidRDefault="0090009A" w:rsidP="0090009A">
      <w:pPr>
        <w:rPr>
          <w:sz w:val="12"/>
        </w:rPr>
      </w:pPr>
      <w:r w:rsidRPr="00D54004">
        <w:rPr>
          <w:b/>
        </w:rPr>
        <w:t>JFSC 9</w:t>
      </w:r>
      <w:r w:rsidRPr="00D54004">
        <w:rPr>
          <w:sz w:val="12"/>
        </w:rPr>
        <w:t xml:space="preserve"> (1/23, Joint Forces Staff College, “Space Operations,” </w:t>
      </w:r>
      <w:r w:rsidRPr="00D54004">
        <w:rPr>
          <w:color w:val="000000"/>
          <w:sz w:val="12"/>
        </w:rPr>
        <w:t>http://blackboard.jfsc.ndu.edu/ajpme_lessons/lesson57/s057/sco060/s057_sco060_003.html</w:t>
      </w:r>
      <w:r w:rsidRPr="00D54004">
        <w:rPr>
          <w:sz w:val="12"/>
        </w:rPr>
        <w:t>, mat)</w:t>
      </w:r>
    </w:p>
    <w:p w:rsidR="0090009A" w:rsidRPr="00D54004" w:rsidRDefault="0090009A" w:rsidP="0090009A">
      <w:pPr>
        <w:rPr>
          <w:sz w:val="12"/>
        </w:rPr>
      </w:pPr>
    </w:p>
    <w:p w:rsidR="0090009A" w:rsidRPr="00D54004" w:rsidRDefault="0090009A" w:rsidP="0090009A">
      <w:pPr>
        <w:rPr>
          <w:sz w:val="12"/>
        </w:rPr>
      </w:pPr>
      <w:r w:rsidRPr="00D54004">
        <w:rPr>
          <w:sz w:val="12"/>
        </w:rPr>
        <w:t xml:space="preserve">Space systems provide the ultimate high ground without </w:t>
      </w:r>
      <w:proofErr w:type="spellStart"/>
      <w:r w:rsidRPr="00D54004">
        <w:rPr>
          <w:sz w:val="12"/>
        </w:rPr>
        <w:t>overflight</w:t>
      </w:r>
      <w:proofErr w:type="spellEnd"/>
      <w:r w:rsidRPr="00D54004">
        <w:rPr>
          <w:sz w:val="12"/>
        </w:rPr>
        <w:t xml:space="preserve"> restrictions. There are no geographical boundaries or physical obstructions. Therefore, space affords military forces global access and extensive advantage. The operational use of space is generally from 90 to 22,300 miles above the surface of the earth. The 1967 International Space Treaty dictates that satellites on orbit must be allowed free passage over countries. Nations cannot claim the space above them as their own, as they can the airspace. This allows the United States, other countries, and commercial entities to orbit satellites that freely traverse or occupy space. Global access is one of the key advantages that space forces offer. Most spacecraft can serve multiple combatant commanders and/or users around the world simultaneously (e.g., missile warning satellites).</w:t>
      </w:r>
    </w:p>
    <w:p w:rsidR="0090009A" w:rsidRPr="00D54004" w:rsidRDefault="0090009A" w:rsidP="0090009A">
      <w:pPr>
        <w:rPr>
          <w:sz w:val="12"/>
        </w:rPr>
      </w:pPr>
    </w:p>
    <w:sectPr w:rsidR="0090009A" w:rsidRPr="00D54004"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69C" w:rsidRDefault="0086469C" w:rsidP="00261634">
      <w:r>
        <w:separator/>
      </w:r>
    </w:p>
  </w:endnote>
  <w:endnote w:type="continuationSeparator" w:id="0">
    <w:p w:rsidR="0086469C" w:rsidRDefault="0086469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69C" w:rsidRDefault="0086469C" w:rsidP="00261634">
      <w:r>
        <w:separator/>
      </w:r>
    </w:p>
  </w:footnote>
  <w:footnote w:type="continuationSeparator" w:id="0">
    <w:p w:rsidR="0086469C" w:rsidRDefault="0086469C"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A0F" w:rsidRDefault="00443A0F" w:rsidP="00443A0F">
    <w:pPr>
      <w:pStyle w:val="PageHeaderLine1"/>
    </w:pPr>
    <w:r>
      <w:tab/>
      <w:t xml:space="preserve"> SM Debate '11</w:t>
    </w:r>
  </w:p>
  <w:p w:rsidR="00443A0F" w:rsidRPr="00443A0F" w:rsidRDefault="00443A0F" w:rsidP="00443A0F">
    <w:pPr>
      <w:pStyle w:val="PageHeaderLine2"/>
    </w:pPr>
    <w:r>
      <w:fldChar w:fldCharType="begin"/>
    </w:r>
    <w:r>
      <w:instrText xml:space="preserve"> PAGE  \* MERGEFORMAT </w:instrText>
    </w:r>
    <w:r>
      <w:fldChar w:fldCharType="separate"/>
    </w:r>
    <w:r w:rsidR="00FE2BFD">
      <w:rPr>
        <w:noProof/>
      </w:rPr>
      <w:t>1</w:t>
    </w:r>
    <w:r>
      <w:fldChar w:fldCharType="end"/>
    </w:r>
    <w:r>
      <w:t>/</w:t>
    </w:r>
    <w:fldSimple w:instr=" NUMPAGES  \* MERGEFORMAT ">
      <w:r w:rsidR="00FE2BFD">
        <w:rPr>
          <w:noProof/>
        </w:rPr>
        <w:t>1</w:t>
      </w:r>
    </w:fldSimple>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87"/>
    <w:rsid w:val="00000B0C"/>
    <w:rsid w:val="00002D07"/>
    <w:rsid w:val="00006718"/>
    <w:rsid w:val="0001173E"/>
    <w:rsid w:val="00013A2C"/>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121D"/>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1B61"/>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6AF"/>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01BE"/>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3A0F"/>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29E3"/>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5745"/>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77887"/>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36042"/>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5EC"/>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69C"/>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09A"/>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4D3D"/>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4FD2"/>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400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366"/>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FD"/>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A29E3"/>
    <w:rPr>
      <w:rFonts w:ascii="Georgia" w:hAnsi="Georgia" w:cs="Times New Roman"/>
    </w:rPr>
  </w:style>
  <w:style w:type="paragraph" w:styleId="Heading1">
    <w:name w:val="heading 1"/>
    <w:basedOn w:val="Normal"/>
    <w:next w:val="Normal"/>
    <w:link w:val="Heading1Char"/>
    <w:uiPriority w:val="9"/>
    <w:qFormat/>
    <w:rsid w:val="004A29E3"/>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4A29E3"/>
    <w:pPr>
      <w:outlineLvl w:val="1"/>
    </w:pPr>
  </w:style>
  <w:style w:type="character" w:default="1" w:styleId="DefaultParagraphFont">
    <w:name w:val="Default Paragraph Font"/>
    <w:uiPriority w:val="1"/>
    <w:unhideWhenUsed/>
    <w:rsid w:val="004A29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29E3"/>
  </w:style>
  <w:style w:type="character" w:customStyle="1" w:styleId="Heading1Char">
    <w:name w:val="Heading 1 Char"/>
    <w:link w:val="Heading1"/>
    <w:uiPriority w:val="9"/>
    <w:rsid w:val="004A29E3"/>
    <w:rPr>
      <w:rFonts w:ascii="Georgia" w:eastAsia="Times New Roman" w:hAnsi="Georgia"/>
      <w:b/>
      <w:bCs/>
      <w:sz w:val="28"/>
      <w:szCs w:val="28"/>
      <w:u w:val="single"/>
    </w:rPr>
  </w:style>
  <w:style w:type="paragraph" w:styleId="DocumentMap">
    <w:name w:val="Document Map"/>
    <w:basedOn w:val="Normal"/>
    <w:link w:val="DocumentMapChar"/>
    <w:semiHidden/>
    <w:rsid w:val="004A29E3"/>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4A29E3"/>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4A29E3"/>
    <w:rPr>
      <w:rFonts w:ascii="Georgia" w:eastAsia="Times New Roman" w:hAnsi="Georgia"/>
      <w:b/>
      <w:bCs/>
      <w:sz w:val="28"/>
      <w:szCs w:val="28"/>
      <w:u w:val="single"/>
    </w:rPr>
  </w:style>
  <w:style w:type="character" w:styleId="Hyperlink">
    <w:name w:val="Hyperlink"/>
    <w:basedOn w:val="DefaultParagraphFont"/>
    <w:rsid w:val="004A29E3"/>
    <w:rPr>
      <w:color w:val="auto"/>
      <w:u w:val="none"/>
    </w:rPr>
  </w:style>
  <w:style w:type="paragraph" w:styleId="Header">
    <w:name w:val="header"/>
    <w:basedOn w:val="Normal"/>
    <w:link w:val="HeaderChar"/>
    <w:uiPriority w:val="99"/>
    <w:unhideWhenUsed/>
    <w:rsid w:val="004A29E3"/>
    <w:pPr>
      <w:tabs>
        <w:tab w:val="center" w:pos="4680"/>
        <w:tab w:val="right" w:pos="9360"/>
      </w:tabs>
    </w:pPr>
  </w:style>
  <w:style w:type="character" w:customStyle="1" w:styleId="HeaderChar">
    <w:name w:val="Header Char"/>
    <w:basedOn w:val="DefaultParagraphFont"/>
    <w:link w:val="Header"/>
    <w:uiPriority w:val="99"/>
    <w:rsid w:val="004A29E3"/>
    <w:rPr>
      <w:rFonts w:ascii="Georgia" w:hAnsi="Georgia" w:cs="Times New Roman"/>
    </w:rPr>
  </w:style>
  <w:style w:type="paragraph" w:customStyle="1" w:styleId="Default">
    <w:name w:val="Default"/>
    <w:basedOn w:val="Normal"/>
    <w:rsid w:val="004A29E3"/>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4A29E3"/>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4A29E3"/>
  </w:style>
  <w:style w:type="character" w:customStyle="1" w:styleId="Underline">
    <w:name w:val="Underline"/>
    <w:basedOn w:val="DefaultParagraphFont"/>
    <w:uiPriority w:val="1"/>
    <w:qFormat/>
    <w:rsid w:val="004A29E3"/>
    <w:rPr>
      <w:u w:val="single"/>
    </w:rPr>
  </w:style>
  <w:style w:type="paragraph" w:styleId="Footer">
    <w:name w:val="footer"/>
    <w:basedOn w:val="Normal"/>
    <w:link w:val="FooterChar"/>
    <w:uiPriority w:val="99"/>
    <w:unhideWhenUsed/>
    <w:rsid w:val="004A29E3"/>
    <w:pPr>
      <w:tabs>
        <w:tab w:val="center" w:pos="4680"/>
        <w:tab w:val="right" w:pos="9360"/>
      </w:tabs>
    </w:pPr>
  </w:style>
  <w:style w:type="character" w:customStyle="1" w:styleId="FooterChar">
    <w:name w:val="Footer Char"/>
    <w:basedOn w:val="DefaultParagraphFont"/>
    <w:link w:val="Footer"/>
    <w:uiPriority w:val="99"/>
    <w:rsid w:val="004A29E3"/>
    <w:rPr>
      <w:rFonts w:ascii="Georgia" w:hAnsi="Georgia" w:cs="Times New Roman"/>
    </w:rPr>
  </w:style>
  <w:style w:type="paragraph" w:styleId="List">
    <w:name w:val="List"/>
    <w:basedOn w:val="Normal"/>
    <w:uiPriority w:val="99"/>
    <w:semiHidden/>
    <w:unhideWhenUsed/>
    <w:rsid w:val="004A29E3"/>
    <w:pPr>
      <w:contextualSpacing/>
    </w:pPr>
  </w:style>
  <w:style w:type="paragraph" w:customStyle="1" w:styleId="PageHeaderLine1">
    <w:name w:val="PageHeaderLine1"/>
    <w:basedOn w:val="Normal"/>
    <w:rsid w:val="004A29E3"/>
    <w:pPr>
      <w:tabs>
        <w:tab w:val="right" w:pos="10800"/>
      </w:tabs>
    </w:pPr>
    <w:rPr>
      <w:b/>
    </w:rPr>
  </w:style>
  <w:style w:type="paragraph" w:customStyle="1" w:styleId="PageHeaderLine2">
    <w:name w:val="PageHeaderLine2"/>
    <w:basedOn w:val="Normal"/>
    <w:next w:val="Normal"/>
    <w:rsid w:val="004A29E3"/>
    <w:pPr>
      <w:tabs>
        <w:tab w:val="right" w:pos="10800"/>
      </w:tabs>
      <w:spacing w:line="480" w:lineRule="auto"/>
    </w:pPr>
    <w:rPr>
      <w:b/>
    </w:rPr>
  </w:style>
  <w:style w:type="paragraph" w:styleId="TOC1">
    <w:name w:val="toc 1"/>
    <w:basedOn w:val="Normal"/>
    <w:next w:val="Normal"/>
    <w:autoRedefine/>
    <w:uiPriority w:val="39"/>
    <w:semiHidden/>
    <w:unhideWhenUsed/>
    <w:rsid w:val="004A29E3"/>
  </w:style>
  <w:style w:type="paragraph" w:styleId="TOC4">
    <w:name w:val="toc 4"/>
    <w:basedOn w:val="Normal"/>
    <w:next w:val="Normal"/>
    <w:autoRedefine/>
    <w:uiPriority w:val="39"/>
    <w:semiHidden/>
    <w:unhideWhenUsed/>
    <w:rsid w:val="004A29E3"/>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A29E3"/>
    <w:rPr>
      <w:rFonts w:ascii="Georgia" w:hAnsi="Georgia" w:cs="Times New Roman"/>
    </w:rPr>
  </w:style>
  <w:style w:type="paragraph" w:styleId="Heading1">
    <w:name w:val="heading 1"/>
    <w:basedOn w:val="Normal"/>
    <w:next w:val="Normal"/>
    <w:link w:val="Heading1Char"/>
    <w:uiPriority w:val="9"/>
    <w:qFormat/>
    <w:rsid w:val="004A29E3"/>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4A29E3"/>
    <w:pPr>
      <w:outlineLvl w:val="1"/>
    </w:pPr>
  </w:style>
  <w:style w:type="character" w:default="1" w:styleId="DefaultParagraphFont">
    <w:name w:val="Default Paragraph Font"/>
    <w:uiPriority w:val="1"/>
    <w:unhideWhenUsed/>
    <w:rsid w:val="004A29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29E3"/>
  </w:style>
  <w:style w:type="character" w:customStyle="1" w:styleId="Heading1Char">
    <w:name w:val="Heading 1 Char"/>
    <w:link w:val="Heading1"/>
    <w:uiPriority w:val="9"/>
    <w:rsid w:val="004A29E3"/>
    <w:rPr>
      <w:rFonts w:ascii="Georgia" w:eastAsia="Times New Roman" w:hAnsi="Georgia"/>
      <w:b/>
      <w:bCs/>
      <w:sz w:val="28"/>
      <w:szCs w:val="28"/>
      <w:u w:val="single"/>
    </w:rPr>
  </w:style>
  <w:style w:type="paragraph" w:styleId="DocumentMap">
    <w:name w:val="Document Map"/>
    <w:basedOn w:val="Normal"/>
    <w:link w:val="DocumentMapChar"/>
    <w:semiHidden/>
    <w:rsid w:val="004A29E3"/>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4A29E3"/>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4A29E3"/>
    <w:rPr>
      <w:rFonts w:ascii="Georgia" w:eastAsia="Times New Roman" w:hAnsi="Georgia"/>
      <w:b/>
      <w:bCs/>
      <w:sz w:val="28"/>
      <w:szCs w:val="28"/>
      <w:u w:val="single"/>
    </w:rPr>
  </w:style>
  <w:style w:type="character" w:styleId="Hyperlink">
    <w:name w:val="Hyperlink"/>
    <w:basedOn w:val="DefaultParagraphFont"/>
    <w:rsid w:val="004A29E3"/>
    <w:rPr>
      <w:color w:val="auto"/>
      <w:u w:val="none"/>
    </w:rPr>
  </w:style>
  <w:style w:type="paragraph" w:styleId="Header">
    <w:name w:val="header"/>
    <w:basedOn w:val="Normal"/>
    <w:link w:val="HeaderChar"/>
    <w:uiPriority w:val="99"/>
    <w:unhideWhenUsed/>
    <w:rsid w:val="004A29E3"/>
    <w:pPr>
      <w:tabs>
        <w:tab w:val="center" w:pos="4680"/>
        <w:tab w:val="right" w:pos="9360"/>
      </w:tabs>
    </w:pPr>
  </w:style>
  <w:style w:type="character" w:customStyle="1" w:styleId="HeaderChar">
    <w:name w:val="Header Char"/>
    <w:basedOn w:val="DefaultParagraphFont"/>
    <w:link w:val="Header"/>
    <w:uiPriority w:val="99"/>
    <w:rsid w:val="004A29E3"/>
    <w:rPr>
      <w:rFonts w:ascii="Georgia" w:hAnsi="Georgia" w:cs="Times New Roman"/>
    </w:rPr>
  </w:style>
  <w:style w:type="paragraph" w:customStyle="1" w:styleId="Default">
    <w:name w:val="Default"/>
    <w:basedOn w:val="Normal"/>
    <w:rsid w:val="004A29E3"/>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4A29E3"/>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4A29E3"/>
  </w:style>
  <w:style w:type="character" w:customStyle="1" w:styleId="Underline">
    <w:name w:val="Underline"/>
    <w:basedOn w:val="DefaultParagraphFont"/>
    <w:uiPriority w:val="1"/>
    <w:qFormat/>
    <w:rsid w:val="004A29E3"/>
    <w:rPr>
      <w:u w:val="single"/>
    </w:rPr>
  </w:style>
  <w:style w:type="paragraph" w:styleId="Footer">
    <w:name w:val="footer"/>
    <w:basedOn w:val="Normal"/>
    <w:link w:val="FooterChar"/>
    <w:uiPriority w:val="99"/>
    <w:unhideWhenUsed/>
    <w:rsid w:val="004A29E3"/>
    <w:pPr>
      <w:tabs>
        <w:tab w:val="center" w:pos="4680"/>
        <w:tab w:val="right" w:pos="9360"/>
      </w:tabs>
    </w:pPr>
  </w:style>
  <w:style w:type="character" w:customStyle="1" w:styleId="FooterChar">
    <w:name w:val="Footer Char"/>
    <w:basedOn w:val="DefaultParagraphFont"/>
    <w:link w:val="Footer"/>
    <w:uiPriority w:val="99"/>
    <w:rsid w:val="004A29E3"/>
    <w:rPr>
      <w:rFonts w:ascii="Georgia" w:hAnsi="Georgia" w:cs="Times New Roman"/>
    </w:rPr>
  </w:style>
  <w:style w:type="paragraph" w:styleId="List">
    <w:name w:val="List"/>
    <w:basedOn w:val="Normal"/>
    <w:uiPriority w:val="99"/>
    <w:semiHidden/>
    <w:unhideWhenUsed/>
    <w:rsid w:val="004A29E3"/>
    <w:pPr>
      <w:contextualSpacing/>
    </w:pPr>
  </w:style>
  <w:style w:type="paragraph" w:customStyle="1" w:styleId="PageHeaderLine1">
    <w:name w:val="PageHeaderLine1"/>
    <w:basedOn w:val="Normal"/>
    <w:rsid w:val="004A29E3"/>
    <w:pPr>
      <w:tabs>
        <w:tab w:val="right" w:pos="10800"/>
      </w:tabs>
    </w:pPr>
    <w:rPr>
      <w:b/>
    </w:rPr>
  </w:style>
  <w:style w:type="paragraph" w:customStyle="1" w:styleId="PageHeaderLine2">
    <w:name w:val="PageHeaderLine2"/>
    <w:basedOn w:val="Normal"/>
    <w:next w:val="Normal"/>
    <w:rsid w:val="004A29E3"/>
    <w:pPr>
      <w:tabs>
        <w:tab w:val="right" w:pos="10800"/>
      </w:tabs>
      <w:spacing w:line="480" w:lineRule="auto"/>
    </w:pPr>
    <w:rPr>
      <w:b/>
    </w:rPr>
  </w:style>
  <w:style w:type="paragraph" w:styleId="TOC1">
    <w:name w:val="toc 1"/>
    <w:basedOn w:val="Normal"/>
    <w:next w:val="Normal"/>
    <w:autoRedefine/>
    <w:uiPriority w:val="39"/>
    <w:semiHidden/>
    <w:unhideWhenUsed/>
    <w:rsid w:val="004A29E3"/>
  </w:style>
  <w:style w:type="paragraph" w:styleId="TOC4">
    <w:name w:val="toc 4"/>
    <w:basedOn w:val="Normal"/>
    <w:next w:val="Normal"/>
    <w:autoRedefine/>
    <w:uiPriority w:val="39"/>
    <w:semiHidden/>
    <w:unhideWhenUsed/>
    <w:rsid w:val="004A29E3"/>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2202">
      <w:bodyDiv w:val="1"/>
      <w:marLeft w:val="0"/>
      <w:marRight w:val="0"/>
      <w:marTop w:val="0"/>
      <w:marBottom w:val="0"/>
      <w:divBdr>
        <w:top w:val="none" w:sz="0" w:space="0" w:color="auto"/>
        <w:left w:val="none" w:sz="0" w:space="0" w:color="auto"/>
        <w:bottom w:val="none" w:sz="0" w:space="0" w:color="auto"/>
        <w:right w:val="none" w:sz="0" w:space="0" w:color="auto"/>
      </w:divBdr>
    </w:div>
    <w:div w:id="757142772">
      <w:bodyDiv w:val="1"/>
      <w:marLeft w:val="0"/>
      <w:marRight w:val="0"/>
      <w:marTop w:val="0"/>
      <w:marBottom w:val="0"/>
      <w:divBdr>
        <w:top w:val="none" w:sz="0" w:space="0" w:color="auto"/>
        <w:left w:val="none" w:sz="0" w:space="0" w:color="auto"/>
        <w:bottom w:val="none" w:sz="0" w:space="0" w:color="auto"/>
        <w:right w:val="none" w:sz="0" w:space="0" w:color="auto"/>
      </w:divBdr>
    </w:div>
    <w:div w:id="798501133">
      <w:bodyDiv w:val="1"/>
      <w:marLeft w:val="0"/>
      <w:marRight w:val="0"/>
      <w:marTop w:val="0"/>
      <w:marBottom w:val="0"/>
      <w:divBdr>
        <w:top w:val="none" w:sz="0" w:space="0" w:color="auto"/>
        <w:left w:val="none" w:sz="0" w:space="0" w:color="auto"/>
        <w:bottom w:val="none" w:sz="0" w:space="0" w:color="auto"/>
        <w:right w:val="none" w:sz="0" w:space="0" w:color="auto"/>
      </w:divBdr>
    </w:div>
    <w:div w:id="1072238838">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7668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ookings.edu/views/papers/200612kalil.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3915</Words>
  <Characters>22317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26180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5</cp:revision>
  <dcterms:created xsi:type="dcterms:W3CDTF">2011-09-28T14:05:00Z</dcterms:created>
  <dcterms:modified xsi:type="dcterms:W3CDTF">2011-09-28T14:34:00Z</dcterms:modified>
</cp:coreProperties>
</file>