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602" w:rsidRPr="00593602" w:rsidRDefault="00593602" w:rsidP="00593602">
      <w:pPr>
        <w:contextualSpacing/>
        <w:rPr>
          <w:rFonts w:cs="Times New Roman"/>
        </w:rPr>
      </w:pPr>
      <w:r w:rsidRPr="00593602">
        <w:rPr>
          <w:rFonts w:cs="Times New Roman"/>
        </w:rPr>
        <w:t>I affirm and</w:t>
      </w:r>
      <w:r>
        <w:t xml:space="preserve"> value morality as per ought</w:t>
      </w:r>
      <w:r w:rsidR="00035621">
        <w:t xml:space="preserve">, which means moral obligation. </w:t>
      </w:r>
      <w:r w:rsidR="00035621" w:rsidRPr="00035621">
        <w:t>Obligation is</w:t>
      </w:r>
      <w:r w:rsidR="00115177">
        <w:t xml:space="preserve"> the</w:t>
      </w:r>
      <w:r w:rsidR="00035621" w:rsidRPr="00035621">
        <w:t xml:space="preserve"> converse of impermissibility, so showing that not doing </w:t>
      </w:r>
      <w:r w:rsidR="005B0A88">
        <w:t xml:space="preserve">the </w:t>
      </w:r>
      <w:proofErr w:type="spellStart"/>
      <w:r w:rsidR="005B0A88">
        <w:t>resolutional</w:t>
      </w:r>
      <w:proofErr w:type="spellEnd"/>
      <w:r w:rsidR="005B0A88">
        <w:t xml:space="preserve"> action</w:t>
      </w:r>
      <w:r w:rsidR="00035621" w:rsidRPr="00035621">
        <w:t xml:space="preserve"> is impermissible is sufficient</w:t>
      </w:r>
      <w:r w:rsidR="00035621">
        <w:t xml:space="preserve"> to affirm</w:t>
      </w:r>
      <w:r w:rsidR="00035621" w:rsidRPr="00035621">
        <w:t>.</w:t>
      </w:r>
    </w:p>
    <w:p w:rsidR="00593602" w:rsidRDefault="00593602" w:rsidP="00593602"/>
    <w:p w:rsidR="00035621" w:rsidRDefault="00AE01B7" w:rsidP="00593602">
      <w:r>
        <w:t>[Logical, non-theoretical, analytical</w:t>
      </w:r>
      <w:r w:rsidR="00035621">
        <w:t xml:space="preserve"> preempts to</w:t>
      </w:r>
      <w:r w:rsidR="004669E8">
        <w:t xml:space="preserve"> anticipated negative positions;</w:t>
      </w:r>
      <w:r w:rsidR="00035621">
        <w:t xml:space="preserve"> depends on the round.]</w:t>
      </w:r>
    </w:p>
    <w:p w:rsidR="00593602" w:rsidRPr="00593602" w:rsidRDefault="00593602" w:rsidP="00593602"/>
    <w:p w:rsidR="00593602" w:rsidRPr="00593602" w:rsidRDefault="00593602" w:rsidP="00593602">
      <w:pPr>
        <w:keepNext/>
        <w:keepLines/>
        <w:contextualSpacing/>
        <w:outlineLvl w:val="1"/>
        <w:rPr>
          <w:rFonts w:eastAsiaTheme="majorEastAsia" w:cs="Times New Roman"/>
          <w:bCs/>
        </w:rPr>
      </w:pPr>
      <w:r w:rsidRPr="00593602">
        <w:rPr>
          <w:rFonts w:eastAsiaTheme="majorEastAsia" w:cs="Times New Roman"/>
          <w:b/>
          <w:bCs/>
        </w:rPr>
        <w:t>The sovereign has the implicit power to declare itself outside the law, to create an exception that cannot be subsumed by any other. This gives them the freedom to create or break any law they desire.</w:t>
      </w:r>
      <w:r w:rsidRPr="00593602">
        <w:rPr>
          <w:rFonts w:eastAsiaTheme="majorEastAsia" w:cs="Times New Roman"/>
          <w:bCs/>
        </w:rPr>
        <w:t xml:space="preserve"> </w:t>
      </w:r>
      <w:r w:rsidRPr="00593602">
        <w:rPr>
          <w:rFonts w:eastAsiaTheme="majorEastAsia" w:cs="Times New Roman"/>
          <w:bCs/>
          <w:i/>
        </w:rPr>
        <w:t>When the state condemns actions by rule of law but claims exemption from them, it enters the state of exception.</w:t>
      </w:r>
    </w:p>
    <w:p w:rsidR="00593602" w:rsidRPr="00593602" w:rsidRDefault="00593602" w:rsidP="00593602">
      <w:pPr>
        <w:widowControl w:val="0"/>
        <w:autoSpaceDE w:val="0"/>
        <w:autoSpaceDN w:val="0"/>
        <w:adjustRightInd w:val="0"/>
        <w:contextualSpacing/>
        <w:rPr>
          <w:rFonts w:eastAsia="Cambria" w:cs="Times New Roman"/>
        </w:rPr>
      </w:pPr>
      <w:r w:rsidRPr="00593602">
        <w:rPr>
          <w:rFonts w:eastAsiaTheme="majorEastAsia" w:cs="Times New Roman"/>
          <w:b/>
          <w:bCs/>
        </w:rPr>
        <w:t xml:space="preserve">Giorgio </w:t>
      </w:r>
      <w:proofErr w:type="spellStart"/>
      <w:r w:rsidRPr="00593602">
        <w:rPr>
          <w:rFonts w:eastAsiaTheme="majorEastAsia" w:cs="Times New Roman"/>
          <w:b/>
          <w:bCs/>
        </w:rPr>
        <w:t>Agamben</w:t>
      </w:r>
      <w:proofErr w:type="spellEnd"/>
      <w:r w:rsidRPr="00593602">
        <w:rPr>
          <w:rFonts w:eastAsiaTheme="majorEastAsia" w:cs="Times New Roman"/>
          <w:bCs/>
          <w:vertAlign w:val="superscript"/>
        </w:rPr>
        <w:footnoteReference w:id="1"/>
      </w:r>
      <w:r w:rsidRPr="00593602">
        <w:rPr>
          <w:rFonts w:eastAsiaTheme="majorEastAsia" w:cs="Times New Roman"/>
          <w:b/>
          <w:bCs/>
        </w:rPr>
        <w:t xml:space="preserve"> explains,</w:t>
      </w:r>
    </w:p>
    <w:p w:rsidR="00593602" w:rsidRPr="00593602" w:rsidRDefault="00593602" w:rsidP="00593602">
      <w:pPr>
        <w:widowControl w:val="0"/>
        <w:pBdr>
          <w:top w:val="single" w:sz="4" w:space="1" w:color="auto"/>
          <w:left w:val="single" w:sz="4" w:space="4"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rPr>
          <w:rFonts w:eastAsiaTheme="majorEastAsia" w:cs="Times New Roman"/>
          <w:sz w:val="12"/>
          <w:szCs w:val="12"/>
        </w:rPr>
      </w:pPr>
      <w:r w:rsidRPr="00593602">
        <w:rPr>
          <w:rFonts w:eastAsia="Cambria" w:cs="Times New Roman"/>
          <w:u w:val="single"/>
        </w:rPr>
        <w:t>The paradox of sovereignty</w:t>
      </w:r>
      <w:r>
        <w:rPr>
          <w:rFonts w:eastAsia="Cambria" w:cs="Times New Roman"/>
        </w:rPr>
        <w:t xml:space="preserve"> . . . </w:t>
      </w:r>
      <w:r w:rsidRPr="00593602">
        <w:rPr>
          <w:rFonts w:eastAsiaTheme="majorEastAsia" w:cs="Times New Roman"/>
          <w:sz w:val="12"/>
          <w:szCs w:val="12"/>
        </w:rPr>
        <w:t xml:space="preserve"> paradox is grasped.</w:t>
      </w:r>
    </w:p>
    <w:p w:rsidR="00593602" w:rsidRPr="00593602" w:rsidRDefault="00593602" w:rsidP="00593602">
      <w:pPr>
        <w:widowControl w:val="0"/>
        <w:pBdr>
          <w:left w:val="single" w:sz="4" w:space="4" w:color="auto"/>
          <w:bottom w:val="single" w:sz="4" w:space="1" w:color="auto"/>
          <w:right w:val="single" w:sz="4" w:space="4" w:color="auto"/>
          <w:between w:val="single" w:sz="4" w:space="1" w:color="auto"/>
          <w:bar w:val="single" w:sz="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rPr>
          <w:rFonts w:eastAsia="Cambria" w:cs="Times New Roman"/>
          <w:sz w:val="12"/>
        </w:rPr>
      </w:pPr>
      <w:r w:rsidRPr="00593602">
        <w:rPr>
          <w:rFonts w:eastAsiaTheme="majorEastAsia" w:cs="Times New Roman"/>
          <w:sz w:val="12"/>
          <w:szCs w:val="12"/>
        </w:rPr>
        <w:t xml:space="preserve">It has often </w:t>
      </w:r>
      <w:r w:rsidRPr="00593602">
        <w:t xml:space="preserve">. . . </w:t>
      </w:r>
      <w:r w:rsidRPr="00593602">
        <w:rPr>
          <w:rFonts w:eastAsiaTheme="majorEastAsia" w:cs="Times New Roman"/>
          <w:sz w:val="12"/>
          <w:szCs w:val="12"/>
        </w:rPr>
        <w:t xml:space="preserve"> through its exclusion.</w:t>
      </w:r>
    </w:p>
    <w:p w:rsidR="00593602" w:rsidRPr="00593602" w:rsidRDefault="00593602" w:rsidP="00593602">
      <w:pPr>
        <w:contextualSpacing/>
        <w:rPr>
          <w:rFonts w:cs="Times New Roman"/>
        </w:rPr>
      </w:pPr>
      <w:r w:rsidRPr="00593602">
        <w:rPr>
          <w:rFonts w:cs="Times New Roman"/>
        </w:rPr>
        <w:t xml:space="preserve">With this in mind, the criterion is </w:t>
      </w:r>
      <w:r w:rsidRPr="00593602">
        <w:rPr>
          <w:rFonts w:cs="Times New Roman"/>
          <w:b/>
        </w:rPr>
        <w:t>minimizing the state of exception</w:t>
      </w:r>
      <w:r w:rsidRPr="00593602">
        <w:rPr>
          <w:rFonts w:cs="Times New Roman"/>
        </w:rPr>
        <w:t xml:space="preserve"> for </w:t>
      </w:r>
      <w:r w:rsidR="000B50ED">
        <w:rPr>
          <w:rFonts w:cs="Times New Roman"/>
        </w:rPr>
        <w:t>three</w:t>
      </w:r>
      <w:r w:rsidRPr="00593602">
        <w:rPr>
          <w:rFonts w:cs="Times New Roman"/>
        </w:rPr>
        <w:t xml:space="preserve"> reasons:</w:t>
      </w:r>
    </w:p>
    <w:p w:rsidR="00593602" w:rsidRDefault="00593602" w:rsidP="00593602">
      <w:pPr>
        <w:keepNext/>
        <w:keepLines/>
        <w:contextualSpacing/>
        <w:outlineLvl w:val="1"/>
        <w:rPr>
          <w:rFonts w:eastAsiaTheme="majorEastAsia" w:cs="Times New Roman"/>
          <w:b/>
          <w:bCs/>
        </w:rPr>
      </w:pPr>
    </w:p>
    <w:p w:rsidR="00593602" w:rsidRPr="00593602" w:rsidRDefault="00593602" w:rsidP="00593602">
      <w:pPr>
        <w:keepNext/>
        <w:keepLines/>
        <w:contextualSpacing/>
        <w:outlineLvl w:val="1"/>
        <w:rPr>
          <w:rFonts w:eastAsiaTheme="majorEastAsia" w:cs="Times New Roman"/>
          <w:bCs/>
        </w:rPr>
      </w:pPr>
      <w:r w:rsidRPr="00593602">
        <w:rPr>
          <w:rFonts w:eastAsiaTheme="majorEastAsia" w:cs="Times New Roman"/>
          <w:b/>
          <w:bCs/>
        </w:rPr>
        <w:t>First, the state of exception devalues life.</w:t>
      </w:r>
    </w:p>
    <w:p w:rsidR="00593602" w:rsidRPr="00593602" w:rsidRDefault="00593602" w:rsidP="00593602">
      <w:pPr>
        <w:widowControl w:val="0"/>
        <w:autoSpaceDE w:val="0"/>
        <w:autoSpaceDN w:val="0"/>
        <w:adjustRightInd w:val="0"/>
        <w:contextualSpacing/>
        <w:rPr>
          <w:rFonts w:eastAsia="Cambria" w:cs="Times New Roman"/>
        </w:rPr>
      </w:pPr>
      <w:proofErr w:type="spellStart"/>
      <w:r w:rsidRPr="00593602">
        <w:rPr>
          <w:rFonts w:eastAsia="Cambria" w:cs="Times New Roman"/>
          <w:b/>
        </w:rPr>
        <w:t>Agamben</w:t>
      </w:r>
      <w:proofErr w:type="spellEnd"/>
      <w:r w:rsidRPr="00593602">
        <w:rPr>
          <w:rFonts w:eastAsia="Cambria" w:cs="Times New Roman"/>
          <w:b/>
        </w:rPr>
        <w:t xml:space="preserve"> 2</w:t>
      </w:r>
      <w:r w:rsidRPr="00593602">
        <w:rPr>
          <w:rFonts w:eastAsia="Cambria" w:cs="Times New Roman"/>
          <w:vertAlign w:val="superscript"/>
        </w:rPr>
        <w:footnoteReference w:id="2"/>
      </w:r>
    </w:p>
    <w:p w:rsidR="00593602" w:rsidRPr="00593602" w:rsidRDefault="00593602" w:rsidP="00593602">
      <w:pPr>
        <w:pBdr>
          <w:top w:val="single" w:sz="4" w:space="1" w:color="auto"/>
          <w:left w:val="single" w:sz="4" w:space="4" w:color="auto"/>
          <w:right w:val="single" w:sz="4" w:space="4" w:color="auto"/>
          <w:between w:val="single" w:sz="4" w:space="1" w:color="auto"/>
          <w:bar w:val="single" w:sz="4" w:color="auto"/>
        </w:pBdr>
        <w:ind w:left="720"/>
        <w:contextualSpacing/>
        <w:rPr>
          <w:rFonts w:cs="Times New Roman"/>
          <w:u w:val="single"/>
        </w:rPr>
      </w:pPr>
      <w:r w:rsidRPr="00593602">
        <w:rPr>
          <w:rFonts w:eastAsiaTheme="majorEastAsia" w:cs="Times New Roman"/>
          <w:sz w:val="12"/>
          <w:szCs w:val="12"/>
        </w:rPr>
        <w:t xml:space="preserve">We have already </w:t>
      </w:r>
      <w:r w:rsidRPr="00593602">
        <w:t xml:space="preserve">. . . </w:t>
      </w:r>
      <w:r w:rsidRPr="00593602">
        <w:rPr>
          <w:rFonts w:cs="Times New Roman"/>
          <w:i/>
          <w:u w:val="single"/>
        </w:rPr>
        <w:t xml:space="preserve"> in this sphere.</w:t>
      </w:r>
    </w:p>
    <w:p w:rsidR="00593602" w:rsidRPr="00593602" w:rsidRDefault="00593602" w:rsidP="00593602">
      <w:pPr>
        <w:pBdr>
          <w:left w:val="single" w:sz="4" w:space="4" w:color="auto"/>
          <w:bottom w:val="single" w:sz="4" w:space="1" w:color="auto"/>
          <w:right w:val="single" w:sz="4" w:space="4" w:color="auto"/>
          <w:between w:val="single" w:sz="4" w:space="1" w:color="auto"/>
          <w:bar w:val="single" w:sz="4" w:color="auto"/>
        </w:pBdr>
        <w:ind w:left="720"/>
        <w:contextualSpacing/>
        <w:rPr>
          <w:rFonts w:cs="Times New Roman"/>
          <w:u w:val="single"/>
        </w:rPr>
      </w:pPr>
      <w:r w:rsidRPr="00593602">
        <w:rPr>
          <w:rFonts w:eastAsiaTheme="majorEastAsia" w:cs="Times New Roman"/>
          <w:sz w:val="12"/>
          <w:szCs w:val="12"/>
        </w:rPr>
        <w:t xml:space="preserve">It is therefore </w:t>
      </w:r>
      <w:r w:rsidRPr="00593602">
        <w:t xml:space="preserve">. . . </w:t>
      </w:r>
      <w:r w:rsidRPr="00593602">
        <w:rPr>
          <w:rFonts w:eastAsiaTheme="majorEastAsia" w:cstheme="majorBidi"/>
          <w:sz w:val="12"/>
          <w:szCs w:val="12"/>
        </w:rPr>
        <w:t xml:space="preserve"> relation of abandonment.</w:t>
      </w:r>
    </w:p>
    <w:p w:rsidR="000B50ED" w:rsidRDefault="000B50ED" w:rsidP="00593602">
      <w:pPr>
        <w:keepNext/>
        <w:keepLines/>
        <w:contextualSpacing/>
        <w:outlineLvl w:val="1"/>
        <w:rPr>
          <w:rFonts w:eastAsiaTheme="majorEastAsia" w:cs="Times New Roman"/>
          <w:b/>
          <w:bCs/>
        </w:rPr>
      </w:pPr>
    </w:p>
    <w:p w:rsidR="00593602" w:rsidRPr="00593602" w:rsidRDefault="00593602" w:rsidP="00593602">
      <w:pPr>
        <w:keepNext/>
        <w:keepLines/>
        <w:contextualSpacing/>
        <w:outlineLvl w:val="1"/>
        <w:rPr>
          <w:rFonts w:eastAsiaTheme="majorEastAsia" w:cs="Times New Roman"/>
          <w:b/>
          <w:bCs/>
        </w:rPr>
      </w:pPr>
      <w:r w:rsidRPr="00593602">
        <w:rPr>
          <w:rFonts w:eastAsiaTheme="majorEastAsia" w:cs="Times New Roman"/>
          <w:b/>
          <w:bCs/>
        </w:rPr>
        <w:t>Second, the state of exception is the logic of the camp.</w:t>
      </w:r>
    </w:p>
    <w:p w:rsidR="00593602" w:rsidRPr="00593602" w:rsidRDefault="00593602" w:rsidP="00593602">
      <w:pPr>
        <w:contextualSpacing/>
        <w:rPr>
          <w:rFonts w:eastAsia="Calibri" w:cs="Times New Roman"/>
          <w:szCs w:val="22"/>
        </w:rPr>
      </w:pPr>
      <w:proofErr w:type="spellStart"/>
      <w:r w:rsidRPr="00593602">
        <w:rPr>
          <w:rFonts w:eastAsiaTheme="majorEastAsia" w:cs="Times New Roman"/>
          <w:b/>
          <w:bCs/>
        </w:rPr>
        <w:t>Agamben</w:t>
      </w:r>
      <w:proofErr w:type="spellEnd"/>
      <w:r w:rsidRPr="00593602">
        <w:rPr>
          <w:rFonts w:eastAsiaTheme="majorEastAsia" w:cs="Times New Roman"/>
          <w:b/>
          <w:bCs/>
        </w:rPr>
        <w:t xml:space="preserve"> 3</w:t>
      </w:r>
      <w:r w:rsidRPr="00593602">
        <w:rPr>
          <w:rFonts w:eastAsiaTheme="majorEastAsia" w:cs="Times New Roman"/>
          <w:bCs/>
          <w:vertAlign w:val="superscript"/>
        </w:rPr>
        <w:footnoteReference w:id="3"/>
      </w:r>
    </w:p>
    <w:p w:rsidR="00593602" w:rsidRPr="00593602" w:rsidRDefault="00593602" w:rsidP="00593602">
      <w:pPr>
        <w:pBdr>
          <w:top w:val="single" w:sz="4" w:space="1" w:color="auto"/>
          <w:left w:val="single" w:sz="4" w:space="4" w:color="auto"/>
          <w:bottom w:val="single" w:sz="4" w:space="1" w:color="auto"/>
          <w:right w:val="single" w:sz="4" w:space="4" w:color="auto"/>
          <w:between w:val="single" w:sz="4" w:space="1" w:color="auto"/>
          <w:bar w:val="single" w:sz="4" w:color="auto"/>
        </w:pBdr>
        <w:ind w:left="720"/>
        <w:contextualSpacing/>
        <w:rPr>
          <w:rFonts w:eastAsiaTheme="minorHAnsi"/>
          <w:sz w:val="22"/>
          <w:szCs w:val="22"/>
          <w:u w:val="single"/>
        </w:rPr>
      </w:pPr>
      <w:r w:rsidRPr="00593602">
        <w:rPr>
          <w:rFonts w:eastAsiaTheme="minorHAnsi"/>
          <w:szCs w:val="22"/>
          <w:u w:val="single"/>
        </w:rPr>
        <w:t xml:space="preserve">The importance of </w:t>
      </w:r>
      <w:r w:rsidRPr="00593602">
        <w:t>. . .</w:t>
      </w:r>
      <w:r w:rsidRPr="00593602">
        <w:rPr>
          <w:rFonts w:eastAsiaTheme="majorEastAsia" w:cstheme="majorBidi"/>
          <w:sz w:val="12"/>
          <w:szCs w:val="12"/>
        </w:rPr>
        <w:t xml:space="preserve"> they were there [</w:t>
      </w:r>
      <w:proofErr w:type="spellStart"/>
      <w:r w:rsidRPr="00593602">
        <w:rPr>
          <w:rFonts w:eastAsiaTheme="majorEastAsia" w:cstheme="majorBidi"/>
          <w:sz w:val="12"/>
          <w:szCs w:val="12"/>
        </w:rPr>
        <w:t>sie</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waren</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nicht</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gegründet</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sie</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waren</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eines</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Tages</w:t>
      </w:r>
      <w:proofErr w:type="spellEnd"/>
      <w:r w:rsidRPr="00593602">
        <w:rPr>
          <w:rFonts w:eastAsiaTheme="majorEastAsia" w:cstheme="majorBidi"/>
          <w:sz w:val="12"/>
          <w:szCs w:val="12"/>
        </w:rPr>
        <w:t xml:space="preserve"> </w:t>
      </w:r>
      <w:proofErr w:type="spellStart"/>
      <w:r w:rsidRPr="00593602">
        <w:rPr>
          <w:rFonts w:eastAsiaTheme="majorEastAsia" w:cstheme="majorBidi"/>
          <w:sz w:val="12"/>
          <w:szCs w:val="12"/>
        </w:rPr>
        <w:t>da</w:t>
      </w:r>
      <w:proofErr w:type="spellEnd"/>
      <w:r w:rsidRPr="00593602">
        <w:rPr>
          <w:rFonts w:eastAsiaTheme="majorEastAsia" w:cstheme="majorBidi"/>
          <w:sz w:val="12"/>
          <w:szCs w:val="12"/>
        </w:rPr>
        <w:t xml:space="preserve">] </w:t>
      </w:r>
      <w:proofErr w:type="gramStart"/>
      <w:r w:rsidRPr="00593602">
        <w:rPr>
          <w:rFonts w:eastAsiaTheme="majorEastAsia" w:cstheme="majorBidi"/>
          <w:sz w:val="12"/>
          <w:szCs w:val="12"/>
        </w:rPr>
        <w:t>“ (</w:t>
      </w:r>
      <w:proofErr w:type="gramEnd"/>
      <w:r w:rsidRPr="00593602">
        <w:rPr>
          <w:rFonts w:eastAsiaTheme="majorEastAsia" w:cstheme="majorBidi"/>
          <w:sz w:val="12"/>
          <w:szCs w:val="12"/>
        </w:rPr>
        <w:t>quoted ibid., p. 30).</w:t>
      </w:r>
      <w:r w:rsidRPr="00593602">
        <w:rPr>
          <w:rFonts w:eastAsiaTheme="minorHAnsi"/>
          <w:szCs w:val="22"/>
          <w:u w:val="single"/>
        </w:rPr>
        <w:t xml:space="preserve"> </w:t>
      </w:r>
    </w:p>
    <w:p w:rsidR="000B50ED" w:rsidRDefault="000B50ED" w:rsidP="000B50ED">
      <w:pPr>
        <w:keepNext/>
        <w:keepLines/>
        <w:contextualSpacing/>
        <w:outlineLvl w:val="1"/>
        <w:rPr>
          <w:rFonts w:eastAsiaTheme="majorEastAsia" w:cs="Times New Roman"/>
          <w:b/>
          <w:bCs/>
        </w:rPr>
      </w:pPr>
    </w:p>
    <w:p w:rsidR="000B50ED" w:rsidRPr="000B50ED" w:rsidRDefault="000B50ED" w:rsidP="000B50ED">
      <w:pPr>
        <w:keepNext/>
        <w:keepLines/>
        <w:contextualSpacing/>
        <w:outlineLvl w:val="1"/>
        <w:rPr>
          <w:rFonts w:eastAsiaTheme="majorEastAsia" w:cs="Times New Roman"/>
          <w:b/>
          <w:bCs/>
        </w:rPr>
      </w:pPr>
      <w:r w:rsidRPr="000B50ED">
        <w:rPr>
          <w:rFonts w:eastAsiaTheme="majorEastAsia" w:cs="Times New Roman"/>
          <w:b/>
          <w:bCs/>
        </w:rPr>
        <w:t>Third, the nature of social actors, their capabilities, and practices must be discussed before an action is justified.</w:t>
      </w:r>
    </w:p>
    <w:p w:rsidR="000B50ED" w:rsidRPr="000B50ED" w:rsidRDefault="000B50ED" w:rsidP="000B50ED">
      <w:pPr>
        <w:shd w:val="clear" w:color="auto" w:fill="FFFFFF"/>
        <w:contextualSpacing/>
        <w:rPr>
          <w:rFonts w:cs="Times New Roman"/>
          <w:sz w:val="16"/>
          <w:szCs w:val="16"/>
        </w:rPr>
      </w:pPr>
      <w:r w:rsidRPr="000B50ED">
        <w:rPr>
          <w:rFonts w:eastAsiaTheme="majorEastAsia" w:cs="Times New Roman"/>
          <w:b/>
          <w:bCs/>
        </w:rPr>
        <w:t>Doty writes</w:t>
      </w:r>
      <w:r w:rsidRPr="000B50ED">
        <w:rPr>
          <w:rFonts w:eastAsiaTheme="majorEastAsia" w:cs="Times New Roman"/>
          <w:bCs/>
          <w:vertAlign w:val="superscript"/>
        </w:rPr>
        <w:footnoteReference w:id="4"/>
      </w:r>
      <w:r w:rsidRPr="000B50ED">
        <w:rPr>
          <w:rFonts w:eastAsiaTheme="majorEastAsia" w:cs="Times New Roman"/>
          <w:b/>
          <w:bCs/>
        </w:rPr>
        <w:t>,</w:t>
      </w:r>
    </w:p>
    <w:p w:rsidR="000B50ED" w:rsidRPr="000B50ED" w:rsidRDefault="000B50ED" w:rsidP="000B50ED">
      <w:pPr>
        <w:pBdr>
          <w:top w:val="single" w:sz="4" w:space="1" w:color="auto"/>
          <w:left w:val="single" w:sz="4" w:space="4" w:color="auto"/>
          <w:bottom w:val="single" w:sz="4" w:space="1" w:color="auto"/>
          <w:right w:val="single" w:sz="4" w:space="4" w:color="auto"/>
          <w:between w:val="single" w:sz="4" w:space="1" w:color="auto"/>
          <w:bar w:val="single" w:sz="4" w:color="auto"/>
        </w:pBdr>
        <w:ind w:left="720"/>
        <w:contextualSpacing/>
        <w:rPr>
          <w:rFonts w:cs="Times New Roman"/>
          <w:u w:val="single"/>
        </w:rPr>
      </w:pPr>
      <w:proofErr w:type="gramStart"/>
      <w:r w:rsidRPr="000B50ED">
        <w:rPr>
          <w:rFonts w:eastAsiaTheme="majorEastAsia" w:cs="Times New Roman"/>
          <w:sz w:val="12"/>
          <w:szCs w:val="12"/>
        </w:rPr>
        <w:t xml:space="preserve">Moving from why-questions </w:t>
      </w:r>
      <w:r w:rsidRPr="000B50ED">
        <w:t xml:space="preserve">. . . </w:t>
      </w:r>
      <w:r w:rsidRPr="000B50ED">
        <w:rPr>
          <w:rFonts w:cs="Times New Roman"/>
          <w:u w:val="single"/>
        </w:rPr>
        <w:t>why-questions neglect.</w:t>
      </w:r>
      <w:proofErr w:type="gramEnd"/>
    </w:p>
    <w:p w:rsidR="000B50ED" w:rsidRPr="000B50ED" w:rsidRDefault="000B50ED" w:rsidP="000B50ED">
      <w:pPr>
        <w:contextualSpacing/>
        <w:rPr>
          <w:rFonts w:cs="Times New Roman"/>
          <w:szCs w:val="22"/>
        </w:rPr>
      </w:pPr>
      <w:r w:rsidRPr="000B50ED">
        <w:rPr>
          <w:rFonts w:eastAsiaTheme="majorEastAsia" w:cs="Times New Roman"/>
          <w:b/>
          <w:bCs/>
        </w:rPr>
        <w:t>Krause</w:t>
      </w:r>
      <w:r w:rsidRPr="000B50ED">
        <w:rPr>
          <w:rFonts w:eastAsiaTheme="majorEastAsia" w:cs="Times New Roman"/>
          <w:bCs/>
          <w:vertAlign w:val="superscript"/>
        </w:rPr>
        <w:footnoteReference w:id="5"/>
      </w:r>
      <w:r w:rsidRPr="000B50ED">
        <w:rPr>
          <w:rFonts w:eastAsiaTheme="majorEastAsia" w:cs="Times New Roman"/>
          <w:b/>
          <w:bCs/>
        </w:rPr>
        <w:t xml:space="preserve"> furthers Doty’s argument:</w:t>
      </w:r>
    </w:p>
    <w:p w:rsidR="000B50ED" w:rsidRPr="000B50ED" w:rsidRDefault="000B50ED" w:rsidP="000B50ED">
      <w:pPr>
        <w:pBdr>
          <w:top w:val="single" w:sz="4" w:space="1" w:color="auto"/>
          <w:left w:val="single" w:sz="4" w:space="4" w:color="auto"/>
          <w:bottom w:val="single" w:sz="4" w:space="1" w:color="auto"/>
          <w:right w:val="single" w:sz="4" w:space="4" w:color="auto"/>
          <w:between w:val="single" w:sz="4" w:space="1" w:color="auto"/>
          <w:bar w:val="single" w:sz="4" w:color="auto"/>
        </w:pBdr>
        <w:ind w:left="720"/>
        <w:contextualSpacing/>
        <w:rPr>
          <w:rFonts w:eastAsia="Times New Roman" w:cs="Times New Roman"/>
          <w:sz w:val="16"/>
          <w:szCs w:val="16"/>
        </w:rPr>
      </w:pPr>
      <w:r w:rsidRPr="000B50ED">
        <w:rPr>
          <w:rFonts w:eastAsiaTheme="majorEastAsia" w:cs="Times New Roman"/>
          <w:sz w:val="12"/>
          <w:szCs w:val="12"/>
        </w:rPr>
        <w:t xml:space="preserve">These claims have </w:t>
      </w:r>
      <w:r w:rsidRPr="000B50ED">
        <w:t>. . .</w:t>
      </w:r>
      <w:r w:rsidRPr="000B50ED">
        <w:rPr>
          <w:rFonts w:eastAsiaTheme="majorEastAsia" w:cs="Times New Roman"/>
          <w:sz w:val="12"/>
          <w:szCs w:val="12"/>
        </w:rPr>
        <w:t xml:space="preserve"> issues as givens.</w:t>
      </w:r>
      <w:r w:rsidRPr="000B50ED">
        <w:rPr>
          <w:rFonts w:eastAsia="Times New Roman" w:cs="Times New Roman"/>
          <w:sz w:val="16"/>
          <w:szCs w:val="16"/>
        </w:rPr>
        <w:tab/>
      </w:r>
    </w:p>
    <w:p w:rsidR="000B50ED" w:rsidRDefault="000B50ED" w:rsidP="00593602">
      <w:pPr>
        <w:contextualSpacing/>
        <w:rPr>
          <w:rFonts w:cs="Times New Roman"/>
        </w:rPr>
      </w:pPr>
    </w:p>
    <w:p w:rsidR="00593602" w:rsidRDefault="00593602" w:rsidP="00593602">
      <w:pPr>
        <w:contextualSpacing/>
        <w:rPr>
          <w:rFonts w:cs="Times New Roman"/>
        </w:rPr>
      </w:pPr>
      <w:r w:rsidRPr="00593602">
        <w:rPr>
          <w:rFonts w:cs="Times New Roman"/>
        </w:rPr>
        <w:t xml:space="preserve">I contend that the </w:t>
      </w:r>
      <w:proofErr w:type="spellStart"/>
      <w:r w:rsidRPr="00593602">
        <w:rPr>
          <w:rFonts w:cs="Times New Roman"/>
        </w:rPr>
        <w:t>resolutional</w:t>
      </w:r>
      <w:proofErr w:type="spellEnd"/>
      <w:r w:rsidRPr="00593602">
        <w:rPr>
          <w:rFonts w:cs="Times New Roman"/>
        </w:rPr>
        <w:t xml:space="preserve"> action minimizes the state of exception.</w:t>
      </w:r>
    </w:p>
    <w:p w:rsidR="00593602" w:rsidRPr="00593602" w:rsidRDefault="00593602" w:rsidP="00593602">
      <w:pPr>
        <w:contextualSpacing/>
        <w:rPr>
          <w:rFonts w:cs="Times New Roman"/>
        </w:rPr>
      </w:pPr>
    </w:p>
    <w:p w:rsidR="00593602" w:rsidRPr="00593602" w:rsidRDefault="00593602" w:rsidP="00593602">
      <w:pPr>
        <w:keepNext/>
        <w:keepLines/>
        <w:contextualSpacing/>
        <w:outlineLvl w:val="1"/>
        <w:rPr>
          <w:rFonts w:eastAsiaTheme="majorEastAsia" w:cstheme="majorBidi"/>
          <w:b/>
          <w:bCs/>
        </w:rPr>
      </w:pPr>
      <w:r w:rsidRPr="00593602">
        <w:rPr>
          <w:rFonts w:eastAsiaTheme="majorEastAsia" w:cstheme="majorBidi"/>
          <w:b/>
          <w:bCs/>
        </w:rPr>
        <w:lastRenderedPageBreak/>
        <w:t>First, the juridical order requires due process, a feature of the state which not extending due process rights rejects.</w:t>
      </w:r>
    </w:p>
    <w:p w:rsidR="00593602" w:rsidRPr="00593602" w:rsidRDefault="00593602" w:rsidP="00593602">
      <w:pPr>
        <w:keepNext/>
        <w:keepLines/>
        <w:contextualSpacing/>
        <w:outlineLvl w:val="1"/>
        <w:rPr>
          <w:rFonts w:eastAsiaTheme="majorEastAsia" w:cstheme="majorBidi"/>
          <w:b/>
          <w:bCs/>
        </w:rPr>
      </w:pPr>
      <w:proofErr w:type="spellStart"/>
      <w:r w:rsidRPr="00593602">
        <w:rPr>
          <w:rFonts w:eastAsiaTheme="majorEastAsia" w:cstheme="majorBidi"/>
          <w:b/>
          <w:bCs/>
        </w:rPr>
        <w:t>Kisner</w:t>
      </w:r>
      <w:proofErr w:type="spellEnd"/>
      <w:r w:rsidRPr="00593602">
        <w:rPr>
          <w:rFonts w:eastAsiaTheme="majorEastAsia" w:cs="Times New Roman"/>
          <w:bCs/>
          <w:vertAlign w:val="superscript"/>
        </w:rPr>
        <w:footnoteReference w:id="6"/>
      </w:r>
      <w:r w:rsidRPr="00593602">
        <w:rPr>
          <w:rFonts w:eastAsiaTheme="majorEastAsia" w:cstheme="majorBidi"/>
          <w:b/>
          <w:bCs/>
        </w:rPr>
        <w:t xml:space="preserve"> articulates,</w:t>
      </w:r>
    </w:p>
    <w:p w:rsidR="00593602" w:rsidRPr="00593602" w:rsidRDefault="00593602" w:rsidP="00593602">
      <w:pPr>
        <w:pBdr>
          <w:top w:val="single" w:sz="4" w:space="1" w:color="auto"/>
          <w:left w:val="single" w:sz="4" w:space="4" w:color="auto"/>
          <w:bottom w:val="single" w:sz="4" w:space="1" w:color="auto"/>
          <w:right w:val="single" w:sz="4" w:space="4" w:color="auto"/>
          <w:between w:val="single" w:sz="4" w:space="1" w:color="auto"/>
          <w:bar w:val="single" w:sz="4" w:color="auto"/>
        </w:pBdr>
        <w:ind w:left="720"/>
        <w:contextualSpacing/>
        <w:rPr>
          <w:rFonts w:cs="Times New Roman"/>
          <w:u w:val="single"/>
        </w:rPr>
      </w:pPr>
      <w:r w:rsidRPr="00593602">
        <w:rPr>
          <w:rFonts w:eastAsiaTheme="majorEastAsia" w:cstheme="majorBidi"/>
          <w:sz w:val="12"/>
          <w:szCs w:val="12"/>
        </w:rPr>
        <w:t xml:space="preserve">Giorgio </w:t>
      </w:r>
      <w:proofErr w:type="spellStart"/>
      <w:r w:rsidRPr="00593602">
        <w:rPr>
          <w:rFonts w:eastAsiaTheme="majorEastAsia" w:cstheme="majorBidi"/>
          <w:sz w:val="12"/>
          <w:szCs w:val="12"/>
        </w:rPr>
        <w:t>Agamben’s</w:t>
      </w:r>
      <w:proofErr w:type="spellEnd"/>
      <w:r w:rsidRPr="00593602">
        <w:rPr>
          <w:rFonts w:eastAsiaTheme="majorEastAsia" w:cstheme="majorBidi"/>
          <w:sz w:val="12"/>
          <w:szCs w:val="12"/>
        </w:rPr>
        <w:t xml:space="preserve"> recently </w:t>
      </w:r>
      <w:r w:rsidRPr="00593602">
        <w:t>. . .</w:t>
      </w:r>
      <w:r w:rsidRPr="00593602">
        <w:rPr>
          <w:rFonts w:eastAsiaTheme="majorEastAsia" w:cstheme="majorBidi"/>
          <w:sz w:val="12"/>
          <w:szCs w:val="12"/>
        </w:rPr>
        <w:t xml:space="preserve"> state of exception’ (SE 5).</w:t>
      </w:r>
    </w:p>
    <w:p w:rsidR="00593602" w:rsidRPr="00593602" w:rsidRDefault="004669E8" w:rsidP="00593602">
      <w:pPr>
        <w:keepNext/>
        <w:keepLines/>
        <w:contextualSpacing/>
        <w:outlineLvl w:val="1"/>
        <w:rPr>
          <w:rFonts w:eastAsiaTheme="majorEastAsia" w:cs="Times New Roman"/>
          <w:b/>
          <w:bCs/>
        </w:rPr>
      </w:pPr>
      <w:r>
        <w:rPr>
          <w:rFonts w:eastAsiaTheme="majorEastAsia" w:cs="Times New Roman"/>
          <w:b/>
          <w:bCs/>
        </w:rPr>
        <w:br/>
      </w:r>
      <w:r w:rsidR="00593602" w:rsidRPr="00593602">
        <w:rPr>
          <w:rFonts w:eastAsiaTheme="majorEastAsia" w:cs="Times New Roman"/>
          <w:b/>
          <w:bCs/>
        </w:rPr>
        <w:t>Second, the S.O.E. perpetuates in Gitmo and the black sites because it has become politically impossible to release this bare life. This information-gathering machine dilutes counterterrorist resources and discredits their efforts.</w:t>
      </w:r>
    </w:p>
    <w:p w:rsidR="00593602" w:rsidRPr="00593602" w:rsidRDefault="00593602" w:rsidP="00593602">
      <w:pPr>
        <w:keepNext/>
        <w:keepLines/>
        <w:contextualSpacing/>
        <w:outlineLvl w:val="1"/>
        <w:rPr>
          <w:rFonts w:eastAsiaTheme="majorEastAsia" w:cs="Times New Roman"/>
          <w:b/>
          <w:bCs/>
        </w:rPr>
      </w:pPr>
      <w:r w:rsidRPr="00593602">
        <w:rPr>
          <w:rFonts w:eastAsiaTheme="majorEastAsia" w:cs="Times New Roman"/>
          <w:b/>
          <w:bCs/>
        </w:rPr>
        <w:t>As Danner</w:t>
      </w:r>
      <w:r w:rsidRPr="00593602">
        <w:rPr>
          <w:rFonts w:eastAsiaTheme="majorEastAsia" w:cs="Times New Roman"/>
          <w:bCs/>
          <w:vertAlign w:val="superscript"/>
        </w:rPr>
        <w:footnoteReference w:id="7"/>
      </w:r>
      <w:r w:rsidRPr="00593602">
        <w:rPr>
          <w:rFonts w:eastAsiaTheme="majorEastAsia" w:cs="Times New Roman"/>
          <w:b/>
          <w:bCs/>
        </w:rPr>
        <w:t xml:space="preserve"> puts it,</w:t>
      </w:r>
    </w:p>
    <w:p w:rsidR="00593602" w:rsidRPr="00593602" w:rsidRDefault="00593602" w:rsidP="00593602">
      <w:pPr>
        <w:pBdr>
          <w:top w:val="single" w:sz="4" w:space="1" w:color="auto"/>
          <w:left w:val="single" w:sz="4" w:space="4" w:color="auto"/>
          <w:bottom w:val="single" w:sz="4" w:space="1" w:color="auto"/>
          <w:right w:val="single" w:sz="4" w:space="4" w:color="auto"/>
          <w:between w:val="single" w:sz="4" w:space="1" w:color="auto"/>
          <w:bar w:val="single" w:sz="4" w:color="auto"/>
        </w:pBdr>
        <w:ind w:left="720"/>
        <w:contextualSpacing/>
        <w:rPr>
          <w:rFonts w:cs="Times New Roman"/>
          <w:u w:val="single"/>
        </w:rPr>
      </w:pPr>
      <w:proofErr w:type="gramStart"/>
      <w:r w:rsidRPr="00593602">
        <w:rPr>
          <w:rFonts w:cs="Times New Roman"/>
          <w:u w:val="single"/>
        </w:rPr>
        <w:t xml:space="preserve">But the sweeping </w:t>
      </w:r>
      <w:r w:rsidRPr="00593602">
        <w:t>. . .</w:t>
      </w:r>
      <w:r w:rsidRPr="00593602">
        <w:rPr>
          <w:rFonts w:cs="Times New Roman"/>
          <w:u w:val="single"/>
        </w:rPr>
        <w:t xml:space="preserve"> that they were.”</w:t>
      </w:r>
      <w:proofErr w:type="gramEnd"/>
      <w:r w:rsidRPr="00593602">
        <w:rPr>
          <w:rFonts w:eastAsiaTheme="majorEastAsia" w:cs="Times New Roman"/>
          <w:sz w:val="12"/>
          <w:szCs w:val="12"/>
        </w:rPr>
        <w:t>17</w:t>
      </w:r>
    </w:p>
    <w:p w:rsidR="00593602" w:rsidRDefault="004669E8" w:rsidP="00593602">
      <w:pPr>
        <w:contextualSpacing/>
      </w:pPr>
      <w:r>
        <w:t>Analytics about how this increases terrorism</w:t>
      </w:r>
      <w:r w:rsidR="00AF573A">
        <w:t xml:space="preserve">, </w:t>
      </w:r>
      <w:proofErr w:type="spellStart"/>
      <w:r w:rsidR="00AF573A">
        <w:t>sux</w:t>
      </w:r>
      <w:proofErr w:type="spellEnd"/>
      <w:r w:rsidR="00AF573A">
        <w:t xml:space="preserve"> for util</w:t>
      </w:r>
      <w:r>
        <w:t>.</w:t>
      </w:r>
    </w:p>
    <w:p w:rsidR="004669E8" w:rsidRDefault="004669E8" w:rsidP="00593602">
      <w:pPr>
        <w:contextualSpacing/>
      </w:pPr>
    </w:p>
    <w:p w:rsidR="00AE01B7" w:rsidRDefault="00AE01B7" w:rsidP="00593602">
      <w:pPr>
        <w:contextualSpacing/>
      </w:pPr>
      <w:r>
        <w:t>Thus, I affirm.</w:t>
      </w:r>
    </w:p>
    <w:p w:rsidR="00AE01B7" w:rsidRPr="00593602" w:rsidRDefault="00AE01B7" w:rsidP="00593602">
      <w:pPr>
        <w:contextualSpacing/>
      </w:pPr>
    </w:p>
    <w:p w:rsidR="00593602" w:rsidRDefault="00593602" w:rsidP="00593602">
      <w:pPr>
        <w:contextualSpacing/>
      </w:pPr>
      <w:r>
        <w:t xml:space="preserve">1. </w:t>
      </w:r>
      <w:r w:rsidR="00D80557">
        <w:t xml:space="preserve">Presume </w:t>
      </w:r>
      <w:proofErr w:type="spellStart"/>
      <w:r w:rsidR="00D80557">
        <w:t>aff</w:t>
      </w:r>
      <w:proofErr w:type="spellEnd"/>
    </w:p>
    <w:p w:rsidR="00593602" w:rsidRDefault="00593602" w:rsidP="00593602">
      <w:pPr>
        <w:ind w:left="720"/>
        <w:contextualSpacing/>
      </w:pPr>
      <w:proofErr w:type="gramStart"/>
      <w:r>
        <w:t>equality/rights/structural</w:t>
      </w:r>
      <w:proofErr w:type="gramEnd"/>
      <w:r>
        <w:t xml:space="preserve"> skew</w:t>
      </w:r>
    </w:p>
    <w:p w:rsidR="00593602" w:rsidRPr="00593602" w:rsidRDefault="00593602" w:rsidP="00593602">
      <w:pPr>
        <w:contextualSpacing/>
      </w:pPr>
      <w:r>
        <w:t xml:space="preserve">2. </w:t>
      </w:r>
      <w:r w:rsidR="00D80557">
        <w:t xml:space="preserve">Only </w:t>
      </w:r>
      <w:proofErr w:type="spellStart"/>
      <w:r w:rsidR="00D80557">
        <w:t>aff</w:t>
      </w:r>
      <w:proofErr w:type="spellEnd"/>
      <w:r w:rsidR="00D80557">
        <w:t xml:space="preserve"> gets RVIs</w:t>
      </w:r>
    </w:p>
    <w:p w:rsidR="00700731" w:rsidRDefault="00D80557" w:rsidP="00593602">
      <w:pPr>
        <w:ind w:left="720"/>
        <w:contextualSpacing/>
      </w:pPr>
      <w:proofErr w:type="gramStart"/>
      <w:r>
        <w:t>checks</w:t>
      </w:r>
      <w:proofErr w:type="gramEnd"/>
      <w:r>
        <w:t xml:space="preserve"> </w:t>
      </w:r>
      <w:r w:rsidR="007A6381">
        <w:t>bad</w:t>
      </w:r>
      <w:r>
        <w:t xml:space="preserve"> </w:t>
      </w:r>
      <w:r w:rsidR="00593602">
        <w:t>t</w:t>
      </w:r>
      <w:r>
        <w:t>heory proliferation</w:t>
      </w:r>
      <w:r w:rsidR="00593602">
        <w:t xml:space="preserve">/no risk issue for </w:t>
      </w:r>
      <w:proofErr w:type="spellStart"/>
      <w:r w:rsidR="00593602">
        <w:t>neg</w:t>
      </w:r>
      <w:proofErr w:type="spellEnd"/>
      <w:r w:rsidR="00593602">
        <w:t>/structural skew</w:t>
      </w:r>
    </w:p>
    <w:sectPr w:rsidR="00700731" w:rsidSect="000515DF">
      <w:headerReference w:type="even" r:id="rId8"/>
      <w:headerReference w:type="default" r:id="rId9"/>
      <w:pgSz w:w="12240" w:h="15840"/>
      <w:pgMar w:top="1152"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2FD" w:rsidRDefault="006672FD" w:rsidP="001E5711">
      <w:r>
        <w:separator/>
      </w:r>
    </w:p>
  </w:endnote>
  <w:endnote w:type="continuationSeparator" w:id="0">
    <w:p w:rsidR="006672FD" w:rsidRDefault="006672FD" w:rsidP="001E57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2FD" w:rsidRDefault="006672FD" w:rsidP="001E5711">
      <w:r>
        <w:separator/>
      </w:r>
    </w:p>
  </w:footnote>
  <w:footnote w:type="continuationSeparator" w:id="0">
    <w:p w:rsidR="006672FD" w:rsidRDefault="006672FD" w:rsidP="001E5711">
      <w:r>
        <w:continuationSeparator/>
      </w:r>
    </w:p>
  </w:footnote>
  <w:footnote w:id="1">
    <w:p w:rsidR="00593602" w:rsidRPr="00467107" w:rsidRDefault="00593602" w:rsidP="00593602">
      <w:pPr>
        <w:pStyle w:val="FootnoteText"/>
        <w:rPr>
          <w:rStyle w:val="SubtleEmphasis"/>
        </w:rPr>
      </w:pPr>
      <w:r w:rsidRPr="00467107">
        <w:rPr>
          <w:rStyle w:val="SubtleEmphasis"/>
        </w:rPr>
        <w:footnoteRef/>
      </w:r>
      <w:r w:rsidRPr="00467107">
        <w:rPr>
          <w:rStyle w:val="SubtleEmphasis"/>
        </w:rPr>
        <w:t xml:space="preserve"> Giorgio </w:t>
      </w:r>
      <w:proofErr w:type="spellStart"/>
      <w:r w:rsidRPr="00467107">
        <w:rPr>
          <w:rStyle w:val="SubtleEmphasis"/>
        </w:rPr>
        <w:t>Agamben</w:t>
      </w:r>
      <w:proofErr w:type="spellEnd"/>
      <w:r w:rsidRPr="00467107">
        <w:rPr>
          <w:rStyle w:val="SubtleEmphasis"/>
        </w:rPr>
        <w:t xml:space="preserve">, Professor of Philosophy at the University of Verona, “Homo </w:t>
      </w:r>
      <w:proofErr w:type="spellStart"/>
      <w:r w:rsidRPr="00467107">
        <w:rPr>
          <w:rStyle w:val="SubtleEmphasis"/>
        </w:rPr>
        <w:t>Sacer</w:t>
      </w:r>
      <w:proofErr w:type="spellEnd"/>
      <w:r w:rsidRPr="00467107">
        <w:rPr>
          <w:rStyle w:val="SubtleEmphasis"/>
        </w:rPr>
        <w:t>: Sovereign Power and Bare Life”, translated by Daniel Heller-</w:t>
      </w:r>
      <w:proofErr w:type="spellStart"/>
      <w:r w:rsidRPr="00467107">
        <w:rPr>
          <w:rStyle w:val="SubtleEmphasis"/>
        </w:rPr>
        <w:t>Roazen</w:t>
      </w:r>
      <w:proofErr w:type="spellEnd"/>
      <w:r w:rsidRPr="00467107">
        <w:rPr>
          <w:rStyle w:val="SubtleEmphasis"/>
        </w:rPr>
        <w:t>, Stanford University Press), The Paradox of Sovereignty, p. 17, p. 18-19</w:t>
      </w:r>
    </w:p>
  </w:footnote>
  <w:footnote w:id="2">
    <w:p w:rsidR="00593602" w:rsidRPr="00467107" w:rsidRDefault="00593602" w:rsidP="00593602">
      <w:pPr>
        <w:pStyle w:val="FootnoteText"/>
        <w:rPr>
          <w:rStyle w:val="SubtleEmphasis"/>
        </w:rPr>
      </w:pPr>
      <w:r w:rsidRPr="00467107">
        <w:rPr>
          <w:rStyle w:val="SubtleEmphasis"/>
        </w:rPr>
        <w:footnoteRef/>
      </w:r>
      <w:r w:rsidRPr="00467107">
        <w:rPr>
          <w:rStyle w:val="SubtleEmphasis"/>
        </w:rPr>
        <w:t xml:space="preserve"> Ibid, Part Two: Homo </w:t>
      </w:r>
      <w:proofErr w:type="spellStart"/>
      <w:r w:rsidRPr="00467107">
        <w:rPr>
          <w:rStyle w:val="SubtleEmphasis"/>
        </w:rPr>
        <w:t>Sacer</w:t>
      </w:r>
      <w:proofErr w:type="spellEnd"/>
      <w:r w:rsidRPr="00467107">
        <w:rPr>
          <w:rStyle w:val="SubtleEmphasis"/>
        </w:rPr>
        <w:t>, Sacred Life, p. 53</w:t>
      </w:r>
    </w:p>
  </w:footnote>
  <w:footnote w:id="3">
    <w:p w:rsidR="00593602" w:rsidRPr="00467107" w:rsidRDefault="00593602" w:rsidP="00593602">
      <w:pPr>
        <w:pStyle w:val="FootnoteText"/>
        <w:rPr>
          <w:rStyle w:val="SubtleEmphasis"/>
        </w:rPr>
      </w:pPr>
      <w:r w:rsidRPr="00467107">
        <w:rPr>
          <w:rStyle w:val="SubtleEmphasis"/>
        </w:rPr>
        <w:footnoteRef/>
      </w:r>
      <w:r w:rsidRPr="00467107">
        <w:rPr>
          <w:rStyle w:val="SubtleEmphasis"/>
        </w:rPr>
        <w:t xml:space="preserve"> The Camp as the ‘</w:t>
      </w:r>
      <w:proofErr w:type="spellStart"/>
      <w:r w:rsidRPr="00467107">
        <w:rPr>
          <w:rStyle w:val="SubtleEmphasis"/>
        </w:rPr>
        <w:t>Nomos</w:t>
      </w:r>
      <w:proofErr w:type="spellEnd"/>
      <w:r w:rsidRPr="00467107">
        <w:rPr>
          <w:rStyle w:val="SubtleEmphasis"/>
        </w:rPr>
        <w:t>’ of the Modern, pg. 108-109</w:t>
      </w:r>
    </w:p>
  </w:footnote>
  <w:footnote w:id="4">
    <w:p w:rsidR="000B50ED" w:rsidRPr="00467107" w:rsidRDefault="000B50ED" w:rsidP="000B50ED">
      <w:pPr>
        <w:pStyle w:val="FootnoteText"/>
        <w:rPr>
          <w:rStyle w:val="SubtleEmphasis"/>
        </w:rPr>
      </w:pPr>
      <w:r w:rsidRPr="00467107">
        <w:rPr>
          <w:rStyle w:val="SubtleEmphasis"/>
        </w:rPr>
        <w:footnoteRef/>
      </w:r>
      <w:r w:rsidRPr="00467107">
        <w:rPr>
          <w:rStyle w:val="SubtleEmphasis"/>
        </w:rPr>
        <w:t xml:space="preserve"> Foreign Policy as Social Construction: A Post-Positivist Analysis of U.S. Counterinsurgency Policy in the Philippines, Roxanne Lynn Doty International Studies Quarterly, Vol. 37, No. 3 (Sep., 1993), pp. 297-320, published by: Wiley-Blackwell on behalf of The International Studies Association; Article Stable URL: http://www.jstor.org/stable/2600810</w:t>
      </w:r>
    </w:p>
  </w:footnote>
  <w:footnote w:id="5">
    <w:p w:rsidR="000B50ED" w:rsidRPr="00467107" w:rsidRDefault="000B50ED" w:rsidP="000B50ED">
      <w:pPr>
        <w:pStyle w:val="FootnoteText"/>
        <w:rPr>
          <w:rStyle w:val="SubtleEmphasis"/>
        </w:rPr>
      </w:pPr>
      <w:r w:rsidRPr="00467107">
        <w:rPr>
          <w:rStyle w:val="SubtleEmphasis"/>
        </w:rPr>
        <w:footnoteRef/>
      </w:r>
      <w:r w:rsidRPr="00467107">
        <w:rPr>
          <w:rStyle w:val="SubtleEmphasis"/>
        </w:rPr>
        <w:t xml:space="preserve"> (Keith Krause, 1996, Graduate Institute of International Studies at University of Geneva. “Critical Theory and Security Studies” YCISS Occasional Paper Number 33 February 1996 http://www.yorku.ca/yciss/publications/OP33-Krause.pdf)</w:t>
      </w:r>
    </w:p>
  </w:footnote>
  <w:footnote w:id="6">
    <w:p w:rsidR="00593602" w:rsidRPr="00467107" w:rsidRDefault="00593602" w:rsidP="00593602">
      <w:pPr>
        <w:pStyle w:val="FootnoteText"/>
        <w:rPr>
          <w:rStyle w:val="SubtleEmphasis"/>
        </w:rPr>
      </w:pPr>
      <w:r w:rsidRPr="00467107">
        <w:rPr>
          <w:rStyle w:val="SubtleEmphasis"/>
        </w:rPr>
        <w:footnoteRef/>
      </w:r>
      <w:r w:rsidRPr="00467107">
        <w:rPr>
          <w:rStyle w:val="SubtleEmphasis"/>
        </w:rPr>
        <w:t xml:space="preserve"> Dr. Wendell </w:t>
      </w:r>
      <w:proofErr w:type="spellStart"/>
      <w:r w:rsidRPr="00467107">
        <w:rPr>
          <w:rStyle w:val="SubtleEmphasis"/>
        </w:rPr>
        <w:t>Kisner</w:t>
      </w:r>
      <w:proofErr w:type="spellEnd"/>
      <w:r w:rsidRPr="00467107">
        <w:rPr>
          <w:rStyle w:val="SubtleEmphasis"/>
        </w:rPr>
        <w:t>, Associate Professor, Master of Arts—Integrated Studies, at Athabasca University, “</w:t>
      </w:r>
      <w:proofErr w:type="spellStart"/>
      <w:r w:rsidRPr="00467107">
        <w:rPr>
          <w:rStyle w:val="SubtleEmphasis"/>
        </w:rPr>
        <w:t>Agamben</w:t>
      </w:r>
      <w:proofErr w:type="spellEnd"/>
      <w:r w:rsidRPr="00467107">
        <w:rPr>
          <w:rStyle w:val="SubtleEmphasis"/>
        </w:rPr>
        <w:t>, Hegel and The State of Exception” in Cosmos and History: The Journal of Natural and Social Philosophy, vol. 3, no. 2-3, 2007, published also in the edited collection, The Spirit of the Age: Hegel and the Fate of Thinking, Melbourne, 2008</w:t>
      </w:r>
    </w:p>
  </w:footnote>
  <w:footnote w:id="7">
    <w:p w:rsidR="00593602" w:rsidRPr="00467107" w:rsidRDefault="00593602" w:rsidP="00593602">
      <w:pPr>
        <w:pStyle w:val="FootnoteText"/>
        <w:rPr>
          <w:rStyle w:val="SubtleEmphasis"/>
        </w:rPr>
      </w:pPr>
      <w:r w:rsidRPr="00467107">
        <w:rPr>
          <w:rStyle w:val="SubtleEmphasis"/>
        </w:rPr>
        <w:footnoteRef/>
      </w:r>
      <w:r w:rsidRPr="00467107">
        <w:rPr>
          <w:rStyle w:val="SubtleEmphasis"/>
        </w:rPr>
        <w:t xml:space="preserve"> </w:t>
      </w:r>
      <w:r w:rsidRPr="00384503">
        <w:rPr>
          <w:rStyle w:val="SubtleEmphasis"/>
        </w:rPr>
        <w:t>Mark Danner, he has written about foreign affairs and American politics for more than two decades, covering Latin America, Haiti, the Balkans and the Middle East among other stories. He was for many years a staff writer at The New Yorker and contributes frequently to The New York Review of Books, The New York Times Magazine and other publications. He teaches at the University of California and at Bard College and speaks and debates widely about America's role in the world. “After September 11: Our State of Exception”, The New York Review of Books, October 13,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31" w:rsidRDefault="001B6008">
    <w:pPr>
      <w:pStyle w:val="Header"/>
    </w:pPr>
    <w:sdt>
      <w:sdtPr>
        <w:id w:val="171999623"/>
        <w:temporary/>
        <w:showingPlcHdr/>
      </w:sdtPr>
      <w:sdtContent>
        <w:r w:rsidR="00700731">
          <w:t>[Type text]</w:t>
        </w:r>
      </w:sdtContent>
    </w:sdt>
    <w:r w:rsidR="00700731">
      <w:ptab w:relativeTo="margin" w:alignment="center" w:leader="none"/>
    </w:r>
    <w:sdt>
      <w:sdtPr>
        <w:id w:val="171999624"/>
        <w:temporary/>
        <w:showingPlcHdr/>
      </w:sdtPr>
      <w:sdtContent>
        <w:r w:rsidR="00700731">
          <w:t>[Type text]</w:t>
        </w:r>
      </w:sdtContent>
    </w:sdt>
    <w:r w:rsidR="00700731">
      <w:ptab w:relativeTo="margin" w:alignment="right" w:leader="none"/>
    </w:r>
    <w:sdt>
      <w:sdtPr>
        <w:id w:val="171999625"/>
        <w:temporary/>
        <w:showingPlcHdr/>
      </w:sdtPr>
      <w:sdtContent>
        <w:r w:rsidR="00700731">
          <w:t>[Type text]</w:t>
        </w:r>
      </w:sdtContent>
    </w:sdt>
  </w:p>
  <w:p w:rsidR="00700731" w:rsidRDefault="007007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731" w:rsidRPr="00066536" w:rsidRDefault="00700731">
    <w:pPr>
      <w:pStyle w:val="Header"/>
      <w:rPr>
        <w:color w:val="808080" w:themeColor="background1" w:themeShade="80"/>
        <w:sz w:val="16"/>
        <w:szCs w:val="16"/>
      </w:rPr>
    </w:pPr>
    <w:r w:rsidRPr="00066536">
      <w:rPr>
        <w:color w:val="808080" w:themeColor="background1" w:themeShade="80"/>
        <w:sz w:val="16"/>
        <w:szCs w:val="16"/>
      </w:rPr>
      <w:t xml:space="preserve"> Sept/Oct 2012 </w:t>
    </w:r>
    <w:r w:rsidRPr="00066536">
      <w:rPr>
        <w:color w:val="808080" w:themeColor="background1" w:themeShade="80"/>
        <w:sz w:val="16"/>
        <w:szCs w:val="16"/>
      </w:rPr>
      <w:ptab w:relativeTo="margin" w:alignment="center" w:leader="none"/>
    </w:r>
    <w:r w:rsidRPr="00066536">
      <w:rPr>
        <w:color w:val="808080" w:themeColor="background1" w:themeShade="80"/>
        <w:sz w:val="16"/>
        <w:szCs w:val="16"/>
      </w:rPr>
      <w:t xml:space="preserve"> </w:t>
    </w:r>
    <w:r w:rsidRPr="00066536">
      <w:rPr>
        <w:color w:val="808080" w:themeColor="background1" w:themeShade="80"/>
        <w:sz w:val="16"/>
        <w:szCs w:val="16"/>
      </w:rPr>
      <w:ptab w:relativeTo="margin" w:alignment="right" w:leader="none"/>
    </w:r>
    <w:r w:rsidRPr="00066536">
      <w:rPr>
        <w:color w:val="808080" w:themeColor="background1" w:themeShade="80"/>
        <w:sz w:val="16"/>
        <w:szCs w:val="16"/>
      </w:rPr>
      <w:t xml:space="preserve"> Stony Point RA </w:t>
    </w:r>
  </w:p>
  <w:p w:rsidR="00700731" w:rsidRPr="00700731" w:rsidRDefault="00700731">
    <w:pPr>
      <w:pStyle w:val="Header"/>
      <w:rPr>
        <w:rStyle w:val="SubtleEmphasis"/>
      </w:rPr>
    </w:pPr>
  </w:p>
  <w:p w:rsidR="00700731" w:rsidRPr="00A449D1" w:rsidRDefault="00593602" w:rsidP="00A449D1">
    <w:pPr>
      <w:pStyle w:val="Header"/>
      <w:pBdr>
        <w:top w:val="single" w:sz="12" w:space="1" w:color="auto"/>
        <w:left w:val="single" w:sz="12" w:space="4" w:color="auto"/>
        <w:bottom w:val="single" w:sz="12" w:space="1" w:color="auto"/>
        <w:right w:val="single" w:sz="12" w:space="4" w:color="auto"/>
      </w:pBdr>
      <w:jc w:val="center"/>
      <w:rPr>
        <w:rStyle w:val="SubtleEmphasis"/>
        <w:b/>
        <w:sz w:val="24"/>
        <w:szCs w:val="24"/>
      </w:rPr>
    </w:pPr>
    <w:proofErr w:type="spellStart"/>
    <w:r>
      <w:rPr>
        <w:b/>
      </w:rPr>
      <w:t>Agamben</w:t>
    </w:r>
    <w:proofErr w:type="spellEnd"/>
    <w:r>
      <w:rPr>
        <w:b/>
      </w:rPr>
      <w:t xml:space="preserve"> AC Disclosure</w:t>
    </w:r>
    <w:r w:rsidR="00700731" w:rsidRPr="00A449D1">
      <w:rPr>
        <w:b/>
      </w:rPr>
      <w:t xml:space="preserve"> (</w:t>
    </w:r>
    <w:r w:rsidR="001B6008" w:rsidRPr="00A449D1">
      <w:rPr>
        <w:rStyle w:val="PageNumber"/>
        <w:rFonts w:cs="Times New Roman"/>
        <w:b/>
      </w:rPr>
      <w:fldChar w:fldCharType="begin"/>
    </w:r>
    <w:r w:rsidR="00700731" w:rsidRPr="00A449D1">
      <w:rPr>
        <w:rStyle w:val="PageNumber"/>
        <w:rFonts w:cs="Times New Roman"/>
        <w:b/>
      </w:rPr>
      <w:instrText xml:space="preserve"> PAGE </w:instrText>
    </w:r>
    <w:r w:rsidR="001B6008" w:rsidRPr="00A449D1">
      <w:rPr>
        <w:rStyle w:val="PageNumber"/>
        <w:rFonts w:cs="Times New Roman"/>
        <w:b/>
      </w:rPr>
      <w:fldChar w:fldCharType="separate"/>
    </w:r>
    <w:r w:rsidR="002B7758">
      <w:rPr>
        <w:rStyle w:val="PageNumber"/>
        <w:rFonts w:cs="Times New Roman"/>
        <w:b/>
        <w:noProof/>
      </w:rPr>
      <w:t>1</w:t>
    </w:r>
    <w:r w:rsidR="001B6008" w:rsidRPr="00A449D1">
      <w:rPr>
        <w:rStyle w:val="PageNumber"/>
        <w:rFonts w:cs="Times New Roman"/>
        <w:b/>
      </w:rPr>
      <w:fldChar w:fldCharType="end"/>
    </w:r>
    <w:r w:rsidR="00700731" w:rsidRPr="00A449D1">
      <w:rPr>
        <w:rStyle w:val="PageNumber"/>
        <w:rFonts w:cs="Times New Roman"/>
        <w:b/>
      </w:rPr>
      <w:t>/</w:t>
    </w:r>
    <w:r w:rsidR="001B6008" w:rsidRPr="00A449D1">
      <w:rPr>
        <w:rStyle w:val="PageNumber"/>
        <w:rFonts w:cs="Times New Roman"/>
        <w:b/>
      </w:rPr>
      <w:fldChar w:fldCharType="begin"/>
    </w:r>
    <w:r w:rsidR="00700731" w:rsidRPr="00A449D1">
      <w:rPr>
        <w:rStyle w:val="PageNumber"/>
        <w:rFonts w:cs="Times New Roman"/>
        <w:b/>
      </w:rPr>
      <w:instrText xml:space="preserve"> NUMPAGES </w:instrText>
    </w:r>
    <w:r w:rsidR="001B6008" w:rsidRPr="00A449D1">
      <w:rPr>
        <w:rStyle w:val="PageNumber"/>
        <w:rFonts w:cs="Times New Roman"/>
        <w:b/>
      </w:rPr>
      <w:fldChar w:fldCharType="separate"/>
    </w:r>
    <w:r w:rsidR="002B7758">
      <w:rPr>
        <w:rStyle w:val="PageNumber"/>
        <w:rFonts w:cs="Times New Roman"/>
        <w:b/>
        <w:noProof/>
      </w:rPr>
      <w:t>2</w:t>
    </w:r>
    <w:r w:rsidR="001B6008" w:rsidRPr="00A449D1">
      <w:rPr>
        <w:rStyle w:val="PageNumber"/>
        <w:rFonts w:cs="Times New Roman"/>
        <w:b/>
      </w:rPr>
      <w:fldChar w:fldCharType="end"/>
    </w:r>
    <w:r w:rsidR="00700731" w:rsidRPr="00A449D1">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077A"/>
    <w:multiLevelType w:val="hybridMultilevel"/>
    <w:tmpl w:val="F042C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8740F"/>
    <w:multiLevelType w:val="hybridMultilevel"/>
    <w:tmpl w:val="818C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C368B"/>
    <w:multiLevelType w:val="hybridMultilevel"/>
    <w:tmpl w:val="0CA0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71166"/>
    <w:multiLevelType w:val="hybridMultilevel"/>
    <w:tmpl w:val="58A0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1E7F6B"/>
    <w:multiLevelType w:val="hybridMultilevel"/>
    <w:tmpl w:val="11F8D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A25200"/>
    <w:multiLevelType w:val="hybridMultilevel"/>
    <w:tmpl w:val="1EB45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A31BE"/>
    <w:multiLevelType w:val="hybridMultilevel"/>
    <w:tmpl w:val="FB16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
  <w:rsids>
    <w:rsidRoot w:val="00035621"/>
    <w:rsid w:val="00035621"/>
    <w:rsid w:val="000515DF"/>
    <w:rsid w:val="00066536"/>
    <w:rsid w:val="000B0600"/>
    <w:rsid w:val="000B50ED"/>
    <w:rsid w:val="000B5AC9"/>
    <w:rsid w:val="000F66EA"/>
    <w:rsid w:val="00115177"/>
    <w:rsid w:val="00163C2A"/>
    <w:rsid w:val="001B6008"/>
    <w:rsid w:val="001E5711"/>
    <w:rsid w:val="002B7758"/>
    <w:rsid w:val="002E2F8F"/>
    <w:rsid w:val="003535DF"/>
    <w:rsid w:val="00434C1D"/>
    <w:rsid w:val="00454458"/>
    <w:rsid w:val="0046244F"/>
    <w:rsid w:val="004669E8"/>
    <w:rsid w:val="004A7177"/>
    <w:rsid w:val="00513CE7"/>
    <w:rsid w:val="00521A04"/>
    <w:rsid w:val="005371B4"/>
    <w:rsid w:val="0056497C"/>
    <w:rsid w:val="005863CB"/>
    <w:rsid w:val="00593602"/>
    <w:rsid w:val="005B0A88"/>
    <w:rsid w:val="00602AC3"/>
    <w:rsid w:val="006672FD"/>
    <w:rsid w:val="006A6B59"/>
    <w:rsid w:val="00700731"/>
    <w:rsid w:val="0074624F"/>
    <w:rsid w:val="0076306D"/>
    <w:rsid w:val="007A6381"/>
    <w:rsid w:val="007B66AC"/>
    <w:rsid w:val="00A449D1"/>
    <w:rsid w:val="00A50864"/>
    <w:rsid w:val="00AE01B7"/>
    <w:rsid w:val="00AF573A"/>
    <w:rsid w:val="00B16B26"/>
    <w:rsid w:val="00BF5A9F"/>
    <w:rsid w:val="00CF322F"/>
    <w:rsid w:val="00D80557"/>
    <w:rsid w:val="00E44A99"/>
    <w:rsid w:val="00E72313"/>
    <w:rsid w:val="00E94327"/>
    <w:rsid w:val="00EC6E1D"/>
    <w:rsid w:val="00F64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ed"/>
    <w:qFormat/>
    <w:rsid w:val="00E44A99"/>
    <w:rPr>
      <w:rFonts w:ascii="Times New Roman" w:hAnsi="Times New Roman"/>
    </w:rPr>
  </w:style>
  <w:style w:type="paragraph" w:styleId="Heading1">
    <w:name w:val="heading 1"/>
    <w:aliases w:val="Section Heading"/>
    <w:basedOn w:val="Normal"/>
    <w:next w:val="Normal"/>
    <w:link w:val="Heading1Char"/>
    <w:uiPriority w:val="9"/>
    <w:qFormat/>
    <w:rsid w:val="00E44A99"/>
    <w:pPr>
      <w:keepNext/>
      <w:keepLines/>
      <w:jc w:val="center"/>
      <w:outlineLvl w:val="0"/>
    </w:pPr>
    <w:rPr>
      <w:rFonts w:eastAsiaTheme="majorEastAsia" w:cstheme="majorBidi"/>
      <w:b/>
      <w:bCs/>
      <w:sz w:val="28"/>
      <w:szCs w:val="32"/>
      <w:u w:val="single"/>
    </w:rPr>
  </w:style>
  <w:style w:type="paragraph" w:styleId="Heading2">
    <w:name w:val="heading 2"/>
    <w:aliases w:val="Tag/Author-Year"/>
    <w:basedOn w:val="Normal"/>
    <w:next w:val="Normal"/>
    <w:link w:val="Heading2Char"/>
    <w:uiPriority w:val="9"/>
    <w:unhideWhenUsed/>
    <w:qFormat/>
    <w:rsid w:val="003535DF"/>
    <w:pPr>
      <w:keepNext/>
      <w:keepLines/>
      <w:outlineLvl w:val="1"/>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E44A99"/>
    <w:rPr>
      <w:rFonts w:ascii="Times New Roman" w:eastAsiaTheme="majorEastAsia" w:hAnsi="Times New Roman" w:cstheme="majorBidi"/>
      <w:b/>
      <w:bCs/>
      <w:sz w:val="28"/>
      <w:szCs w:val="32"/>
      <w:u w:val="single"/>
    </w:rPr>
  </w:style>
  <w:style w:type="paragraph" w:styleId="Revision">
    <w:name w:val="Revision"/>
    <w:hidden/>
    <w:uiPriority w:val="99"/>
    <w:semiHidden/>
    <w:rsid w:val="003535DF"/>
    <w:rPr>
      <w:rFonts w:ascii="Times New Roman" w:hAnsi="Times New Roman"/>
    </w:rPr>
  </w:style>
  <w:style w:type="paragraph" w:styleId="BalloonText">
    <w:name w:val="Balloon Text"/>
    <w:basedOn w:val="Normal"/>
    <w:link w:val="BalloonTextChar"/>
    <w:uiPriority w:val="99"/>
    <w:semiHidden/>
    <w:unhideWhenUsed/>
    <w:rsid w:val="003535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5DF"/>
    <w:rPr>
      <w:rFonts w:ascii="Lucida Grande" w:hAnsi="Lucida Grande" w:cs="Lucida Grande"/>
      <w:sz w:val="18"/>
      <w:szCs w:val="18"/>
    </w:rPr>
  </w:style>
  <w:style w:type="paragraph" w:styleId="DocumentMap">
    <w:name w:val="Document Map"/>
    <w:basedOn w:val="Normal"/>
    <w:link w:val="DocumentMapChar"/>
    <w:uiPriority w:val="99"/>
    <w:semiHidden/>
    <w:unhideWhenUsed/>
    <w:rsid w:val="003535DF"/>
    <w:rPr>
      <w:rFonts w:ascii="Lucida Grande" w:hAnsi="Lucida Grande" w:cs="Lucida Grande"/>
    </w:rPr>
  </w:style>
  <w:style w:type="character" w:customStyle="1" w:styleId="DocumentMapChar">
    <w:name w:val="Document Map Char"/>
    <w:basedOn w:val="DefaultParagraphFont"/>
    <w:link w:val="DocumentMap"/>
    <w:uiPriority w:val="99"/>
    <w:semiHidden/>
    <w:rsid w:val="003535DF"/>
    <w:rPr>
      <w:rFonts w:ascii="Lucida Grande" w:hAnsi="Lucida Grande" w:cs="Lucida Grande"/>
    </w:rPr>
  </w:style>
  <w:style w:type="character" w:customStyle="1" w:styleId="Heading2Char">
    <w:name w:val="Heading 2 Char"/>
    <w:aliases w:val="Tag/Author-Year Char"/>
    <w:basedOn w:val="DefaultParagraphFont"/>
    <w:link w:val="Heading2"/>
    <w:uiPriority w:val="9"/>
    <w:rsid w:val="003535DF"/>
    <w:rPr>
      <w:rFonts w:ascii="Times New Roman" w:eastAsiaTheme="majorEastAsia" w:hAnsi="Times New Roman" w:cstheme="majorBidi"/>
      <w:b/>
      <w:bCs/>
    </w:rPr>
  </w:style>
  <w:style w:type="paragraph" w:styleId="ListParagraph">
    <w:name w:val="List Paragraph"/>
    <w:basedOn w:val="Normal"/>
    <w:uiPriority w:val="34"/>
    <w:rsid w:val="00513CE7"/>
    <w:pPr>
      <w:ind w:left="720"/>
      <w:contextualSpacing/>
    </w:pPr>
  </w:style>
  <w:style w:type="paragraph" w:styleId="Subtitle">
    <w:name w:val="Subtitle"/>
    <w:aliases w:val="Card Cut"/>
    <w:basedOn w:val="Normal"/>
    <w:next w:val="Normal"/>
    <w:link w:val="SubtitleChar"/>
    <w:uiPriority w:val="11"/>
    <w:qFormat/>
    <w:rsid w:val="00454458"/>
    <w:pPr>
      <w:numPr>
        <w:ilvl w:val="1"/>
      </w:numPr>
    </w:pPr>
    <w:rPr>
      <w:rFonts w:eastAsiaTheme="majorEastAsia" w:cstheme="majorBidi"/>
      <w:sz w:val="12"/>
      <w:szCs w:val="12"/>
    </w:rPr>
  </w:style>
  <w:style w:type="character" w:customStyle="1" w:styleId="SubtitleChar">
    <w:name w:val="Subtitle Char"/>
    <w:aliases w:val="Card Cut Char"/>
    <w:basedOn w:val="DefaultParagraphFont"/>
    <w:link w:val="Subtitle"/>
    <w:uiPriority w:val="11"/>
    <w:rsid w:val="00454458"/>
    <w:rPr>
      <w:rFonts w:ascii="Times New Roman" w:eastAsiaTheme="majorEastAsia" w:hAnsi="Times New Roman" w:cstheme="majorBidi"/>
      <w:sz w:val="12"/>
      <w:szCs w:val="12"/>
    </w:rPr>
  </w:style>
  <w:style w:type="character" w:styleId="SubtleEmphasis">
    <w:name w:val="Subtle Emphasis"/>
    <w:aliases w:val="Cite,Style Style Bold + 12 pt"/>
    <w:uiPriority w:val="19"/>
    <w:qFormat/>
    <w:rsid w:val="00454458"/>
    <w:rPr>
      <w:rFonts w:ascii="Times New Roman" w:hAnsi="Times New Roman"/>
      <w:i w:val="0"/>
      <w:iCs w:val="0"/>
      <w:caps w:val="0"/>
      <w:smallCaps w:val="0"/>
      <w:strike w:val="0"/>
      <w:dstrike w:val="0"/>
      <w:vanish w:val="0"/>
      <w:color w:val="auto"/>
      <w:sz w:val="16"/>
      <w:szCs w:val="16"/>
      <w:u w:val="none"/>
      <w:vertAlign w:val="baseline"/>
    </w:rPr>
  </w:style>
  <w:style w:type="paragraph" w:styleId="Header">
    <w:name w:val="header"/>
    <w:basedOn w:val="Normal"/>
    <w:link w:val="HeaderChar"/>
    <w:uiPriority w:val="99"/>
    <w:unhideWhenUsed/>
    <w:rsid w:val="001E5711"/>
    <w:pPr>
      <w:tabs>
        <w:tab w:val="center" w:pos="4320"/>
        <w:tab w:val="right" w:pos="8640"/>
      </w:tabs>
    </w:pPr>
  </w:style>
  <w:style w:type="character" w:customStyle="1" w:styleId="HeaderChar">
    <w:name w:val="Header Char"/>
    <w:basedOn w:val="DefaultParagraphFont"/>
    <w:link w:val="Header"/>
    <w:uiPriority w:val="99"/>
    <w:rsid w:val="001E5711"/>
    <w:rPr>
      <w:rFonts w:ascii="Times New Roman" w:hAnsi="Times New Roman"/>
    </w:rPr>
  </w:style>
  <w:style w:type="paragraph" w:styleId="Footer">
    <w:name w:val="footer"/>
    <w:basedOn w:val="Normal"/>
    <w:link w:val="FooterChar"/>
    <w:uiPriority w:val="99"/>
    <w:unhideWhenUsed/>
    <w:rsid w:val="001E5711"/>
    <w:pPr>
      <w:tabs>
        <w:tab w:val="center" w:pos="4320"/>
        <w:tab w:val="right" w:pos="8640"/>
      </w:tabs>
    </w:pPr>
  </w:style>
  <w:style w:type="character" w:customStyle="1" w:styleId="FooterChar">
    <w:name w:val="Footer Char"/>
    <w:basedOn w:val="DefaultParagraphFont"/>
    <w:link w:val="Footer"/>
    <w:uiPriority w:val="99"/>
    <w:rsid w:val="001E5711"/>
    <w:rPr>
      <w:rFonts w:ascii="Times New Roman" w:hAnsi="Times New Roman"/>
    </w:rPr>
  </w:style>
  <w:style w:type="character" w:styleId="PageNumber">
    <w:name w:val="page number"/>
    <w:basedOn w:val="DefaultParagraphFont"/>
    <w:uiPriority w:val="99"/>
    <w:semiHidden/>
    <w:unhideWhenUsed/>
    <w:rsid w:val="001E5711"/>
  </w:style>
  <w:style w:type="paragraph" w:styleId="FootnoteText">
    <w:name w:val="footnote text"/>
    <w:basedOn w:val="Normal"/>
    <w:link w:val="FootnoteTextChar"/>
    <w:uiPriority w:val="99"/>
    <w:semiHidden/>
    <w:unhideWhenUsed/>
    <w:rsid w:val="00593602"/>
    <w:rPr>
      <w:sz w:val="20"/>
      <w:szCs w:val="20"/>
    </w:rPr>
  </w:style>
  <w:style w:type="character" w:customStyle="1" w:styleId="FootnoteTextChar">
    <w:name w:val="Footnote Text Char"/>
    <w:basedOn w:val="DefaultParagraphFont"/>
    <w:link w:val="FootnoteText"/>
    <w:uiPriority w:val="99"/>
    <w:semiHidden/>
    <w:rsid w:val="00593602"/>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ier\Dropbox\Debate%20Template%202012-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6945"/>
    <w:rsid w:val="001366CE"/>
    <w:rsid w:val="00F66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063D90560949EBB64C723B17362E8C">
    <w:name w:val="53063D90560949EBB64C723B17362E8C"/>
  </w:style>
  <w:style w:type="paragraph" w:customStyle="1" w:styleId="7D89F1784F9541DC9191BC0C943C5C73">
    <w:name w:val="7D89F1784F9541DC9191BC0C943C5C73"/>
  </w:style>
  <w:style w:type="paragraph" w:customStyle="1" w:styleId="E7EA87025B3242608C8E0FC7D61BBDB0">
    <w:name w:val="E7EA87025B3242608C8E0FC7D61BBDB0"/>
  </w:style>
  <w:style w:type="paragraph" w:customStyle="1" w:styleId="C4972434D3144042A8170036357C6AD8">
    <w:name w:val="C4972434D3144042A8170036357C6AD8"/>
    <w:rsid w:val="00F66945"/>
  </w:style>
  <w:style w:type="paragraph" w:customStyle="1" w:styleId="91EE392A6C9443928E8FDF766A8492B1">
    <w:name w:val="91EE392A6C9443928E8FDF766A8492B1"/>
    <w:rsid w:val="00F66945"/>
  </w:style>
  <w:style w:type="paragraph" w:customStyle="1" w:styleId="6E77B0BB9DDB43E28C55A6A575233ED0">
    <w:name w:val="6E77B0BB9DDB43E28C55A6A575233ED0"/>
    <w:rsid w:val="00F6694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E19A3-6DFB-4C2B-AC54-D74C5EAF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2012-2013.dotx</Template>
  <TotalTime>21</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Rainier Ababao</dc:creator>
  <cp:lastModifiedBy>Rainier Ababao</cp:lastModifiedBy>
  <cp:revision>32</cp:revision>
  <dcterms:created xsi:type="dcterms:W3CDTF">2012-10-16T17:28:00Z</dcterms:created>
  <dcterms:modified xsi:type="dcterms:W3CDTF">2012-10-16T17:51:00Z</dcterms:modified>
</cp:coreProperties>
</file>