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DC5" w:rsidRPr="00E56F48" w:rsidRDefault="00DA4DC5" w:rsidP="00286A4D">
      <w:pPr>
        <w:jc w:val="center"/>
        <w:rPr>
          <w:sz w:val="28"/>
          <w:szCs w:val="28"/>
        </w:rPr>
      </w:pPr>
      <w:r w:rsidRPr="00E56F48">
        <w:rPr>
          <w:sz w:val="28"/>
          <w:szCs w:val="28"/>
        </w:rPr>
        <w:t>Negative</w:t>
      </w:r>
    </w:p>
    <w:p w:rsidR="00033DA4" w:rsidRPr="009935EA" w:rsidRDefault="00286A4D" w:rsidP="00DA4DC5">
      <w:pPr>
        <w:rPr>
          <w:sz w:val="24"/>
          <w:szCs w:val="28"/>
        </w:rPr>
      </w:pPr>
      <w:r w:rsidRPr="009935EA">
        <w:rPr>
          <w:sz w:val="24"/>
          <w:szCs w:val="28"/>
        </w:rPr>
        <w:t>I negat</w:t>
      </w:r>
      <w:r w:rsidR="004A0AA0">
        <w:rPr>
          <w:sz w:val="24"/>
          <w:szCs w:val="28"/>
        </w:rPr>
        <w:t xml:space="preserve">e. </w:t>
      </w:r>
    </w:p>
    <w:p w:rsidR="00FC0CC0" w:rsidRDefault="00286A4D" w:rsidP="00DA4DC5">
      <w:pPr>
        <w:rPr>
          <w:sz w:val="24"/>
        </w:rPr>
      </w:pPr>
      <w:r w:rsidRPr="009935EA">
        <w:rPr>
          <w:sz w:val="24"/>
        </w:rPr>
        <w:t xml:space="preserve">My value </w:t>
      </w:r>
      <w:r w:rsidR="00D26F78">
        <w:rPr>
          <w:sz w:val="24"/>
        </w:rPr>
        <w:t xml:space="preserve">for this round is Morality. My Value criterion to uphold this value is </w:t>
      </w:r>
      <w:r w:rsidR="00924E2C">
        <w:rPr>
          <w:sz w:val="24"/>
        </w:rPr>
        <w:t xml:space="preserve">the Just War Theory. </w:t>
      </w:r>
    </w:p>
    <w:p w:rsidR="00FC0CC0" w:rsidRDefault="00FC0CC0" w:rsidP="00DA4DC5">
      <w:pPr>
        <w:rPr>
          <w:sz w:val="24"/>
        </w:rPr>
      </w:pPr>
    </w:p>
    <w:p w:rsidR="00390C39" w:rsidRPr="009935EA" w:rsidRDefault="009C1C0D" w:rsidP="00DA4DC5">
      <w:pPr>
        <w:rPr>
          <w:sz w:val="24"/>
        </w:rPr>
      </w:pPr>
      <w:r w:rsidRPr="009935EA">
        <w:rPr>
          <w:sz w:val="24"/>
        </w:rPr>
        <w:t xml:space="preserve">The resolution asks </w:t>
      </w:r>
      <w:r w:rsidR="00BE6C3E" w:rsidRPr="009935EA">
        <w:rPr>
          <w:sz w:val="24"/>
        </w:rPr>
        <w:t>whether</w:t>
      </w:r>
      <w:r w:rsidRPr="009935EA">
        <w:rPr>
          <w:sz w:val="24"/>
        </w:rPr>
        <w:t xml:space="preserve"> or not we ought to give non citizens accused of terrorism due process rights, </w:t>
      </w:r>
      <w:r w:rsidR="004A0AA0">
        <w:rPr>
          <w:sz w:val="24"/>
        </w:rPr>
        <w:t>although affirming the resolution sounds like a good idea,</w:t>
      </w:r>
      <w:r w:rsidR="00FC0CC0">
        <w:rPr>
          <w:sz w:val="24"/>
        </w:rPr>
        <w:t xml:space="preserve"> giving a noncitizen accused of terrorism</w:t>
      </w:r>
      <w:r w:rsidRPr="009935EA">
        <w:rPr>
          <w:sz w:val="24"/>
        </w:rPr>
        <w:t xml:space="preserve"> constitutional due process </w:t>
      </w:r>
      <w:r w:rsidR="00FC0CC0">
        <w:rPr>
          <w:sz w:val="24"/>
        </w:rPr>
        <w:t xml:space="preserve">would endanger more than we can benefit and there is no practical way to do it. Because the negative is the only one that can bring actual results and benefit the most people, therefore doing the most good, you automatically negate. </w:t>
      </w:r>
    </w:p>
    <w:p w:rsidR="00390C39" w:rsidRPr="00FC0CC0" w:rsidRDefault="00FC0CC0" w:rsidP="008D4D97">
      <w:pPr>
        <w:rPr>
          <w:b/>
          <w:sz w:val="24"/>
          <w:szCs w:val="28"/>
        </w:rPr>
      </w:pPr>
      <w:r>
        <w:rPr>
          <w:b/>
          <w:sz w:val="24"/>
          <w:szCs w:val="28"/>
        </w:rPr>
        <w:t xml:space="preserve">Obs.1) </w:t>
      </w:r>
      <w:r w:rsidR="00390C39" w:rsidRPr="007175EA">
        <w:rPr>
          <w:b/>
          <w:sz w:val="24"/>
          <w:szCs w:val="28"/>
          <w:u w:val="single"/>
        </w:rPr>
        <w:t>Accused terrorists are not currently treated under the Geneva Convention.</w:t>
      </w:r>
      <w:r w:rsidR="007175EA" w:rsidRPr="007175EA">
        <w:rPr>
          <w:b/>
          <w:sz w:val="24"/>
          <w:szCs w:val="28"/>
          <w:u w:val="single"/>
        </w:rPr>
        <w:t xml:space="preserve"> </w:t>
      </w:r>
    </w:p>
    <w:p w:rsidR="00924E2C" w:rsidRDefault="00924E2C" w:rsidP="00B37E7F">
      <w:pPr>
        <w:rPr>
          <w:b/>
          <w:u w:val="single"/>
        </w:rPr>
      </w:pPr>
      <w:r>
        <w:rPr>
          <w:b/>
          <w:u w:val="single"/>
        </w:rPr>
        <w:t>Contention 1- We are all terrorists</w:t>
      </w:r>
    </w:p>
    <w:p w:rsidR="00B37E7F" w:rsidRDefault="004B1393" w:rsidP="00B37E7F">
      <w:pPr>
        <w:rPr>
          <w:b/>
          <w:u w:val="single"/>
        </w:rPr>
      </w:pPr>
      <w:r w:rsidRPr="009935EA">
        <w:rPr>
          <w:b/>
          <w:u w:val="single"/>
        </w:rPr>
        <w:t xml:space="preserve">Contention </w:t>
      </w:r>
      <w:r w:rsidR="00924E2C">
        <w:rPr>
          <w:b/>
          <w:u w:val="single"/>
        </w:rPr>
        <w:t>2</w:t>
      </w:r>
      <w:r w:rsidRPr="009935EA">
        <w:rPr>
          <w:b/>
          <w:u w:val="single"/>
        </w:rPr>
        <w:t>- Non- citizens accused of terrorism should be classified as prisoners of war and treated according to the Geneva Convention.</w:t>
      </w:r>
    </w:p>
    <w:p w:rsidR="00B37E7F" w:rsidRPr="00B37E7F" w:rsidRDefault="00B37E7F" w:rsidP="00B37E7F">
      <w:r w:rsidRPr="00494204">
        <w:t xml:space="preserve">The Geneva Convention is an </w:t>
      </w:r>
      <w:r w:rsidR="00494204" w:rsidRPr="00494204">
        <w:t>International</w:t>
      </w:r>
      <w:r w:rsidRPr="00494204">
        <w:t xml:space="preserve"> treaty first made in Geneva in 1864</w:t>
      </w:r>
      <w:r w:rsidR="008A3C16">
        <w:t>.</w:t>
      </w:r>
      <w:r w:rsidRPr="00494204">
        <w:t>The Geneva treaty tells us the right way to treat prisoners of war. article 4 of the 3</w:t>
      </w:r>
      <w:r w:rsidRPr="00494204">
        <w:rPr>
          <w:vertAlign w:val="superscript"/>
        </w:rPr>
        <w:t>rd</w:t>
      </w:r>
      <w:r w:rsidRPr="00494204">
        <w:t xml:space="preserve"> Geneva convention qualifies terrorists, and </w:t>
      </w:r>
      <w:r w:rsidR="00494204" w:rsidRPr="00494204">
        <w:t>terrorist</w:t>
      </w:r>
      <w:r w:rsidRPr="00494204">
        <w:t xml:space="preserve"> groups as Prisoners of War, therefore it is practical that we follow this international treaty and benefit not only citizens accused of terrorism but U.S. citizens as well. </w:t>
      </w:r>
    </w:p>
    <w:p w:rsidR="00311F51" w:rsidRPr="009935EA" w:rsidRDefault="00311F51" w:rsidP="00DA4DC5">
      <w:r w:rsidRPr="009935EA">
        <w:t xml:space="preserve">Because the War in Afghanistan qualifies as an international armed conflict, </w:t>
      </w:r>
      <w:r w:rsidR="00C84AE6" w:rsidRPr="009935EA">
        <w:t>terrorists are committing acts of war. When captured, they are prisoners of war.</w:t>
      </w:r>
    </w:p>
    <w:tbl>
      <w:tblPr>
        <w:tblStyle w:val="TableGrid"/>
        <w:tblW w:w="0" w:type="auto"/>
        <w:tblLook w:val="04A0"/>
      </w:tblPr>
      <w:tblGrid>
        <w:gridCol w:w="9576"/>
      </w:tblGrid>
      <w:tr w:rsidR="00390C39" w:rsidRPr="009935EA" w:rsidTr="00390C39">
        <w:tc>
          <w:tcPr>
            <w:tcW w:w="9576" w:type="dxa"/>
          </w:tcPr>
          <w:p w:rsidR="00390C39" w:rsidRPr="009935EA" w:rsidRDefault="00267A8C" w:rsidP="00390C39">
            <w:pPr>
              <w:rPr>
                <w:sz w:val="20"/>
              </w:rPr>
            </w:pPr>
            <w:r w:rsidRPr="003D1363">
              <w:rPr>
                <w:b/>
                <w:sz w:val="24"/>
                <w:szCs w:val="24"/>
                <w:u w:val="single"/>
              </w:rPr>
              <w:t>Maria Nybondas associate professor at the TMC Asser Institute</w:t>
            </w:r>
            <w:r>
              <w:rPr>
                <w:sz w:val="24"/>
                <w:szCs w:val="24"/>
              </w:rPr>
              <w:t xml:space="preserve">, </w:t>
            </w:r>
            <w:r w:rsidR="00390C39" w:rsidRPr="00267A8C">
              <w:rPr>
                <w:b/>
                <w:sz w:val="24"/>
                <w:szCs w:val="24"/>
                <w:u w:val="single"/>
              </w:rPr>
              <w:t>The</w:t>
            </w:r>
            <w:r w:rsidR="00390C39" w:rsidRPr="003D1363">
              <w:rPr>
                <w:b/>
                <w:u w:val="single"/>
              </w:rPr>
              <w:t xml:space="preserve"> </w:t>
            </w:r>
            <w:r w:rsidR="00390C39" w:rsidRPr="003A3AD0">
              <w:rPr>
                <w:sz w:val="16"/>
                <w:szCs w:val="16"/>
              </w:rPr>
              <w:t xml:space="preserve">relevant </w:t>
            </w:r>
            <w:r w:rsidR="00390C39" w:rsidRPr="00267A8C">
              <w:rPr>
                <w:b/>
                <w:sz w:val="24"/>
                <w:szCs w:val="24"/>
                <w:u w:val="single"/>
              </w:rPr>
              <w:t xml:space="preserve">rules as to who can get a status as POW can be found in Article 4 of the Third Geneva Convention </w:t>
            </w:r>
            <w:r w:rsidR="004A0AA0" w:rsidRPr="00267A8C">
              <w:rPr>
                <w:b/>
                <w:sz w:val="24"/>
                <w:szCs w:val="24"/>
                <w:u w:val="single"/>
              </w:rPr>
              <w:t>[.]</w:t>
            </w:r>
            <w:r w:rsidR="00390C39" w:rsidRPr="004A0AA0">
              <w:rPr>
                <w:sz w:val="16"/>
                <w:szCs w:val="16"/>
              </w:rPr>
              <w:t>and Articles 43 and 44 of 1977 Additional Protocol I to the Geneva Conventions</w:t>
            </w:r>
            <w:r w:rsidR="00390C39" w:rsidRPr="003D1363">
              <w:rPr>
                <w:b/>
                <w:u w:val="single"/>
              </w:rPr>
              <w:t xml:space="preserve">. </w:t>
            </w:r>
            <w:r w:rsidR="00390C39" w:rsidRPr="00267A8C">
              <w:rPr>
                <w:b/>
                <w:sz w:val="24"/>
                <w:szCs w:val="24"/>
                <w:u w:val="single"/>
              </w:rPr>
              <w:t>Both the US and Afghanistan are parties to the Geneva Conventions, which are accordingly applicable to the conflict in Afghanistan. Moreover, the Geneva Conventions are part of international customary law and are</w:t>
            </w:r>
            <w:r w:rsidR="00390C39" w:rsidRPr="003D1363">
              <w:rPr>
                <w:b/>
                <w:u w:val="single"/>
              </w:rPr>
              <w:t xml:space="preserve"> </w:t>
            </w:r>
            <w:r w:rsidR="00390C39" w:rsidRPr="004A0AA0">
              <w:rPr>
                <w:sz w:val="16"/>
                <w:szCs w:val="16"/>
              </w:rPr>
              <w:t xml:space="preserve">as such </w:t>
            </w:r>
            <w:r w:rsidR="00390C39" w:rsidRPr="00267A8C">
              <w:rPr>
                <w:b/>
                <w:sz w:val="24"/>
                <w:szCs w:val="24"/>
                <w:u w:val="single"/>
              </w:rPr>
              <w:t>applicable even without the ratification of a State Party to the conflict.</w:t>
            </w:r>
            <w:r w:rsidR="00390C39" w:rsidRPr="009935EA">
              <w:t xml:space="preserve"> </w:t>
            </w:r>
            <w:r w:rsidR="00390C39" w:rsidRPr="003A3AD0">
              <w:rPr>
                <w:sz w:val="16"/>
                <w:szCs w:val="16"/>
              </w:rPr>
              <w:t>Although the US has not ratified Additional Protocol I, the rules included in this instrument are by and large constituent of customary law, which would also make these rules applicable to the US.</w:t>
            </w:r>
          </w:p>
          <w:p w:rsidR="00390C39" w:rsidRPr="009935EA" w:rsidRDefault="00390C39" w:rsidP="00390C39">
            <w:pPr>
              <w:rPr>
                <w:sz w:val="20"/>
              </w:rPr>
            </w:pPr>
            <w:r w:rsidRPr="009935EA">
              <w:rPr>
                <w:sz w:val="20"/>
              </w:rPr>
              <w:t>______________________________</w:t>
            </w:r>
          </w:p>
          <w:p w:rsidR="00390C39" w:rsidRPr="009935EA" w:rsidRDefault="00390C39" w:rsidP="003A3AD0">
            <w:r w:rsidRPr="009935EA">
              <w:t xml:space="preserve">Maria </w:t>
            </w:r>
            <w:r w:rsidRPr="009935EA">
              <w:rPr>
                <w:b/>
              </w:rPr>
              <w:t>Nybondas</w:t>
            </w:r>
            <w:r w:rsidRPr="009935EA">
              <w:t xml:space="preserve"> 20</w:t>
            </w:r>
            <w:r w:rsidRPr="009935EA">
              <w:rPr>
                <w:b/>
              </w:rPr>
              <w:t xml:space="preserve">02 </w:t>
            </w:r>
            <w:r w:rsidRPr="009935EA">
              <w:t xml:space="preserve"> [associate professor at the TMC Asser Institute], “The Legal Situation Surrounding the Guantanamo Bay Detainees,” TMC Asser Institute.</w:t>
            </w:r>
          </w:p>
        </w:tc>
      </w:tr>
    </w:tbl>
    <w:p w:rsidR="00267A8C" w:rsidRDefault="00C84AE6" w:rsidP="00267A8C">
      <w:pPr>
        <w:pBdr>
          <w:bottom w:val="single" w:sz="12" w:space="1" w:color="auto"/>
        </w:pBdr>
      </w:pPr>
      <w:r w:rsidRPr="009935EA">
        <w:t>Both Afghanistan and the US are part of the Geneva Convention, and thus should follow it.</w:t>
      </w:r>
    </w:p>
    <w:p w:rsidR="003A3AD0" w:rsidRDefault="003A3AD0" w:rsidP="00267A8C">
      <w:pPr>
        <w:pBdr>
          <w:bottom w:val="single" w:sz="12" w:space="1" w:color="auto"/>
        </w:pBdr>
        <w:tabs>
          <w:tab w:val="right" w:pos="9360"/>
        </w:tabs>
      </w:pPr>
      <w:r>
        <w:t>Under the Geneva Convention terrorists grou</w:t>
      </w:r>
      <w:r w:rsidR="00267A8C">
        <w:t>ps qualify as Prisoners of War.</w:t>
      </w:r>
    </w:p>
    <w:tbl>
      <w:tblPr>
        <w:tblStyle w:val="TableGrid"/>
        <w:tblW w:w="0" w:type="auto"/>
        <w:tblLook w:val="04A0"/>
      </w:tblPr>
      <w:tblGrid>
        <w:gridCol w:w="9576"/>
      </w:tblGrid>
      <w:tr w:rsidR="003A3AD0" w:rsidTr="003A3AD0">
        <w:tc>
          <w:tcPr>
            <w:tcW w:w="9576" w:type="dxa"/>
          </w:tcPr>
          <w:p w:rsidR="003A3AD0" w:rsidRPr="003A3AD0" w:rsidRDefault="00267A8C" w:rsidP="003A3AD0">
            <w:pPr>
              <w:rPr>
                <w:sz w:val="16"/>
                <w:szCs w:val="16"/>
              </w:rPr>
            </w:pPr>
            <w:r w:rsidRPr="00267A8C">
              <w:rPr>
                <w:b/>
                <w:sz w:val="24"/>
                <w:szCs w:val="24"/>
                <w:u w:val="single"/>
              </w:rPr>
              <w:t>Nyabondas 2</w:t>
            </w:r>
            <w:r w:rsidR="003A3AD0" w:rsidRPr="00267A8C">
              <w:rPr>
                <w:b/>
                <w:sz w:val="24"/>
                <w:szCs w:val="24"/>
                <w:u w:val="single"/>
              </w:rPr>
              <w:t xml:space="preserve">: Article 4 of Geneva Convention III lays down which groups of persons are </w:t>
            </w:r>
            <w:r w:rsidR="003A3AD0" w:rsidRPr="00267A8C">
              <w:rPr>
                <w:b/>
                <w:sz w:val="24"/>
                <w:szCs w:val="24"/>
                <w:u w:val="single"/>
              </w:rPr>
              <w:lastRenderedPageBreak/>
              <w:t>entitled to a POW status when captured in an armed conflict.</w:t>
            </w:r>
            <w:r w:rsidR="003A3AD0" w:rsidRPr="009935EA">
              <w:rPr>
                <w:u w:val="single"/>
              </w:rPr>
              <w:t xml:space="preserve"> </w:t>
            </w:r>
            <w:r w:rsidR="003A3AD0" w:rsidRPr="003A3AD0">
              <w:rPr>
                <w:sz w:val="16"/>
                <w:szCs w:val="16"/>
              </w:rPr>
              <w:t xml:space="preserve">Article 4(A), which includes rules applicable to non-occupied territory, reads as follows: </w:t>
            </w:r>
          </w:p>
          <w:p w:rsidR="003A3AD0" w:rsidRPr="003A3AD0" w:rsidRDefault="003A3AD0" w:rsidP="003A3AD0">
            <w:pPr>
              <w:rPr>
                <w:sz w:val="16"/>
                <w:szCs w:val="16"/>
              </w:rPr>
            </w:pPr>
            <w:r w:rsidRPr="003A3AD0">
              <w:rPr>
                <w:sz w:val="16"/>
                <w:szCs w:val="16"/>
              </w:rPr>
              <w:t>‘Prisoners of war, in the sense of the present Convention, are persons belonging to one of the following categories, who have fallen into the power of the enemy:</w:t>
            </w:r>
          </w:p>
          <w:p w:rsidR="003A3AD0" w:rsidRPr="003A3AD0" w:rsidRDefault="003A3AD0" w:rsidP="003A3AD0">
            <w:pPr>
              <w:rPr>
                <w:sz w:val="16"/>
                <w:szCs w:val="16"/>
              </w:rPr>
            </w:pPr>
            <w:r w:rsidRPr="003A3AD0">
              <w:rPr>
                <w:sz w:val="16"/>
                <w:szCs w:val="16"/>
              </w:rPr>
              <w:t>(1) Members of the armed forces of a Party to the conflict, as well as members of militias or volunteer corps forming part of such armed forces.</w:t>
            </w:r>
          </w:p>
          <w:p w:rsidR="003A3AD0" w:rsidRPr="003A3AD0" w:rsidRDefault="003A3AD0" w:rsidP="003A3AD0">
            <w:pPr>
              <w:rPr>
                <w:b/>
                <w:u w:val="single"/>
              </w:rPr>
            </w:pPr>
            <w:r w:rsidRPr="00267A8C">
              <w:rPr>
                <w:sz w:val="24"/>
                <w:szCs w:val="24"/>
              </w:rPr>
              <w:t>(</w:t>
            </w:r>
            <w:r w:rsidRPr="00267A8C">
              <w:rPr>
                <w:b/>
                <w:sz w:val="24"/>
                <w:szCs w:val="24"/>
              </w:rPr>
              <w:t>2</w:t>
            </w:r>
            <w:r w:rsidRPr="00267A8C">
              <w:rPr>
                <w:b/>
                <w:sz w:val="24"/>
                <w:szCs w:val="24"/>
                <w:u w:val="single"/>
              </w:rPr>
              <w:t>) Members of</w:t>
            </w:r>
            <w:r w:rsidRPr="003A3AD0">
              <w:rPr>
                <w:b/>
                <w:u w:val="single"/>
              </w:rPr>
              <w:t xml:space="preserve"> </w:t>
            </w:r>
            <w:r w:rsidRPr="004A0AA0">
              <w:rPr>
                <w:sz w:val="16"/>
                <w:szCs w:val="16"/>
              </w:rPr>
              <w:t xml:space="preserve">other militias and members of other volunteer corps, including those of </w:t>
            </w:r>
            <w:r w:rsidRPr="00267A8C">
              <w:rPr>
                <w:b/>
                <w:sz w:val="24"/>
                <w:szCs w:val="24"/>
                <w:u w:val="single"/>
              </w:rPr>
              <w:t>organized resistance movements, belonging to a Party to the conflict and operating in or outside their own territory, even if this territory is occupied</w:t>
            </w:r>
            <w:r w:rsidR="004A0AA0" w:rsidRPr="00267A8C">
              <w:rPr>
                <w:b/>
                <w:sz w:val="24"/>
                <w:szCs w:val="24"/>
                <w:u w:val="single"/>
              </w:rPr>
              <w:t>[.]</w:t>
            </w:r>
            <w:r w:rsidRPr="0078163C">
              <w:rPr>
                <w:sz w:val="16"/>
                <w:szCs w:val="16"/>
              </w:rPr>
              <w:t>,</w:t>
            </w:r>
            <w:r w:rsidRPr="0078163C">
              <w:t xml:space="preserve"> </w:t>
            </w:r>
            <w:r w:rsidRPr="004A0AA0">
              <w:rPr>
                <w:sz w:val="16"/>
                <w:szCs w:val="16"/>
              </w:rPr>
              <w:t>provided that such militias or volunteer corps, including such organized resistance movements, fulfil the following conditions:</w:t>
            </w:r>
          </w:p>
          <w:p w:rsidR="003A3AD0" w:rsidRPr="003A3AD0" w:rsidRDefault="003A3AD0" w:rsidP="003A3AD0">
            <w:pPr>
              <w:rPr>
                <w:sz w:val="16"/>
                <w:szCs w:val="16"/>
              </w:rPr>
            </w:pPr>
            <w:r w:rsidRPr="003A3AD0">
              <w:rPr>
                <w:sz w:val="16"/>
                <w:szCs w:val="16"/>
              </w:rPr>
              <w:t>(a) that of being commanded by a person responsible for his subordinates;</w:t>
            </w:r>
          </w:p>
          <w:p w:rsidR="003A3AD0" w:rsidRPr="003A3AD0" w:rsidRDefault="003A3AD0" w:rsidP="003A3AD0">
            <w:pPr>
              <w:rPr>
                <w:sz w:val="16"/>
                <w:szCs w:val="16"/>
              </w:rPr>
            </w:pPr>
            <w:r w:rsidRPr="003A3AD0">
              <w:rPr>
                <w:sz w:val="16"/>
                <w:szCs w:val="16"/>
              </w:rPr>
              <w:t>(b) that of having a fixed distinctive sign recognizable at a distance;</w:t>
            </w:r>
          </w:p>
          <w:p w:rsidR="003A3AD0" w:rsidRPr="003A3AD0" w:rsidRDefault="003A3AD0" w:rsidP="003A3AD0">
            <w:pPr>
              <w:rPr>
                <w:sz w:val="16"/>
                <w:szCs w:val="16"/>
              </w:rPr>
            </w:pPr>
            <w:r w:rsidRPr="003A3AD0">
              <w:rPr>
                <w:sz w:val="16"/>
                <w:szCs w:val="16"/>
              </w:rPr>
              <w:t xml:space="preserve">(c) </w:t>
            </w:r>
            <w:r w:rsidRPr="003A3AD0">
              <w:rPr>
                <w:sz w:val="16"/>
                <w:szCs w:val="16"/>
                <w:u w:val="single"/>
              </w:rPr>
              <w:t>that of carrying arms openly;</w:t>
            </w:r>
          </w:p>
          <w:p w:rsidR="003A3AD0" w:rsidRPr="003A3AD0" w:rsidRDefault="003A3AD0" w:rsidP="003A3AD0">
            <w:pPr>
              <w:rPr>
                <w:sz w:val="16"/>
                <w:szCs w:val="16"/>
              </w:rPr>
            </w:pPr>
            <w:r w:rsidRPr="003A3AD0">
              <w:rPr>
                <w:sz w:val="16"/>
                <w:szCs w:val="16"/>
              </w:rPr>
              <w:t>(d) that of conducting their operations in accordance with the laws and customs of war.</w:t>
            </w:r>
          </w:p>
          <w:p w:rsidR="003A3AD0" w:rsidRDefault="003A3AD0" w:rsidP="003A3AD0">
            <w:pPr>
              <w:rPr>
                <w:sz w:val="20"/>
              </w:rPr>
            </w:pPr>
            <w:r>
              <w:rPr>
                <w:sz w:val="20"/>
              </w:rPr>
              <w:t>____________________</w:t>
            </w:r>
          </w:p>
          <w:p w:rsidR="003A3AD0" w:rsidRPr="003A3AD0" w:rsidRDefault="003A3AD0" w:rsidP="00DA4DC5">
            <w:pPr>
              <w:rPr>
                <w:sz w:val="20"/>
              </w:rPr>
            </w:pPr>
            <w:r w:rsidRPr="009935EA">
              <w:t xml:space="preserve">Maria </w:t>
            </w:r>
            <w:r w:rsidRPr="009935EA">
              <w:rPr>
                <w:b/>
              </w:rPr>
              <w:t>Nybondas</w:t>
            </w:r>
            <w:r w:rsidRPr="009935EA">
              <w:t xml:space="preserve"> 20</w:t>
            </w:r>
            <w:r w:rsidRPr="009935EA">
              <w:rPr>
                <w:b/>
              </w:rPr>
              <w:t xml:space="preserve">02 </w:t>
            </w:r>
            <w:r w:rsidRPr="009935EA">
              <w:t xml:space="preserve"> [associate professor at the TMC Asser Institute], “The Legal Situation Surrounding the Guantanamo Bay Detainees,” TMC Asser Institute.</w:t>
            </w:r>
          </w:p>
        </w:tc>
      </w:tr>
    </w:tbl>
    <w:p w:rsidR="003A3AD0" w:rsidRDefault="003A3AD0" w:rsidP="00DA4DC5"/>
    <w:p w:rsidR="004B1393" w:rsidRPr="009935EA" w:rsidRDefault="00C84AE6" w:rsidP="00286A4D">
      <w:r w:rsidRPr="009935EA">
        <w:t>There are two major advantages to treating terrorists as prisoners of war under the Geneva Convention. First, it protects our national security by not allowing non citizens acc</w:t>
      </w:r>
      <w:r w:rsidR="00E61333">
        <w:t>used of terrorism to be tried. Th</w:t>
      </w:r>
      <w:r w:rsidRPr="009935EA">
        <w:t xml:space="preserve">ey can be held for the entire duration of the conflict. Second, the suspected terrorists must be treated humanely. This does not allow for things like torture. </w:t>
      </w:r>
    </w:p>
    <w:sectPr w:rsidR="004B1393" w:rsidRPr="009935EA" w:rsidSect="00BD282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4AF" w:rsidRDefault="00BB14AF" w:rsidP="00E56F48">
      <w:pPr>
        <w:spacing w:after="0" w:line="240" w:lineRule="auto"/>
      </w:pPr>
      <w:r>
        <w:separator/>
      </w:r>
    </w:p>
  </w:endnote>
  <w:endnote w:type="continuationSeparator" w:id="0">
    <w:p w:rsidR="00BB14AF" w:rsidRDefault="00BB14AF" w:rsidP="00E56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4AF" w:rsidRDefault="00BB14AF" w:rsidP="00E56F48">
      <w:pPr>
        <w:spacing w:after="0" w:line="240" w:lineRule="auto"/>
      </w:pPr>
      <w:r>
        <w:separator/>
      </w:r>
    </w:p>
  </w:footnote>
  <w:footnote w:type="continuationSeparator" w:id="0">
    <w:p w:rsidR="00BB14AF" w:rsidRDefault="00BB14AF" w:rsidP="00E56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F48" w:rsidRDefault="00E56F48">
    <w:pPr>
      <w:pStyle w:val="Header"/>
    </w:pPr>
    <w:r>
      <w:tab/>
    </w:r>
    <w:r>
      <w:tab/>
      <w:t>Cantu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C2030"/>
    <w:multiLevelType w:val="multilevel"/>
    <w:tmpl w:val="F020A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1"/>
    <w:footnote w:id="0"/>
  </w:footnotePr>
  <w:endnotePr>
    <w:endnote w:id="-1"/>
    <w:endnote w:id="0"/>
  </w:endnotePr>
  <w:compat/>
  <w:rsids>
    <w:rsidRoot w:val="00DA4DC5"/>
    <w:rsid w:val="00033DA4"/>
    <w:rsid w:val="00034C99"/>
    <w:rsid w:val="001B4A54"/>
    <w:rsid w:val="00240A6F"/>
    <w:rsid w:val="00267A8C"/>
    <w:rsid w:val="00273445"/>
    <w:rsid w:val="00286A4D"/>
    <w:rsid w:val="00311F51"/>
    <w:rsid w:val="00313543"/>
    <w:rsid w:val="0035760F"/>
    <w:rsid w:val="00390C39"/>
    <w:rsid w:val="003A3AD0"/>
    <w:rsid w:val="003D1363"/>
    <w:rsid w:val="00423953"/>
    <w:rsid w:val="00494204"/>
    <w:rsid w:val="004A0AA0"/>
    <w:rsid w:val="004B1393"/>
    <w:rsid w:val="007175EA"/>
    <w:rsid w:val="00725111"/>
    <w:rsid w:val="0078163C"/>
    <w:rsid w:val="007834B7"/>
    <w:rsid w:val="0088684F"/>
    <w:rsid w:val="008A3C16"/>
    <w:rsid w:val="008D2DE7"/>
    <w:rsid w:val="008D4D97"/>
    <w:rsid w:val="008D68AC"/>
    <w:rsid w:val="00904038"/>
    <w:rsid w:val="00924E2C"/>
    <w:rsid w:val="00966A47"/>
    <w:rsid w:val="009935EA"/>
    <w:rsid w:val="009C1C0D"/>
    <w:rsid w:val="00A32FB3"/>
    <w:rsid w:val="00B37E7F"/>
    <w:rsid w:val="00B400B2"/>
    <w:rsid w:val="00B73C4E"/>
    <w:rsid w:val="00B858B8"/>
    <w:rsid w:val="00BB14AF"/>
    <w:rsid w:val="00BD00E8"/>
    <w:rsid w:val="00BD2827"/>
    <w:rsid w:val="00BE6C3E"/>
    <w:rsid w:val="00C84AE6"/>
    <w:rsid w:val="00D071B4"/>
    <w:rsid w:val="00D26F78"/>
    <w:rsid w:val="00DA4DC5"/>
    <w:rsid w:val="00DF445A"/>
    <w:rsid w:val="00E56F48"/>
    <w:rsid w:val="00E61333"/>
    <w:rsid w:val="00F059C5"/>
    <w:rsid w:val="00F1706B"/>
    <w:rsid w:val="00FC0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13543"/>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313543"/>
    <w:rPr>
      <w:i/>
      <w:iCs/>
    </w:rPr>
  </w:style>
  <w:style w:type="character" w:styleId="Hyperlink">
    <w:name w:val="Hyperlink"/>
    <w:basedOn w:val="DefaultParagraphFont"/>
    <w:uiPriority w:val="99"/>
    <w:semiHidden/>
    <w:unhideWhenUsed/>
    <w:rsid w:val="00313543"/>
    <w:rPr>
      <w:color w:val="0000FF"/>
      <w:u w:val="single"/>
    </w:rPr>
  </w:style>
  <w:style w:type="paragraph" w:styleId="NormalWeb">
    <w:name w:val="Normal (Web)"/>
    <w:basedOn w:val="Normal"/>
    <w:uiPriority w:val="99"/>
    <w:unhideWhenUsed/>
    <w:rsid w:val="00B37E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6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F78"/>
  </w:style>
  <w:style w:type="paragraph" w:styleId="Footer">
    <w:name w:val="footer"/>
    <w:basedOn w:val="Normal"/>
    <w:link w:val="FooterChar"/>
    <w:uiPriority w:val="99"/>
    <w:semiHidden/>
    <w:unhideWhenUsed/>
    <w:rsid w:val="00E56F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6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4048170">
      <w:bodyDiv w:val="1"/>
      <w:marLeft w:val="0"/>
      <w:marRight w:val="0"/>
      <w:marTop w:val="0"/>
      <w:marBottom w:val="0"/>
      <w:divBdr>
        <w:top w:val="none" w:sz="0" w:space="0" w:color="auto"/>
        <w:left w:val="none" w:sz="0" w:space="0" w:color="auto"/>
        <w:bottom w:val="none" w:sz="0" w:space="0" w:color="auto"/>
        <w:right w:val="none" w:sz="0" w:space="0" w:color="auto"/>
      </w:divBdr>
      <w:divsChild>
        <w:div w:id="1482698729">
          <w:marLeft w:val="0"/>
          <w:marRight w:val="0"/>
          <w:marTop w:val="0"/>
          <w:marBottom w:val="0"/>
          <w:divBdr>
            <w:top w:val="none" w:sz="0" w:space="0" w:color="auto"/>
            <w:left w:val="none" w:sz="0" w:space="0" w:color="auto"/>
            <w:bottom w:val="none" w:sz="0" w:space="0" w:color="auto"/>
            <w:right w:val="none" w:sz="0" w:space="0" w:color="auto"/>
          </w:divBdr>
          <w:divsChild>
            <w:div w:id="993340794">
              <w:marLeft w:val="0"/>
              <w:marRight w:val="0"/>
              <w:marTop w:val="0"/>
              <w:marBottom w:val="0"/>
              <w:divBdr>
                <w:top w:val="none" w:sz="0" w:space="0" w:color="auto"/>
                <w:left w:val="none" w:sz="0" w:space="0" w:color="auto"/>
                <w:bottom w:val="none" w:sz="0" w:space="0" w:color="auto"/>
                <w:right w:val="none" w:sz="0" w:space="0" w:color="auto"/>
              </w:divBdr>
            </w:div>
            <w:div w:id="1162044755">
              <w:marLeft w:val="0"/>
              <w:marRight w:val="0"/>
              <w:marTop w:val="0"/>
              <w:marBottom w:val="0"/>
              <w:divBdr>
                <w:top w:val="none" w:sz="0" w:space="0" w:color="auto"/>
                <w:left w:val="none" w:sz="0" w:space="0" w:color="auto"/>
                <w:bottom w:val="none" w:sz="0" w:space="0" w:color="auto"/>
                <w:right w:val="none" w:sz="0" w:space="0" w:color="auto"/>
              </w:divBdr>
              <w:divsChild>
                <w:div w:id="781072217">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924265206">
                  <w:marLeft w:val="0"/>
                  <w:marRight w:val="0"/>
                  <w:marTop w:val="0"/>
                  <w:marBottom w:val="0"/>
                  <w:divBdr>
                    <w:top w:val="none" w:sz="0" w:space="0" w:color="auto"/>
                    <w:left w:val="none" w:sz="0" w:space="0" w:color="auto"/>
                    <w:bottom w:val="none" w:sz="0" w:space="0" w:color="auto"/>
                    <w:right w:val="none" w:sz="0" w:space="0" w:color="auto"/>
                  </w:divBdr>
                </w:div>
                <w:div w:id="7660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8739">
      <w:bodyDiv w:val="1"/>
      <w:marLeft w:val="0"/>
      <w:marRight w:val="0"/>
      <w:marTop w:val="47"/>
      <w:marBottom w:val="47"/>
      <w:divBdr>
        <w:top w:val="none" w:sz="0" w:space="0" w:color="auto"/>
        <w:left w:val="none" w:sz="0" w:space="0" w:color="auto"/>
        <w:bottom w:val="none" w:sz="0" w:space="0" w:color="auto"/>
        <w:right w:val="none" w:sz="0" w:space="0" w:color="auto"/>
      </w:divBdr>
      <w:divsChild>
        <w:div w:id="706873713">
          <w:marLeft w:val="0"/>
          <w:marRight w:val="0"/>
          <w:marTop w:val="0"/>
          <w:marBottom w:val="0"/>
          <w:divBdr>
            <w:top w:val="none" w:sz="0" w:space="0" w:color="auto"/>
            <w:left w:val="none" w:sz="0" w:space="0" w:color="auto"/>
            <w:bottom w:val="none" w:sz="0" w:space="0" w:color="auto"/>
            <w:right w:val="none" w:sz="0" w:space="0" w:color="auto"/>
          </w:divBdr>
          <w:divsChild>
            <w:div w:id="345253348">
              <w:marLeft w:val="0"/>
              <w:marRight w:val="0"/>
              <w:marTop w:val="0"/>
              <w:marBottom w:val="0"/>
              <w:divBdr>
                <w:top w:val="none" w:sz="0" w:space="0" w:color="auto"/>
                <w:left w:val="none" w:sz="0" w:space="0" w:color="auto"/>
                <w:bottom w:val="none" w:sz="0" w:space="0" w:color="auto"/>
                <w:right w:val="none" w:sz="0" w:space="0" w:color="auto"/>
              </w:divBdr>
              <w:divsChild>
                <w:div w:id="1782258774">
                  <w:marLeft w:val="0"/>
                  <w:marRight w:val="0"/>
                  <w:marTop w:val="0"/>
                  <w:marBottom w:val="0"/>
                  <w:divBdr>
                    <w:top w:val="none" w:sz="0" w:space="0" w:color="auto"/>
                    <w:left w:val="none" w:sz="0" w:space="0" w:color="auto"/>
                    <w:bottom w:val="none" w:sz="0" w:space="0" w:color="auto"/>
                    <w:right w:val="none" w:sz="0" w:space="0" w:color="auto"/>
                  </w:divBdr>
                  <w:divsChild>
                    <w:div w:id="65929903">
                      <w:marLeft w:val="0"/>
                      <w:marRight w:val="0"/>
                      <w:marTop w:val="0"/>
                      <w:marBottom w:val="0"/>
                      <w:divBdr>
                        <w:top w:val="none" w:sz="0" w:space="0" w:color="auto"/>
                        <w:left w:val="none" w:sz="0" w:space="0" w:color="auto"/>
                        <w:bottom w:val="none" w:sz="0" w:space="0" w:color="auto"/>
                        <w:right w:val="none" w:sz="0" w:space="0" w:color="auto"/>
                      </w:divBdr>
                      <w:divsChild>
                        <w:div w:id="1956709113">
                          <w:marLeft w:val="0"/>
                          <w:marRight w:val="0"/>
                          <w:marTop w:val="332"/>
                          <w:marBottom w:val="0"/>
                          <w:divBdr>
                            <w:top w:val="none" w:sz="0" w:space="0" w:color="auto"/>
                            <w:left w:val="none" w:sz="0" w:space="0" w:color="auto"/>
                            <w:bottom w:val="none" w:sz="0" w:space="0" w:color="auto"/>
                            <w:right w:val="none" w:sz="0" w:space="0" w:color="auto"/>
                          </w:divBdr>
                          <w:divsChild>
                            <w:div w:id="1062872897">
                              <w:marLeft w:val="3355"/>
                              <w:marRight w:val="0"/>
                              <w:marTop w:val="0"/>
                              <w:marBottom w:val="0"/>
                              <w:divBdr>
                                <w:top w:val="none" w:sz="0" w:space="0" w:color="auto"/>
                                <w:left w:val="none" w:sz="0" w:space="0" w:color="auto"/>
                                <w:bottom w:val="none" w:sz="0" w:space="0" w:color="auto"/>
                                <w:right w:val="none" w:sz="0" w:space="0" w:color="auto"/>
                              </w:divBdr>
                              <w:divsChild>
                                <w:div w:id="1236354134">
                                  <w:marLeft w:val="0"/>
                                  <w:marRight w:val="0"/>
                                  <w:marTop w:val="0"/>
                                  <w:marBottom w:val="0"/>
                                  <w:divBdr>
                                    <w:top w:val="none" w:sz="0" w:space="0" w:color="auto"/>
                                    <w:left w:val="none" w:sz="0" w:space="0" w:color="auto"/>
                                    <w:bottom w:val="none" w:sz="0" w:space="0" w:color="auto"/>
                                    <w:right w:val="none" w:sz="0" w:space="0" w:color="auto"/>
                                  </w:divBdr>
                                  <w:divsChild>
                                    <w:div w:id="414783501">
                                      <w:marLeft w:val="0"/>
                                      <w:marRight w:val="0"/>
                                      <w:marTop w:val="0"/>
                                      <w:marBottom w:val="0"/>
                                      <w:divBdr>
                                        <w:top w:val="none" w:sz="0" w:space="0" w:color="auto"/>
                                        <w:left w:val="none" w:sz="0" w:space="0" w:color="auto"/>
                                        <w:bottom w:val="none" w:sz="0" w:space="0" w:color="auto"/>
                                        <w:right w:val="none" w:sz="0" w:space="0" w:color="auto"/>
                                      </w:divBdr>
                                      <w:divsChild>
                                        <w:div w:id="443769113">
                                          <w:marLeft w:val="0"/>
                                          <w:marRight w:val="0"/>
                                          <w:marTop w:val="0"/>
                                          <w:marBottom w:val="0"/>
                                          <w:divBdr>
                                            <w:top w:val="none" w:sz="0" w:space="0" w:color="auto"/>
                                            <w:left w:val="none" w:sz="0" w:space="0" w:color="auto"/>
                                            <w:bottom w:val="none" w:sz="0" w:space="0" w:color="auto"/>
                                            <w:right w:val="none" w:sz="0" w:space="0" w:color="auto"/>
                                          </w:divBdr>
                                          <w:divsChild>
                                            <w:div w:id="961500493">
                                              <w:marLeft w:val="0"/>
                                              <w:marRight w:val="0"/>
                                              <w:marTop w:val="0"/>
                                              <w:marBottom w:val="0"/>
                                              <w:divBdr>
                                                <w:top w:val="none" w:sz="0" w:space="0" w:color="auto"/>
                                                <w:left w:val="none" w:sz="0" w:space="0" w:color="auto"/>
                                                <w:bottom w:val="none" w:sz="0" w:space="0" w:color="auto"/>
                                                <w:right w:val="none" w:sz="0" w:space="0" w:color="auto"/>
                                              </w:divBdr>
                                              <w:divsChild>
                                                <w:div w:id="18464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Easum</dc:creator>
  <cp:lastModifiedBy>poweruser</cp:lastModifiedBy>
  <cp:revision>25</cp:revision>
  <dcterms:created xsi:type="dcterms:W3CDTF">2012-08-31T18:27:00Z</dcterms:created>
  <dcterms:modified xsi:type="dcterms:W3CDTF">2012-09-13T21:58:00Z</dcterms:modified>
</cp:coreProperties>
</file>