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151" w:rsidRPr="000908C5" w:rsidRDefault="00942151" w:rsidP="00942151">
      <w:pPr>
        <w:pStyle w:val="Heading1"/>
        <w:rPr>
          <w:rFonts w:asciiTheme="minorHAnsi" w:hAnsiTheme="minorHAnsi" w:cstheme="minorHAnsi"/>
        </w:rPr>
      </w:pPr>
      <w:bookmarkStart w:id="0" w:name="_GoBack"/>
      <w:r w:rsidRPr="000908C5">
        <w:rPr>
          <w:rFonts w:asciiTheme="minorHAnsi" w:hAnsiTheme="minorHAnsi" w:cstheme="minorHAnsi"/>
        </w:rPr>
        <w:t>1NC – Maintenance</w:t>
      </w:r>
    </w:p>
    <w:p w:rsidR="00F20E57" w:rsidRPr="000908C5" w:rsidRDefault="00E97EBC" w:rsidP="00F20E57">
      <w:pPr>
        <w:rPr>
          <w:rFonts w:asciiTheme="minorHAnsi" w:hAnsiTheme="minorHAnsi" w:cstheme="minorHAnsi"/>
          <w:b/>
        </w:rPr>
      </w:pPr>
      <w:r>
        <w:rPr>
          <w:rFonts w:asciiTheme="minorHAnsi" w:hAnsiTheme="minorHAnsi" w:cstheme="minorHAnsi"/>
          <w:b/>
        </w:rPr>
        <w:t xml:space="preserve">1. </w:t>
      </w:r>
      <w:r w:rsidR="00A966BF">
        <w:rPr>
          <w:rFonts w:asciiTheme="minorHAnsi" w:hAnsiTheme="minorHAnsi" w:cstheme="minorHAnsi"/>
          <w:b/>
        </w:rPr>
        <w:t xml:space="preserve">Interpretation and violation - </w:t>
      </w:r>
      <w:r w:rsidR="00F20E57" w:rsidRPr="000908C5">
        <w:rPr>
          <w:rFonts w:asciiTheme="minorHAnsi" w:hAnsiTheme="minorHAnsi" w:cstheme="minorHAnsi"/>
          <w:b/>
        </w:rPr>
        <w:t>Transportation investment must be new infrastructure, not repairs or maintenance</w:t>
      </w:r>
    </w:p>
    <w:p w:rsidR="00F20E57" w:rsidRPr="000908C5" w:rsidRDefault="00F20E57" w:rsidP="00F20E57">
      <w:pPr>
        <w:rPr>
          <w:rFonts w:asciiTheme="minorHAnsi" w:hAnsiTheme="minorHAnsi" w:cstheme="minorHAnsi"/>
          <w:sz w:val="16"/>
        </w:rPr>
      </w:pPr>
      <w:proofErr w:type="spellStart"/>
      <w:r w:rsidRPr="000908C5">
        <w:rPr>
          <w:rFonts w:asciiTheme="minorHAnsi" w:hAnsiTheme="minorHAnsi" w:cstheme="minorHAnsi"/>
          <w:b/>
        </w:rPr>
        <w:t>Collenette</w:t>
      </w:r>
      <w:proofErr w:type="spellEnd"/>
      <w:r w:rsidRPr="000908C5">
        <w:rPr>
          <w:rFonts w:asciiTheme="minorHAnsi" w:hAnsiTheme="minorHAnsi" w:cstheme="minorHAnsi"/>
          <w:b/>
        </w:rPr>
        <w:t xml:space="preserve"> 99</w:t>
      </w:r>
      <w:r w:rsidRPr="000908C5">
        <w:rPr>
          <w:rFonts w:asciiTheme="minorHAnsi" w:hAnsiTheme="minorHAnsi" w:cstheme="minorHAnsi"/>
          <w:sz w:val="16"/>
        </w:rPr>
        <w:t xml:space="preserve"> </w:t>
      </w:r>
      <w:r w:rsidRPr="000908C5">
        <w:rPr>
          <w:rFonts w:asciiTheme="minorHAnsi" w:hAnsiTheme="minorHAnsi" w:cstheme="minorHAnsi"/>
        </w:rPr>
        <w:t xml:space="preserve">[Hon. David M. </w:t>
      </w:r>
      <w:proofErr w:type="spellStart"/>
      <w:r w:rsidRPr="000908C5">
        <w:rPr>
          <w:rFonts w:asciiTheme="minorHAnsi" w:hAnsiTheme="minorHAnsi" w:cstheme="minorHAnsi"/>
        </w:rPr>
        <w:t>Collenette</w:t>
      </w:r>
      <w:proofErr w:type="spellEnd"/>
      <w:r w:rsidRPr="000908C5">
        <w:rPr>
          <w:rFonts w:asciiTheme="minorHAnsi" w:hAnsiTheme="minorHAnsi" w:cstheme="minorHAnsi"/>
        </w:rPr>
        <w:t>, P.C., M.P. Minister of Transportation of Canada Transportation in Canada 1999 annual reporthttp://publications.gc.ca/collections/Collection/T1-10-1999E.pdf]</w:t>
      </w:r>
    </w:p>
    <w:p w:rsidR="00F20E57" w:rsidRPr="000908C5" w:rsidRDefault="00F20E57" w:rsidP="00F20E57">
      <w:pPr>
        <w:rPr>
          <w:rFonts w:asciiTheme="minorHAnsi" w:hAnsiTheme="minorHAnsi" w:cstheme="minorHAnsi"/>
          <w:sz w:val="16"/>
        </w:rPr>
      </w:pPr>
      <w:r w:rsidRPr="000908C5">
        <w:rPr>
          <w:rFonts w:asciiTheme="minorHAnsi" w:hAnsiTheme="minorHAnsi" w:cstheme="minorHAnsi"/>
          <w:sz w:val="16"/>
        </w:rPr>
        <w:t xml:space="preserve">Whether </w:t>
      </w:r>
      <w:r w:rsidRPr="000908C5">
        <w:rPr>
          <w:rFonts w:asciiTheme="minorHAnsi" w:hAnsiTheme="minorHAnsi" w:cstheme="minorHAnsi"/>
          <w:b/>
          <w:u w:val="single"/>
        </w:rPr>
        <w:t>made by</w:t>
      </w:r>
      <w:r w:rsidRPr="000908C5">
        <w:rPr>
          <w:rFonts w:asciiTheme="minorHAnsi" w:hAnsiTheme="minorHAnsi" w:cstheme="minorHAnsi"/>
          <w:sz w:val="16"/>
        </w:rPr>
        <w:t xml:space="preserve"> business or </w:t>
      </w:r>
      <w:r w:rsidRPr="000908C5">
        <w:rPr>
          <w:rStyle w:val="StyleBoldUnderline"/>
          <w:rFonts w:asciiTheme="minorHAnsi" w:hAnsiTheme="minorHAnsi" w:cstheme="minorHAnsi"/>
        </w:rPr>
        <w:t>government, “</w:t>
      </w:r>
      <w:r w:rsidRPr="005C6E14">
        <w:rPr>
          <w:rStyle w:val="StyleBoldUnderline"/>
          <w:rFonts w:asciiTheme="minorHAnsi" w:hAnsiTheme="minorHAnsi" w:cstheme="minorHAnsi"/>
          <w:highlight w:val="yellow"/>
        </w:rPr>
        <w:t>transport investment” can be defined a</w:t>
      </w:r>
      <w:r w:rsidRPr="005C6E14">
        <w:rPr>
          <w:rFonts w:asciiTheme="minorHAnsi" w:hAnsiTheme="minorHAnsi" w:cstheme="minorHAnsi"/>
          <w:b/>
          <w:highlight w:val="yellow"/>
          <w:u w:val="single"/>
        </w:rPr>
        <w:t>s</w:t>
      </w:r>
      <w:r w:rsidRPr="000908C5">
        <w:rPr>
          <w:rFonts w:asciiTheme="minorHAnsi" w:hAnsiTheme="minorHAnsi" w:cstheme="minorHAnsi"/>
          <w:sz w:val="16"/>
        </w:rPr>
        <w:t xml:space="preserve"> both </w:t>
      </w:r>
      <w:r w:rsidRPr="005C6E14">
        <w:rPr>
          <w:rFonts w:asciiTheme="minorHAnsi" w:hAnsiTheme="minorHAnsi" w:cstheme="minorHAnsi"/>
          <w:b/>
          <w:highlight w:val="yellow"/>
          <w:u w:val="single"/>
        </w:rPr>
        <w:t>new infrastructure construction</w:t>
      </w:r>
      <w:r w:rsidRPr="000908C5">
        <w:rPr>
          <w:rFonts w:asciiTheme="minorHAnsi" w:hAnsiTheme="minorHAnsi" w:cstheme="minorHAnsi"/>
          <w:b/>
          <w:u w:val="single"/>
        </w:rPr>
        <w:t xml:space="preserve"> and purchases of new machinery and equipment. </w:t>
      </w:r>
      <w:r w:rsidRPr="005C6E14">
        <w:rPr>
          <w:rFonts w:asciiTheme="minorHAnsi" w:hAnsiTheme="minorHAnsi" w:cstheme="minorHAnsi"/>
          <w:b/>
          <w:highlight w:val="yellow"/>
          <w:u w:val="single"/>
        </w:rPr>
        <w:t>Investment excludes repair and maintenance expenditure</w:t>
      </w:r>
      <w:r w:rsidRPr="000908C5">
        <w:rPr>
          <w:rFonts w:asciiTheme="minorHAnsi" w:hAnsiTheme="minorHAnsi" w:cstheme="minorHAnsi"/>
          <w:b/>
          <w:u w:val="single"/>
        </w:rPr>
        <w:t>, which are expenditures</w:t>
      </w:r>
      <w:r w:rsidRPr="000908C5">
        <w:rPr>
          <w:rFonts w:asciiTheme="minorHAnsi" w:hAnsiTheme="minorHAnsi" w:cstheme="minorHAnsi"/>
          <w:sz w:val="16"/>
        </w:rPr>
        <w:t xml:space="preserve"> </w:t>
      </w:r>
      <w:r w:rsidRPr="000908C5">
        <w:rPr>
          <w:rStyle w:val="StyleBoldUnderline"/>
          <w:rFonts w:asciiTheme="minorHAnsi" w:hAnsiTheme="minorHAnsi" w:cstheme="minorHAnsi"/>
        </w:rPr>
        <w:t>on existing infrastructure</w:t>
      </w:r>
      <w:r w:rsidRPr="000908C5">
        <w:rPr>
          <w:rFonts w:asciiTheme="minorHAnsi" w:hAnsiTheme="minorHAnsi" w:cstheme="minorHAnsi"/>
          <w:sz w:val="16"/>
        </w:rPr>
        <w:t xml:space="preserve">, machinery and equipment. </w:t>
      </w:r>
    </w:p>
    <w:p w:rsidR="00392408" w:rsidRDefault="00392408" w:rsidP="005F75ED">
      <w:pPr>
        <w:rPr>
          <w:rFonts w:asciiTheme="minorHAnsi" w:hAnsiTheme="minorHAnsi" w:cstheme="minorHAnsi"/>
          <w:b/>
        </w:rPr>
      </w:pPr>
    </w:p>
    <w:p w:rsidR="00E97EBC" w:rsidRDefault="00E97EBC" w:rsidP="005F75ED">
      <w:pPr>
        <w:rPr>
          <w:rFonts w:asciiTheme="minorHAnsi" w:hAnsiTheme="minorHAnsi" w:cstheme="minorHAnsi"/>
          <w:b/>
        </w:rPr>
      </w:pPr>
      <w:r>
        <w:rPr>
          <w:rFonts w:asciiTheme="minorHAnsi" w:hAnsiTheme="minorHAnsi" w:cstheme="minorHAnsi"/>
          <w:b/>
        </w:rPr>
        <w:t>3. Standards</w:t>
      </w:r>
    </w:p>
    <w:p w:rsidR="00392408" w:rsidRDefault="00392408" w:rsidP="00E97EBC">
      <w:pPr>
        <w:ind w:firstLine="720"/>
        <w:rPr>
          <w:rFonts w:asciiTheme="minorHAnsi" w:hAnsiTheme="minorHAnsi" w:cstheme="minorHAnsi"/>
          <w:b/>
        </w:rPr>
      </w:pPr>
      <w:r>
        <w:rPr>
          <w:rFonts w:asciiTheme="minorHAnsi" w:hAnsiTheme="minorHAnsi" w:cstheme="minorHAnsi"/>
          <w:b/>
        </w:rPr>
        <w:t xml:space="preserve">A) Limits – maintenance can be done on any permutation of existing infrastructure – forcing them to build new physical assets </w:t>
      </w:r>
      <w:r w:rsidR="005C2848">
        <w:rPr>
          <w:rFonts w:asciiTheme="minorHAnsi" w:hAnsiTheme="minorHAnsi" w:cstheme="minorHAnsi"/>
          <w:b/>
        </w:rPr>
        <w:t>binds them to major cases in the lit</w:t>
      </w:r>
    </w:p>
    <w:p w:rsidR="005C2848" w:rsidRDefault="005C2848" w:rsidP="005F75ED">
      <w:pPr>
        <w:rPr>
          <w:rFonts w:asciiTheme="minorHAnsi" w:hAnsiTheme="minorHAnsi" w:cstheme="minorHAnsi"/>
          <w:b/>
        </w:rPr>
      </w:pPr>
    </w:p>
    <w:p w:rsidR="005C2848" w:rsidRDefault="005C2848" w:rsidP="00E97EBC">
      <w:pPr>
        <w:ind w:firstLine="720"/>
        <w:rPr>
          <w:rFonts w:asciiTheme="minorHAnsi" w:hAnsiTheme="minorHAnsi" w:cstheme="minorHAnsi"/>
          <w:b/>
        </w:rPr>
      </w:pPr>
      <w:r>
        <w:rPr>
          <w:rFonts w:asciiTheme="minorHAnsi" w:hAnsiTheme="minorHAnsi" w:cstheme="minorHAnsi"/>
          <w:b/>
        </w:rPr>
        <w:t>B) Ground – maintenance spending goes through different appropriations channels – we lose key disads off of perception and congressional spending</w:t>
      </w:r>
    </w:p>
    <w:p w:rsidR="005C2848" w:rsidRDefault="005C2848" w:rsidP="005F75ED">
      <w:pPr>
        <w:rPr>
          <w:rFonts w:asciiTheme="minorHAnsi" w:hAnsiTheme="minorHAnsi" w:cstheme="minorHAnsi"/>
          <w:b/>
        </w:rPr>
      </w:pPr>
    </w:p>
    <w:p w:rsidR="00A21645" w:rsidRDefault="00E97EBC" w:rsidP="005F75ED">
      <w:pPr>
        <w:rPr>
          <w:rFonts w:asciiTheme="minorHAnsi" w:hAnsiTheme="minorHAnsi" w:cstheme="minorHAnsi"/>
          <w:b/>
        </w:rPr>
      </w:pPr>
      <w:r>
        <w:rPr>
          <w:rFonts w:asciiTheme="minorHAnsi" w:hAnsiTheme="minorHAnsi" w:cstheme="minorHAnsi"/>
          <w:b/>
        </w:rPr>
        <w:t xml:space="preserve">4. </w:t>
      </w:r>
      <w:r w:rsidR="00A21645">
        <w:rPr>
          <w:rFonts w:asciiTheme="minorHAnsi" w:hAnsiTheme="minorHAnsi" w:cstheme="minorHAnsi"/>
          <w:b/>
        </w:rPr>
        <w:t xml:space="preserve">Topicality is </w:t>
      </w:r>
      <w:proofErr w:type="gramStart"/>
      <w:r w:rsidR="00A21645">
        <w:rPr>
          <w:rFonts w:asciiTheme="minorHAnsi" w:hAnsiTheme="minorHAnsi" w:cstheme="minorHAnsi"/>
          <w:b/>
        </w:rPr>
        <w:t>a voter</w:t>
      </w:r>
      <w:proofErr w:type="gramEnd"/>
      <w:r w:rsidR="005C2848">
        <w:rPr>
          <w:rFonts w:asciiTheme="minorHAnsi" w:hAnsiTheme="minorHAnsi" w:cstheme="minorHAnsi"/>
          <w:b/>
        </w:rPr>
        <w:t xml:space="preserve"> - vote under competing interpretations</w:t>
      </w:r>
      <w:r w:rsidR="00385624">
        <w:rPr>
          <w:rFonts w:asciiTheme="minorHAnsi" w:hAnsiTheme="minorHAnsi" w:cstheme="minorHAnsi"/>
          <w:b/>
        </w:rPr>
        <w:t xml:space="preserve"> – reasonability is arbitrary and forces judge intervention</w:t>
      </w:r>
      <w:r w:rsidR="008E4DBB">
        <w:rPr>
          <w:rFonts w:asciiTheme="minorHAnsi" w:hAnsiTheme="minorHAnsi" w:cstheme="minorHAnsi"/>
          <w:b/>
        </w:rPr>
        <w:t>.</w:t>
      </w:r>
    </w:p>
    <w:p w:rsidR="008E4DBB" w:rsidRDefault="008E4DBB" w:rsidP="005F75ED">
      <w:pPr>
        <w:rPr>
          <w:rFonts w:asciiTheme="minorHAnsi" w:hAnsiTheme="minorHAnsi" w:cstheme="minorHAnsi"/>
          <w:b/>
        </w:rPr>
      </w:pPr>
    </w:p>
    <w:p w:rsidR="008E4DBB" w:rsidRDefault="008E4DBB" w:rsidP="005F75ED">
      <w:pPr>
        <w:rPr>
          <w:rFonts w:asciiTheme="minorHAnsi" w:hAnsiTheme="minorHAnsi" w:cstheme="minorHAnsi"/>
          <w:b/>
        </w:rPr>
      </w:pPr>
      <w:proofErr w:type="spellStart"/>
      <w:r>
        <w:rPr>
          <w:rFonts w:asciiTheme="minorHAnsi" w:hAnsiTheme="minorHAnsi" w:cstheme="minorHAnsi"/>
          <w:b/>
        </w:rPr>
        <w:t>Xtra</w:t>
      </w:r>
      <w:proofErr w:type="spellEnd"/>
      <w:r>
        <w:rPr>
          <w:rFonts w:asciiTheme="minorHAnsi" w:hAnsiTheme="minorHAnsi" w:cstheme="minorHAnsi"/>
          <w:b/>
        </w:rPr>
        <w:t xml:space="preserve"> topicality is a voting issue – infinite plan plans destroys the research burden and makes it impossible to go </w:t>
      </w:r>
      <w:proofErr w:type="spellStart"/>
      <w:r>
        <w:rPr>
          <w:rFonts w:asciiTheme="minorHAnsi" w:hAnsiTheme="minorHAnsi" w:cstheme="minorHAnsi"/>
          <w:b/>
        </w:rPr>
        <w:t>negs</w:t>
      </w:r>
      <w:proofErr w:type="spellEnd"/>
    </w:p>
    <w:bookmarkEnd w:id="0"/>
    <w:p w:rsidR="00A21645" w:rsidRDefault="00A21645" w:rsidP="00A21645">
      <w:pPr>
        <w:pStyle w:val="Heading1"/>
      </w:pPr>
      <w:r>
        <w:lastRenderedPageBreak/>
        <w:t>2NC – Overview</w:t>
      </w:r>
    </w:p>
    <w:p w:rsidR="00A21645" w:rsidRDefault="00A21645" w:rsidP="00A21645">
      <w:pPr>
        <w:rPr>
          <w:b/>
        </w:rPr>
      </w:pPr>
      <w:r>
        <w:rPr>
          <w:b/>
        </w:rPr>
        <w:t xml:space="preserve">Transportation investment is the construction of </w:t>
      </w:r>
      <w:r w:rsidR="00F517F5">
        <w:rPr>
          <w:b/>
        </w:rPr>
        <w:t xml:space="preserve">new physical assets – that’s </w:t>
      </w:r>
      <w:proofErr w:type="spellStart"/>
      <w:r w:rsidR="00F517F5">
        <w:rPr>
          <w:b/>
        </w:rPr>
        <w:t>Collenette</w:t>
      </w:r>
      <w:proofErr w:type="spellEnd"/>
      <w:r w:rsidR="00F517F5">
        <w:rPr>
          <w:b/>
        </w:rPr>
        <w:t xml:space="preserve"> – that’s distinct from expenditure on maintenance and repairs – prefer our evidence because there’s strict intent to define</w:t>
      </w:r>
    </w:p>
    <w:p w:rsidR="00E1207A" w:rsidRDefault="00E1207A" w:rsidP="00A21645">
      <w:pPr>
        <w:rPr>
          <w:b/>
        </w:rPr>
      </w:pPr>
    </w:p>
    <w:p w:rsidR="00E1207A" w:rsidRPr="00E1207A" w:rsidRDefault="00E1207A" w:rsidP="00E1207A">
      <w:pPr>
        <w:rPr>
          <w:b/>
        </w:rPr>
      </w:pPr>
      <w:r>
        <w:rPr>
          <w:b/>
        </w:rPr>
        <w:t xml:space="preserve">Here’s more evidence – </w:t>
      </w:r>
      <w:r w:rsidRPr="000908C5">
        <w:rPr>
          <w:rFonts w:asciiTheme="minorHAnsi" w:hAnsiTheme="minorHAnsi" w:cstheme="minorHAnsi"/>
          <w:b/>
        </w:rPr>
        <w:t>Infrastructure investment is distinct from maintenance spending</w:t>
      </w:r>
      <w:r>
        <w:rPr>
          <w:rFonts w:asciiTheme="minorHAnsi" w:hAnsiTheme="minorHAnsi" w:cstheme="minorHAnsi"/>
          <w:b/>
        </w:rPr>
        <w:t xml:space="preserve"> – the money literally comes from different places</w:t>
      </w:r>
    </w:p>
    <w:p w:rsidR="00E1207A" w:rsidRPr="00E1207A" w:rsidRDefault="00E1207A" w:rsidP="00E1207A">
      <w:pPr>
        <w:rPr>
          <w:rFonts w:asciiTheme="minorHAnsi" w:hAnsiTheme="minorHAnsi" w:cstheme="minorHAnsi"/>
        </w:rPr>
      </w:pPr>
      <w:proofErr w:type="spellStart"/>
      <w:proofErr w:type="gramStart"/>
      <w:r w:rsidRPr="000908C5">
        <w:rPr>
          <w:rFonts w:asciiTheme="minorHAnsi" w:hAnsiTheme="minorHAnsi" w:cstheme="minorHAnsi"/>
          <w:b/>
        </w:rPr>
        <w:t>Lemer</w:t>
      </w:r>
      <w:proofErr w:type="spellEnd"/>
      <w:r w:rsidRPr="000908C5">
        <w:rPr>
          <w:rFonts w:asciiTheme="minorHAnsi" w:hAnsiTheme="minorHAnsi" w:cstheme="minorHAnsi"/>
          <w:b/>
        </w:rPr>
        <w:t xml:space="preserve"> 11</w:t>
      </w:r>
      <w:r w:rsidRPr="000908C5">
        <w:rPr>
          <w:rFonts w:asciiTheme="minorHAnsi" w:hAnsiTheme="minorHAnsi" w:cstheme="minorHAnsi"/>
        </w:rPr>
        <w:t xml:space="preserve"> </w:t>
      </w:r>
      <w:r w:rsidRPr="00E1207A">
        <w:rPr>
          <w:rFonts w:asciiTheme="minorHAnsi" w:hAnsiTheme="minorHAnsi" w:cstheme="minorHAnsi"/>
        </w:rPr>
        <w:t xml:space="preserve">[Andrew </w:t>
      </w:r>
      <w:proofErr w:type="spellStart"/>
      <w:r w:rsidRPr="00E1207A">
        <w:rPr>
          <w:rFonts w:asciiTheme="minorHAnsi" w:hAnsiTheme="minorHAnsi" w:cstheme="minorHAnsi"/>
        </w:rPr>
        <w:t>Lemer</w:t>
      </w:r>
      <w:proofErr w:type="spellEnd"/>
      <w:r w:rsidRPr="00E1207A">
        <w:rPr>
          <w:rFonts w:asciiTheme="minorHAnsi" w:hAnsiTheme="minorHAnsi" w:cstheme="minorHAnsi"/>
        </w:rPr>
        <w:t>, the National Academies.</w:t>
      </w:r>
      <w:proofErr w:type="gramEnd"/>
      <w:r w:rsidRPr="00E1207A">
        <w:rPr>
          <w:rFonts w:asciiTheme="minorHAnsi" w:hAnsiTheme="minorHAnsi" w:cstheme="minorHAnsi"/>
        </w:rPr>
        <w:t xml:space="preserve"> “How Much Infrastructure Spending Is “Enough?” http://www.andrewlemer.com/2011/02/26/how-much-infrastructure-spending-is-%E2%80%9Cenough%E2%80%9D/]</w:t>
      </w:r>
    </w:p>
    <w:p w:rsidR="00E1207A" w:rsidRPr="000908C5" w:rsidRDefault="00E1207A" w:rsidP="00E1207A">
      <w:pPr>
        <w:rPr>
          <w:rFonts w:asciiTheme="minorHAnsi" w:hAnsiTheme="minorHAnsi" w:cstheme="minorHAnsi"/>
          <w:sz w:val="16"/>
        </w:rPr>
      </w:pPr>
      <w:r w:rsidRPr="00E1207A">
        <w:rPr>
          <w:rStyle w:val="StyleBoldUnderline"/>
          <w:rFonts w:asciiTheme="minorHAnsi" w:hAnsiTheme="minorHAnsi" w:cstheme="minorHAnsi"/>
          <w:highlight w:val="yellow"/>
        </w:rPr>
        <w:t>What has been neglected</w:t>
      </w:r>
      <w:r w:rsidRPr="000908C5">
        <w:rPr>
          <w:rFonts w:asciiTheme="minorHAnsi" w:hAnsiTheme="minorHAnsi" w:cstheme="minorHAnsi"/>
          <w:sz w:val="16"/>
        </w:rPr>
        <w:t xml:space="preserve"> in all of the analyses that I have seen </w:t>
      </w:r>
      <w:r w:rsidRPr="00E1207A">
        <w:rPr>
          <w:rStyle w:val="StyleBoldUnderline"/>
          <w:rFonts w:asciiTheme="minorHAnsi" w:hAnsiTheme="minorHAnsi" w:cstheme="minorHAnsi"/>
          <w:highlight w:val="yellow"/>
        </w:rPr>
        <w:t>is an explicit consideration of maintenance spending, as distinct from investment</w:t>
      </w:r>
      <w:r w:rsidRPr="000908C5">
        <w:rPr>
          <w:rStyle w:val="StyleBoldUnderline"/>
          <w:rFonts w:asciiTheme="minorHAnsi" w:hAnsiTheme="minorHAnsi" w:cstheme="minorHAnsi"/>
        </w:rPr>
        <w:t>.  Infrastructure</w:t>
      </w:r>
      <w:r w:rsidRPr="000908C5">
        <w:rPr>
          <w:rFonts w:asciiTheme="minorHAnsi" w:hAnsiTheme="minorHAnsi" w:cstheme="minorHAnsi"/>
          <w:sz w:val="16"/>
        </w:rPr>
        <w:t xml:space="preserve">, like most engineered systems, </w:t>
      </w:r>
      <w:r w:rsidRPr="000908C5">
        <w:rPr>
          <w:rStyle w:val="StyleBoldUnderline"/>
          <w:rFonts w:asciiTheme="minorHAnsi" w:hAnsiTheme="minorHAnsi" w:cstheme="minorHAnsi"/>
        </w:rPr>
        <w:t>requires periodic care to keep it functioning</w:t>
      </w:r>
      <w:r w:rsidRPr="000908C5">
        <w:rPr>
          <w:rFonts w:asciiTheme="minorHAnsi" w:hAnsiTheme="minorHAnsi" w:cstheme="minorHAnsi"/>
          <w:sz w:val="16"/>
        </w:rPr>
        <w:t xml:space="preserve"> properly.  Leaves, trash and other debris clog drains that channel rainwater away from roadways must be cleaned out.  Filters that remove silt and bacteria from drinking water must be flushed.  </w:t>
      </w:r>
      <w:r w:rsidRPr="00412A1E">
        <w:rPr>
          <w:rStyle w:val="StyleBoldUnderline"/>
          <w:rFonts w:asciiTheme="minorHAnsi" w:hAnsiTheme="minorHAnsi" w:cstheme="minorHAnsi"/>
          <w:highlight w:val="yellow"/>
        </w:rPr>
        <w:t>The costs of such maintenance</w:t>
      </w:r>
      <w:r w:rsidRPr="000908C5">
        <w:rPr>
          <w:rStyle w:val="StyleBoldUnderline"/>
          <w:rFonts w:asciiTheme="minorHAnsi" w:hAnsiTheme="minorHAnsi" w:cstheme="minorHAnsi"/>
        </w:rPr>
        <w:t xml:space="preserve"> effort typically </w:t>
      </w:r>
      <w:r w:rsidRPr="00412A1E">
        <w:rPr>
          <w:rStyle w:val="StyleBoldUnderline"/>
          <w:rFonts w:asciiTheme="minorHAnsi" w:hAnsiTheme="minorHAnsi" w:cstheme="minorHAnsi"/>
          <w:highlight w:val="yellow"/>
        </w:rPr>
        <w:t>are accrued in different accounts from</w:t>
      </w:r>
      <w:r w:rsidRPr="000908C5">
        <w:rPr>
          <w:rStyle w:val="StyleBoldUnderline"/>
          <w:rFonts w:asciiTheme="minorHAnsi" w:hAnsiTheme="minorHAnsi" w:cstheme="minorHAnsi"/>
        </w:rPr>
        <w:t xml:space="preserve"> those </w:t>
      </w:r>
      <w:proofErr w:type="spellStart"/>
      <w:r w:rsidRPr="000908C5">
        <w:rPr>
          <w:rStyle w:val="StyleBoldUnderline"/>
          <w:rFonts w:asciiTheme="minorHAnsi" w:hAnsiTheme="minorHAnsi" w:cstheme="minorHAnsi"/>
        </w:rPr>
        <w:t>the</w:t>
      </w:r>
      <w:proofErr w:type="spellEnd"/>
      <w:r w:rsidRPr="000908C5">
        <w:rPr>
          <w:rStyle w:val="StyleBoldUnderline"/>
          <w:rFonts w:asciiTheme="minorHAnsi" w:hAnsiTheme="minorHAnsi" w:cstheme="minorHAnsi"/>
        </w:rPr>
        <w:t xml:space="preserve"> represent </w:t>
      </w:r>
      <w:r w:rsidRPr="00412A1E">
        <w:rPr>
          <w:rStyle w:val="StyleBoldUnderline"/>
          <w:rFonts w:asciiTheme="minorHAnsi" w:hAnsiTheme="minorHAnsi" w:cstheme="minorHAnsi"/>
          <w:highlight w:val="yellow"/>
        </w:rPr>
        <w:t>“investment.”</w:t>
      </w:r>
      <w:r w:rsidRPr="000908C5">
        <w:rPr>
          <w:rFonts w:asciiTheme="minorHAnsi" w:hAnsiTheme="minorHAnsi" w:cstheme="minorHAnsi"/>
          <w:sz w:val="16"/>
        </w:rPr>
        <w:t xml:space="preserve">  But if maintenance is neglected, the quality of services and longevity of facilities will be impaired.  My discussions with people who manage maintenance in public works agencies suggest that maintenance budgets are often squeezed, forcing neglect.</w:t>
      </w:r>
    </w:p>
    <w:p w:rsidR="00F517F5" w:rsidRDefault="00F517F5" w:rsidP="00A21645">
      <w:pPr>
        <w:rPr>
          <w:b/>
        </w:rPr>
      </w:pPr>
    </w:p>
    <w:p w:rsidR="00F517F5" w:rsidRDefault="00ED6567" w:rsidP="00A21645">
      <w:pPr>
        <w:rPr>
          <w:b/>
        </w:rPr>
      </w:pPr>
      <w:r>
        <w:rPr>
          <w:b/>
        </w:rPr>
        <w:t xml:space="preserve">All they do it maintenance – </w:t>
      </w:r>
      <w:proofErr w:type="spellStart"/>
      <w:r>
        <w:rPr>
          <w:b/>
        </w:rPr>
        <w:t>Akerloff</w:t>
      </w:r>
      <w:proofErr w:type="spellEnd"/>
      <w:r>
        <w:rPr>
          <w:b/>
        </w:rPr>
        <w:t xml:space="preserve"> says they shift funds from building new highways to just repairing the old ones – their anti-topical at best</w:t>
      </w:r>
      <w:r w:rsidR="00825C77">
        <w:rPr>
          <w:b/>
        </w:rPr>
        <w:t xml:space="preserve"> – not one new highway will be built with the plan</w:t>
      </w:r>
    </w:p>
    <w:p w:rsidR="00825C77" w:rsidRDefault="00825C77" w:rsidP="00A21645">
      <w:pPr>
        <w:rPr>
          <w:b/>
        </w:rPr>
      </w:pPr>
    </w:p>
    <w:p w:rsidR="00825C77" w:rsidRDefault="00825C77" w:rsidP="00A21645">
      <w:pPr>
        <w:rPr>
          <w:b/>
        </w:rPr>
      </w:pPr>
      <w:r>
        <w:rPr>
          <w:b/>
        </w:rPr>
        <w:t xml:space="preserve">Here’s a case list – they can read high-speed rail, </w:t>
      </w:r>
      <w:proofErr w:type="spellStart"/>
      <w:r>
        <w:rPr>
          <w:b/>
        </w:rPr>
        <w:t>NextGen</w:t>
      </w:r>
      <w:proofErr w:type="spellEnd"/>
      <w:r>
        <w:rPr>
          <w:b/>
        </w:rPr>
        <w:t xml:space="preserve">, aircraft carriers, </w:t>
      </w:r>
      <w:proofErr w:type="spellStart"/>
      <w:r>
        <w:rPr>
          <w:b/>
        </w:rPr>
        <w:t>Mayport</w:t>
      </w:r>
      <w:proofErr w:type="spellEnd"/>
      <w:r>
        <w:rPr>
          <w:b/>
        </w:rPr>
        <w:t>, Icebreakers, waterways, carbon pipelines</w:t>
      </w:r>
      <w:r w:rsidR="00886C3A">
        <w:rPr>
          <w:b/>
        </w:rPr>
        <w:t xml:space="preserve">, or ITS – it just has to involve the building of </w:t>
      </w:r>
      <w:r w:rsidR="00886C3A">
        <w:rPr>
          <w:b/>
          <w:u w:val="single"/>
        </w:rPr>
        <w:t>new</w:t>
      </w:r>
      <w:r w:rsidR="00886C3A">
        <w:t xml:space="preserve"> </w:t>
      </w:r>
      <w:r w:rsidR="00886C3A">
        <w:rPr>
          <w:b/>
        </w:rPr>
        <w:t>physical assets</w:t>
      </w:r>
    </w:p>
    <w:p w:rsidR="00886C3A" w:rsidRDefault="00886C3A" w:rsidP="00A21645">
      <w:pPr>
        <w:rPr>
          <w:b/>
        </w:rPr>
      </w:pPr>
    </w:p>
    <w:p w:rsidR="00886C3A" w:rsidRDefault="005C6E14" w:rsidP="00A21645">
      <w:pPr>
        <w:rPr>
          <w:b/>
        </w:rPr>
      </w:pPr>
      <w:r>
        <w:rPr>
          <w:b/>
        </w:rPr>
        <w:t>There’s</w:t>
      </w:r>
      <w:r w:rsidR="00886C3A">
        <w:rPr>
          <w:b/>
        </w:rPr>
        <w:t xml:space="preserve"> a topical version of your </w:t>
      </w:r>
      <w:proofErr w:type="spellStart"/>
      <w:r w:rsidR="00886C3A">
        <w:rPr>
          <w:b/>
        </w:rPr>
        <w:t>aff</w:t>
      </w:r>
      <w:proofErr w:type="spellEnd"/>
      <w:r w:rsidR="00886C3A">
        <w:rPr>
          <w:b/>
        </w:rPr>
        <w:t xml:space="preserve"> – you could build new highways in the U.S. – that would solve all your internal links</w:t>
      </w:r>
    </w:p>
    <w:p w:rsidR="005C6E14" w:rsidRDefault="005C6E14" w:rsidP="00A21645">
      <w:pPr>
        <w:rPr>
          <w:b/>
        </w:rPr>
      </w:pPr>
    </w:p>
    <w:p w:rsidR="005C6E14" w:rsidRDefault="005C6E14" w:rsidP="00A21645">
      <w:pPr>
        <w:rPr>
          <w:b/>
        </w:rPr>
      </w:pPr>
      <w:r>
        <w:rPr>
          <w:b/>
        </w:rPr>
        <w:t xml:space="preserve">Reading your </w:t>
      </w:r>
      <w:proofErr w:type="spellStart"/>
      <w:r>
        <w:rPr>
          <w:b/>
        </w:rPr>
        <w:t>aff</w:t>
      </w:r>
      <w:proofErr w:type="spellEnd"/>
      <w:r>
        <w:rPr>
          <w:b/>
        </w:rPr>
        <w:t xml:space="preserve"> as a counterplan solves your offense </w:t>
      </w:r>
    </w:p>
    <w:p w:rsidR="00DE23D5" w:rsidRDefault="00DE23D5" w:rsidP="00886C3A">
      <w:pPr>
        <w:pStyle w:val="Heading1"/>
      </w:pPr>
      <w:r>
        <w:lastRenderedPageBreak/>
        <w:t>2NC – Ground</w:t>
      </w:r>
    </w:p>
    <w:p w:rsidR="00B7263E" w:rsidRDefault="001173AD" w:rsidP="00DE23D5">
      <w:pPr>
        <w:rPr>
          <w:b/>
        </w:rPr>
      </w:pPr>
      <w:r>
        <w:rPr>
          <w:b/>
        </w:rPr>
        <w:t xml:space="preserve">Go to ground – excluding </w:t>
      </w:r>
      <w:r w:rsidR="00B7263E">
        <w:rPr>
          <w:b/>
        </w:rPr>
        <w:t xml:space="preserve">maintenance from the topic is key to preserving ground – there’s a few internal </w:t>
      </w:r>
      <w:proofErr w:type="gramStart"/>
      <w:r w:rsidR="00B7263E">
        <w:rPr>
          <w:b/>
        </w:rPr>
        <w:t>links  -</w:t>
      </w:r>
      <w:proofErr w:type="gramEnd"/>
      <w:r w:rsidR="00B7263E">
        <w:rPr>
          <w:b/>
        </w:rPr>
        <w:t xml:space="preserve"> </w:t>
      </w:r>
    </w:p>
    <w:p w:rsidR="00B7263E" w:rsidRDefault="00B7263E" w:rsidP="00DE23D5">
      <w:pPr>
        <w:rPr>
          <w:b/>
        </w:rPr>
      </w:pPr>
      <w:r>
        <w:rPr>
          <w:b/>
        </w:rPr>
        <w:tab/>
        <w:t xml:space="preserve">First is perception – maintenance </w:t>
      </w:r>
      <w:r w:rsidR="0025686B">
        <w:rPr>
          <w:b/>
        </w:rPr>
        <w:t>spending</w:t>
      </w:r>
      <w:r>
        <w:rPr>
          <w:b/>
        </w:rPr>
        <w:t xml:space="preserve"> is necessarily less than </w:t>
      </w:r>
      <w:r w:rsidR="0025686B">
        <w:rPr>
          <w:b/>
        </w:rPr>
        <w:t>investment. It also always gets footnoted to actual investment, which takes out all our links to public perception DA’s</w:t>
      </w:r>
    </w:p>
    <w:p w:rsidR="00B7263E" w:rsidRPr="000908C5" w:rsidRDefault="00B7263E" w:rsidP="00B7263E">
      <w:pPr>
        <w:autoSpaceDE w:val="0"/>
        <w:autoSpaceDN w:val="0"/>
        <w:adjustRightInd w:val="0"/>
        <w:rPr>
          <w:rFonts w:asciiTheme="minorHAnsi" w:hAnsiTheme="minorHAnsi" w:cstheme="minorHAnsi"/>
          <w:sz w:val="16"/>
        </w:rPr>
      </w:pPr>
      <w:proofErr w:type="spellStart"/>
      <w:r w:rsidRPr="000908C5">
        <w:rPr>
          <w:rFonts w:asciiTheme="minorHAnsi" w:hAnsiTheme="minorHAnsi" w:cstheme="minorHAnsi"/>
          <w:b/>
        </w:rPr>
        <w:t>Kalyvitis</w:t>
      </w:r>
      <w:proofErr w:type="spellEnd"/>
      <w:r w:rsidRPr="000908C5">
        <w:rPr>
          <w:rFonts w:asciiTheme="minorHAnsi" w:hAnsiTheme="minorHAnsi" w:cstheme="minorHAnsi"/>
          <w:b/>
        </w:rPr>
        <w:t xml:space="preserve"> and </w:t>
      </w:r>
      <w:proofErr w:type="spellStart"/>
      <w:r w:rsidRPr="000908C5">
        <w:rPr>
          <w:rFonts w:asciiTheme="minorHAnsi" w:hAnsiTheme="minorHAnsi" w:cstheme="minorHAnsi"/>
          <w:b/>
        </w:rPr>
        <w:t>Vella</w:t>
      </w:r>
      <w:proofErr w:type="spellEnd"/>
      <w:r w:rsidRPr="000908C5">
        <w:rPr>
          <w:rFonts w:asciiTheme="minorHAnsi" w:hAnsiTheme="minorHAnsi" w:cstheme="minorHAnsi"/>
          <w:b/>
        </w:rPr>
        <w:t xml:space="preserve"> 11</w:t>
      </w:r>
      <w:r w:rsidRPr="000908C5">
        <w:rPr>
          <w:rFonts w:asciiTheme="minorHAnsi" w:hAnsiTheme="minorHAnsi" w:cstheme="minorHAnsi"/>
          <w:b/>
          <w:sz w:val="16"/>
        </w:rPr>
        <w:t xml:space="preserve"> </w:t>
      </w:r>
      <w:r w:rsidRPr="000908C5">
        <w:rPr>
          <w:rFonts w:asciiTheme="minorHAnsi" w:hAnsiTheme="minorHAnsi" w:cstheme="minorHAnsi"/>
          <w:sz w:val="16"/>
        </w:rPr>
        <w:t>– professor in the Department of International and European Economic Studies at Athens University of Economics and Business, PhD candidate in the Department of International and European Economic Studies at Athens University of Economics and Business (</w:t>
      </w:r>
      <w:proofErr w:type="spellStart"/>
      <w:r w:rsidRPr="000908C5">
        <w:rPr>
          <w:rFonts w:asciiTheme="minorHAnsi" w:hAnsiTheme="minorHAnsi" w:cstheme="minorHAnsi"/>
          <w:sz w:val="16"/>
        </w:rPr>
        <w:t>Sarantis</w:t>
      </w:r>
      <w:proofErr w:type="spellEnd"/>
      <w:r w:rsidRPr="000908C5">
        <w:rPr>
          <w:rFonts w:asciiTheme="minorHAnsi" w:hAnsiTheme="minorHAnsi" w:cstheme="minorHAnsi"/>
          <w:sz w:val="16"/>
        </w:rPr>
        <w:t xml:space="preserve"> and Eugenia, Public Capital Maintenance, Decentralization, and US Productivity Growth, Public Finance Review 39(6) p. 788 Sage)</w:t>
      </w:r>
    </w:p>
    <w:p w:rsidR="00B7263E" w:rsidRPr="000908C5" w:rsidRDefault="00B7263E" w:rsidP="00B7263E">
      <w:pPr>
        <w:autoSpaceDE w:val="0"/>
        <w:autoSpaceDN w:val="0"/>
        <w:adjustRightInd w:val="0"/>
        <w:rPr>
          <w:rFonts w:asciiTheme="minorHAnsi" w:hAnsiTheme="minorHAnsi" w:cstheme="minorHAnsi"/>
          <w:sz w:val="16"/>
        </w:rPr>
      </w:pPr>
      <w:r w:rsidRPr="0025686B">
        <w:rPr>
          <w:rStyle w:val="StyleBoldUnderline"/>
          <w:rFonts w:asciiTheme="minorHAnsi" w:hAnsiTheme="minorHAnsi" w:cstheme="minorHAnsi"/>
          <w:highlight w:val="yellow"/>
        </w:rPr>
        <w:t>Expenditures ‘‘for</w:t>
      </w:r>
      <w:r w:rsidRPr="0025686B">
        <w:rPr>
          <w:rFonts w:asciiTheme="minorHAnsi" w:hAnsiTheme="minorHAnsi" w:cstheme="minorHAnsi"/>
          <w:sz w:val="16"/>
          <w:highlight w:val="yellow"/>
        </w:rPr>
        <w:t xml:space="preserve"> </w:t>
      </w:r>
      <w:r w:rsidRPr="0025686B">
        <w:rPr>
          <w:rFonts w:asciiTheme="minorHAnsi" w:hAnsiTheme="minorHAnsi" w:cstheme="minorHAnsi"/>
          <w:b/>
          <w:highlight w:val="yellow"/>
          <w:u w:val="single"/>
        </w:rPr>
        <w:t>the purchase, construction</w:t>
      </w:r>
      <w:r w:rsidRPr="000908C5">
        <w:rPr>
          <w:rFonts w:asciiTheme="minorHAnsi" w:hAnsiTheme="minorHAnsi" w:cstheme="minorHAnsi"/>
          <w:b/>
          <w:u w:val="single"/>
        </w:rPr>
        <w:t xml:space="preserve">, rehabilitation, and improvement </w:t>
      </w:r>
      <w:r w:rsidRPr="0025686B">
        <w:rPr>
          <w:rFonts w:asciiTheme="minorHAnsi" w:hAnsiTheme="minorHAnsi" w:cstheme="minorHAnsi"/>
          <w:b/>
          <w:highlight w:val="yellow"/>
          <w:u w:val="single"/>
        </w:rPr>
        <w:t>of physical infrastructure’’ are defined as capital spending, while expenditures</w:t>
      </w:r>
      <w:r w:rsidRPr="000908C5">
        <w:rPr>
          <w:rFonts w:asciiTheme="minorHAnsi" w:hAnsiTheme="minorHAnsi" w:cstheme="minorHAnsi"/>
          <w:b/>
          <w:u w:val="single"/>
        </w:rPr>
        <w:t xml:space="preserve"> that are ‘‘</w:t>
      </w:r>
      <w:r w:rsidRPr="0025686B">
        <w:rPr>
          <w:rFonts w:asciiTheme="minorHAnsi" w:hAnsiTheme="minorHAnsi" w:cstheme="minorHAnsi"/>
          <w:b/>
          <w:highlight w:val="yellow"/>
          <w:u w:val="single"/>
        </w:rPr>
        <w:t xml:space="preserve">required </w:t>
      </w:r>
      <w:r w:rsidRPr="0025686B">
        <w:rPr>
          <w:rFonts w:asciiTheme="minorHAnsi" w:hAnsiTheme="minorHAnsi" w:cstheme="minorHAnsi"/>
          <w:b/>
          <w:u w:val="single"/>
        </w:rPr>
        <w:t>to provide</w:t>
      </w:r>
      <w:r w:rsidRPr="000908C5">
        <w:rPr>
          <w:rFonts w:asciiTheme="minorHAnsi" w:hAnsiTheme="minorHAnsi" w:cstheme="minorHAnsi"/>
          <w:b/>
          <w:u w:val="single"/>
        </w:rPr>
        <w:t xml:space="preserve"> the services needed </w:t>
      </w:r>
      <w:r w:rsidRPr="002B5C56">
        <w:rPr>
          <w:rFonts w:asciiTheme="minorHAnsi" w:hAnsiTheme="minorHAnsi" w:cstheme="minorHAnsi"/>
          <w:b/>
          <w:highlight w:val="yellow"/>
          <w:u w:val="single"/>
        </w:rPr>
        <w:t>for infrastructure to function</w:t>
      </w:r>
      <w:r w:rsidRPr="000908C5">
        <w:rPr>
          <w:rFonts w:asciiTheme="minorHAnsi" w:hAnsiTheme="minorHAnsi" w:cstheme="minorHAnsi"/>
          <w:b/>
          <w:u w:val="single"/>
        </w:rPr>
        <w:t xml:space="preserve"> </w:t>
      </w:r>
      <w:r w:rsidRPr="002B5C56">
        <w:rPr>
          <w:rFonts w:asciiTheme="minorHAnsi" w:hAnsiTheme="minorHAnsi" w:cstheme="minorHAnsi"/>
          <w:b/>
          <w:highlight w:val="yellow"/>
          <w:u w:val="single"/>
        </w:rPr>
        <w:t>and are necessary for the repair</w:t>
      </w:r>
      <w:r w:rsidRPr="000908C5">
        <w:rPr>
          <w:rFonts w:asciiTheme="minorHAnsi" w:hAnsiTheme="minorHAnsi" w:cstheme="minorHAnsi"/>
          <w:b/>
          <w:u w:val="single"/>
        </w:rPr>
        <w:t xml:space="preserve"> and safe </w:t>
      </w:r>
      <w:r w:rsidRPr="002B5C56">
        <w:rPr>
          <w:rFonts w:asciiTheme="minorHAnsi" w:hAnsiTheme="minorHAnsi" w:cstheme="minorHAnsi"/>
          <w:b/>
          <w:highlight w:val="yellow"/>
          <w:u w:val="single"/>
        </w:rPr>
        <w:t>operation of existing infrastructure’’ compose O&amp;M spending</w:t>
      </w:r>
      <w:r w:rsidRPr="000908C5">
        <w:rPr>
          <w:rFonts w:asciiTheme="minorHAnsi" w:hAnsiTheme="minorHAnsi" w:cstheme="minorHAnsi"/>
          <w:b/>
          <w:u w:val="single"/>
        </w:rPr>
        <w:t>.</w:t>
      </w:r>
      <w:r w:rsidRPr="000908C5">
        <w:rPr>
          <w:rFonts w:asciiTheme="minorHAnsi" w:hAnsiTheme="minorHAnsi" w:cstheme="minorHAnsi"/>
          <w:sz w:val="16"/>
        </w:rPr>
        <w:t xml:space="preserve">4 </w:t>
      </w:r>
      <w:r w:rsidRPr="002B5C56">
        <w:rPr>
          <w:rFonts w:asciiTheme="minorHAnsi" w:hAnsiTheme="minorHAnsi" w:cstheme="minorHAnsi"/>
          <w:b/>
          <w:highlight w:val="yellow"/>
          <w:u w:val="single"/>
        </w:rPr>
        <w:t>Federal capital outlays include all reported investment spending on physical infrastructure assets</w:t>
      </w:r>
      <w:r w:rsidRPr="000908C5">
        <w:rPr>
          <w:rFonts w:asciiTheme="minorHAnsi" w:hAnsiTheme="minorHAnsi" w:cstheme="minorHAnsi"/>
          <w:b/>
          <w:u w:val="single"/>
        </w:rPr>
        <w:t>, such as construction and rehabilitation</w:t>
      </w:r>
      <w:r w:rsidRPr="000908C5">
        <w:rPr>
          <w:rFonts w:asciiTheme="minorHAnsi" w:hAnsiTheme="minorHAnsi" w:cstheme="minorHAnsi"/>
          <w:sz w:val="16"/>
        </w:rPr>
        <w:t xml:space="preserve">, purchase and sales of land and structures, and major equipment. </w:t>
      </w:r>
      <w:r w:rsidRPr="002B5C56">
        <w:rPr>
          <w:rFonts w:asciiTheme="minorHAnsi" w:hAnsiTheme="minorHAnsi" w:cstheme="minorHAnsi"/>
          <w:b/>
          <w:highlight w:val="yellow"/>
          <w:u w:val="single"/>
        </w:rPr>
        <w:t>The remaining investment spending</w:t>
      </w:r>
      <w:r w:rsidRPr="000908C5">
        <w:rPr>
          <w:rFonts w:asciiTheme="minorHAnsi" w:hAnsiTheme="minorHAnsi" w:cstheme="minorHAnsi"/>
          <w:b/>
          <w:u w:val="single"/>
        </w:rPr>
        <w:t xml:space="preserve"> in nonphysical infrastructure assets, such as r</w:t>
      </w:r>
      <w:r w:rsidRPr="000908C5">
        <w:rPr>
          <w:rFonts w:asciiTheme="minorHAnsi" w:hAnsiTheme="minorHAnsi" w:cstheme="minorHAnsi"/>
          <w:sz w:val="16"/>
        </w:rPr>
        <w:t xml:space="preserve">esearch </w:t>
      </w:r>
      <w:r w:rsidRPr="000908C5">
        <w:rPr>
          <w:rFonts w:asciiTheme="minorHAnsi" w:hAnsiTheme="minorHAnsi" w:cstheme="minorHAnsi"/>
          <w:b/>
          <w:u w:val="single"/>
        </w:rPr>
        <w:t>and d</w:t>
      </w:r>
      <w:r w:rsidRPr="000908C5">
        <w:rPr>
          <w:rFonts w:asciiTheme="minorHAnsi" w:hAnsiTheme="minorHAnsi" w:cstheme="minorHAnsi"/>
          <w:sz w:val="16"/>
        </w:rPr>
        <w:t xml:space="preserve">evelopment, </w:t>
      </w:r>
      <w:r w:rsidRPr="000908C5">
        <w:rPr>
          <w:rFonts w:asciiTheme="minorHAnsi" w:hAnsiTheme="minorHAnsi" w:cstheme="minorHAnsi"/>
          <w:b/>
          <w:u w:val="single"/>
        </w:rPr>
        <w:t xml:space="preserve">education and training, and other noninvestment activities, </w:t>
      </w:r>
      <w:r w:rsidRPr="002B5C56">
        <w:rPr>
          <w:rFonts w:asciiTheme="minorHAnsi" w:hAnsiTheme="minorHAnsi" w:cstheme="minorHAnsi"/>
          <w:b/>
          <w:highlight w:val="yellow"/>
          <w:u w:val="single"/>
        </w:rPr>
        <w:t>comprises f</w:t>
      </w:r>
      <w:r w:rsidRPr="002B5C56">
        <w:rPr>
          <w:rFonts w:asciiTheme="minorHAnsi" w:hAnsiTheme="minorHAnsi" w:cstheme="minorHAnsi"/>
          <w:b/>
          <w:u w:val="single"/>
        </w:rPr>
        <w:t xml:space="preserve">ederal </w:t>
      </w:r>
      <w:r w:rsidRPr="002B5C56">
        <w:rPr>
          <w:rFonts w:asciiTheme="minorHAnsi" w:hAnsiTheme="minorHAnsi" w:cstheme="minorHAnsi"/>
          <w:b/>
          <w:highlight w:val="yellow"/>
          <w:u w:val="single"/>
        </w:rPr>
        <w:t>O&amp;M spending</w:t>
      </w:r>
      <w:r w:rsidRPr="000908C5">
        <w:rPr>
          <w:rFonts w:asciiTheme="minorHAnsi" w:hAnsiTheme="minorHAnsi" w:cstheme="minorHAnsi"/>
          <w:b/>
          <w:u w:val="single"/>
        </w:rPr>
        <w:t>.</w:t>
      </w:r>
      <w:r w:rsidRPr="000908C5">
        <w:rPr>
          <w:rFonts w:asciiTheme="minorHAnsi" w:hAnsiTheme="minorHAnsi" w:cstheme="minorHAnsi"/>
          <w:sz w:val="16"/>
        </w:rPr>
        <w:t xml:space="preserve"> Turning to state and local spending, capital outlays cover construction, purchase of land, existing structures, and equipment, whereas O&amp;M outlays cover current operations.5</w:t>
      </w:r>
    </w:p>
    <w:p w:rsidR="00B7263E" w:rsidRDefault="00B7263E" w:rsidP="00DE23D5">
      <w:pPr>
        <w:rPr>
          <w:b/>
        </w:rPr>
      </w:pPr>
    </w:p>
    <w:p w:rsidR="002B5C56" w:rsidRDefault="002B5C56" w:rsidP="00DE23D5">
      <w:pPr>
        <w:rPr>
          <w:b/>
        </w:rPr>
      </w:pPr>
      <w:r>
        <w:rPr>
          <w:b/>
        </w:rPr>
        <w:tab/>
        <w:t xml:space="preserve">Second is politics – </w:t>
      </w:r>
      <w:proofErr w:type="spellStart"/>
      <w:r>
        <w:rPr>
          <w:b/>
        </w:rPr>
        <w:t>Lemer</w:t>
      </w:r>
      <w:proofErr w:type="spellEnd"/>
      <w:r>
        <w:rPr>
          <w:b/>
        </w:rPr>
        <w:t xml:space="preserve"> says maintenance spending comes from different accounts – that means the appropriation process is smaller and doesn’t have to go through the major political channels – takes out agenda politics from funding fights and the biggest link to elections</w:t>
      </w:r>
    </w:p>
    <w:p w:rsidR="002B5C56" w:rsidRDefault="002B5C56" w:rsidP="00DE23D5">
      <w:pPr>
        <w:rPr>
          <w:b/>
        </w:rPr>
      </w:pPr>
    </w:p>
    <w:p w:rsidR="00DE23D5" w:rsidRPr="00DE23D5" w:rsidRDefault="00B446A8" w:rsidP="00DE23D5">
      <w:pPr>
        <w:rPr>
          <w:b/>
        </w:rPr>
      </w:pPr>
      <w:r>
        <w:rPr>
          <w:b/>
        </w:rPr>
        <w:t>The impact is CBA - ground allows us to explore a proposal and test its merits from multiple angles – if we couldn’t read disads to the plan then they would always win and we wouldn’t be able to evaluate it holistically</w:t>
      </w:r>
    </w:p>
    <w:p w:rsidR="00B446A8" w:rsidRDefault="00B446A8" w:rsidP="00886C3A">
      <w:pPr>
        <w:pStyle w:val="Heading1"/>
      </w:pPr>
      <w:r>
        <w:lastRenderedPageBreak/>
        <w:t xml:space="preserve">2NC </w:t>
      </w:r>
      <w:r w:rsidR="0036330C">
        <w:t>–</w:t>
      </w:r>
      <w:r>
        <w:t xml:space="preserve"> Limits</w:t>
      </w:r>
    </w:p>
    <w:p w:rsidR="0036330C" w:rsidRDefault="0036330C" w:rsidP="0036330C">
      <w:pPr>
        <w:rPr>
          <w:b/>
        </w:rPr>
      </w:pPr>
      <w:r>
        <w:rPr>
          <w:b/>
        </w:rPr>
        <w:t xml:space="preserve">Go to limits – there are thousands of types of transportation infrastructure that exist in some form in the U.S. – under their interpretation they could repair anything to any extent – we would literally never be able to </w:t>
      </w:r>
      <w:r w:rsidR="000D58E1">
        <w:rPr>
          <w:b/>
        </w:rPr>
        <w:t xml:space="preserve">research all the different </w:t>
      </w:r>
      <w:proofErr w:type="spellStart"/>
      <w:r w:rsidR="000D58E1">
        <w:rPr>
          <w:b/>
        </w:rPr>
        <w:t>affs</w:t>
      </w:r>
      <w:proofErr w:type="spellEnd"/>
      <w:r w:rsidR="000D58E1">
        <w:rPr>
          <w:b/>
        </w:rPr>
        <w:t xml:space="preserve"> – our interpretation places fair limits on the resolution because we only allow the building of new physical assets – there’s a solid literature base for</w:t>
      </w:r>
      <w:r w:rsidR="00BC25CB">
        <w:rPr>
          <w:b/>
        </w:rPr>
        <w:t xml:space="preserve"> stuff like HSR and </w:t>
      </w:r>
      <w:proofErr w:type="spellStart"/>
      <w:r w:rsidR="00BC25CB">
        <w:rPr>
          <w:b/>
        </w:rPr>
        <w:t>Mayports</w:t>
      </w:r>
      <w:proofErr w:type="spellEnd"/>
      <w:r w:rsidR="00BC25CB">
        <w:rPr>
          <w:b/>
        </w:rPr>
        <w:t xml:space="preserve"> that doesn’t exist for maintenance of random roads </w:t>
      </w:r>
    </w:p>
    <w:p w:rsidR="00BC25CB" w:rsidRDefault="00BC25CB" w:rsidP="0036330C">
      <w:pPr>
        <w:rPr>
          <w:b/>
        </w:rPr>
      </w:pPr>
    </w:p>
    <w:p w:rsidR="00BC25CB" w:rsidRPr="0036330C" w:rsidRDefault="00BC25CB" w:rsidP="0036330C">
      <w:pPr>
        <w:rPr>
          <w:b/>
        </w:rPr>
      </w:pPr>
      <w:r>
        <w:rPr>
          <w:b/>
        </w:rPr>
        <w:t xml:space="preserve">The impact is research skills – without limits there are no core expectations before tournaments so teams won’t know what literature body to turn to – they will just default to their states or cap </w:t>
      </w:r>
      <w:proofErr w:type="spellStart"/>
      <w:r>
        <w:rPr>
          <w:b/>
        </w:rPr>
        <w:t>backfiles</w:t>
      </w:r>
      <w:proofErr w:type="spellEnd"/>
      <w:r>
        <w:rPr>
          <w:b/>
        </w:rPr>
        <w:t xml:space="preserve"> –</w:t>
      </w:r>
      <w:r w:rsidR="00C951EA">
        <w:rPr>
          <w:b/>
        </w:rPr>
        <w:t xml:space="preserve"> </w:t>
      </w:r>
      <w:r>
        <w:rPr>
          <w:b/>
        </w:rPr>
        <w:t xml:space="preserve">through </w:t>
      </w:r>
      <w:r w:rsidR="00C951EA">
        <w:rPr>
          <w:b/>
        </w:rPr>
        <w:t xml:space="preserve">research skills we learn how to look for new information and process it for an end </w:t>
      </w:r>
    </w:p>
    <w:p w:rsidR="00886C3A" w:rsidRPr="00886C3A" w:rsidRDefault="00886C3A" w:rsidP="00886C3A">
      <w:pPr>
        <w:pStyle w:val="Heading1"/>
      </w:pPr>
      <w:r>
        <w:lastRenderedPageBreak/>
        <w:t>2NC – Interpretation – Capital Spending</w:t>
      </w:r>
    </w:p>
    <w:p w:rsidR="005F75ED" w:rsidRPr="000908C5" w:rsidRDefault="005F75ED" w:rsidP="005F75ED">
      <w:pPr>
        <w:rPr>
          <w:rFonts w:asciiTheme="minorHAnsi" w:hAnsiTheme="minorHAnsi" w:cstheme="minorHAnsi"/>
          <w:b/>
        </w:rPr>
      </w:pPr>
      <w:r w:rsidRPr="000908C5">
        <w:rPr>
          <w:rFonts w:asciiTheme="minorHAnsi" w:hAnsiTheme="minorHAnsi" w:cstheme="minorHAnsi"/>
          <w:b/>
        </w:rPr>
        <w:t>Infrastructure investment is capital spending</w:t>
      </w:r>
    </w:p>
    <w:p w:rsidR="005F75ED" w:rsidRPr="000908C5" w:rsidRDefault="005F75ED" w:rsidP="005F75ED">
      <w:pPr>
        <w:rPr>
          <w:rFonts w:asciiTheme="minorHAnsi" w:hAnsiTheme="minorHAnsi" w:cstheme="minorHAnsi"/>
        </w:rPr>
      </w:pPr>
      <w:proofErr w:type="gramStart"/>
      <w:r w:rsidRPr="000908C5">
        <w:rPr>
          <w:rFonts w:asciiTheme="minorHAnsi" w:hAnsiTheme="minorHAnsi" w:cstheme="minorHAnsi"/>
          <w:b/>
        </w:rPr>
        <w:t>CBO 2009</w:t>
      </w:r>
      <w:r w:rsidRPr="000908C5">
        <w:rPr>
          <w:rFonts w:asciiTheme="minorHAnsi" w:hAnsiTheme="minorHAnsi" w:cstheme="minorHAnsi"/>
        </w:rPr>
        <w:t xml:space="preserve"> [Congressional Budget Office.</w:t>
      </w:r>
      <w:proofErr w:type="gramEnd"/>
      <w:r w:rsidRPr="000908C5">
        <w:rPr>
          <w:rFonts w:asciiTheme="minorHAnsi" w:hAnsiTheme="minorHAnsi" w:cstheme="minorHAnsi"/>
        </w:rPr>
        <w:t xml:space="preserve"> </w:t>
      </w:r>
      <w:proofErr w:type="gramStart"/>
      <w:r w:rsidRPr="000908C5">
        <w:rPr>
          <w:rFonts w:asciiTheme="minorHAnsi" w:hAnsiTheme="minorHAnsi" w:cstheme="minorHAnsi"/>
        </w:rPr>
        <w:t>“Subsidizing Infrastructure Investment with Tax-Preferred Bonds.”</w:t>
      </w:r>
      <w:proofErr w:type="gramEnd"/>
      <w:r w:rsidRPr="000908C5">
        <w:rPr>
          <w:rFonts w:asciiTheme="minorHAnsi" w:hAnsiTheme="minorHAnsi" w:cstheme="minorHAnsi"/>
        </w:rPr>
        <w:t xml:space="preserve"> October 2009. http://www.cbo.gov/sites/default/files/cbofiles/ftpdocs/106xx/doc10667/10-26-taxpreferredbonds.pdf)</w:t>
      </w:r>
    </w:p>
    <w:p w:rsidR="005F75ED" w:rsidRDefault="005F75ED" w:rsidP="005F75ED">
      <w:pPr>
        <w:rPr>
          <w:rStyle w:val="StyleBoldUnderline"/>
          <w:rFonts w:asciiTheme="minorHAnsi" w:hAnsiTheme="minorHAnsi" w:cstheme="minorHAnsi"/>
        </w:rPr>
      </w:pPr>
      <w:r w:rsidRPr="000908C5">
        <w:rPr>
          <w:rFonts w:asciiTheme="minorHAnsi" w:hAnsiTheme="minorHAnsi" w:cstheme="minorHAnsi"/>
          <w:sz w:val="16"/>
        </w:rPr>
        <w:t xml:space="preserve">In this analysis, </w:t>
      </w:r>
      <w:r w:rsidRPr="005C6E14">
        <w:rPr>
          <w:rStyle w:val="StyleBoldUnderline"/>
          <w:rFonts w:asciiTheme="minorHAnsi" w:hAnsiTheme="minorHAnsi" w:cstheme="minorHAnsi"/>
          <w:highlight w:val="yellow"/>
        </w:rPr>
        <w:t>investment in infrastructure is defined as capital spending</w:t>
      </w:r>
      <w:r w:rsidRPr="000908C5">
        <w:rPr>
          <w:rStyle w:val="StyleBoldUnderline"/>
          <w:rFonts w:asciiTheme="minorHAnsi" w:hAnsiTheme="minorHAnsi" w:cstheme="minorHAnsi"/>
        </w:rPr>
        <w:t xml:space="preserve"> on transportation</w:t>
      </w:r>
      <w:r w:rsidRPr="000908C5">
        <w:rPr>
          <w:rFonts w:asciiTheme="minorHAnsi" w:hAnsiTheme="minorHAnsi" w:cstheme="minorHAnsi"/>
          <w:sz w:val="16"/>
        </w:rPr>
        <w:t xml:space="preserve">, utilities (for example, water and power supply), environmental projects, and schools. 1 In addition, because they account for a significant share of the tax-exempt debt issued, health care facilities and hospitals are treated as infrastructure in this study, although they might not be classified as such for many other types of analyses. </w:t>
      </w:r>
      <w:r w:rsidRPr="005C6E14">
        <w:rPr>
          <w:rStyle w:val="StyleBoldUnderline"/>
          <w:rFonts w:asciiTheme="minorHAnsi" w:hAnsiTheme="minorHAnsi" w:cstheme="minorHAnsi"/>
          <w:highlight w:val="yellow"/>
        </w:rPr>
        <w:t>Capital spending</w:t>
      </w:r>
      <w:r w:rsidRPr="000908C5">
        <w:rPr>
          <w:rFonts w:asciiTheme="minorHAnsi" w:hAnsiTheme="minorHAnsi" w:cstheme="minorHAnsi"/>
          <w:sz w:val="16"/>
        </w:rPr>
        <w:t xml:space="preserve"> under this study’s definition </w:t>
      </w:r>
      <w:r w:rsidRPr="005C6E14">
        <w:rPr>
          <w:rStyle w:val="StyleBoldUnderline"/>
          <w:rFonts w:asciiTheme="minorHAnsi" w:hAnsiTheme="minorHAnsi" w:cstheme="minorHAnsi"/>
          <w:highlight w:val="yellow"/>
        </w:rPr>
        <w:t>consists of investment in physical capital</w:t>
      </w:r>
      <w:r w:rsidRPr="000908C5">
        <w:rPr>
          <w:rStyle w:val="StyleBoldUnderline"/>
          <w:rFonts w:asciiTheme="minorHAnsi" w:hAnsiTheme="minorHAnsi" w:cstheme="minorHAnsi"/>
        </w:rPr>
        <w:t>, such as structures and facilities, rather than intangible capital</w:t>
      </w:r>
      <w:r w:rsidRPr="000908C5">
        <w:rPr>
          <w:rFonts w:asciiTheme="minorHAnsi" w:hAnsiTheme="minorHAnsi" w:cstheme="minorHAnsi"/>
          <w:sz w:val="16"/>
        </w:rPr>
        <w:t xml:space="preserve">, </w:t>
      </w:r>
      <w:r w:rsidRPr="000908C5">
        <w:rPr>
          <w:rStyle w:val="StyleBoldUnderline"/>
          <w:rFonts w:asciiTheme="minorHAnsi" w:hAnsiTheme="minorHAnsi" w:cstheme="minorHAnsi"/>
        </w:rPr>
        <w:t xml:space="preserve">which is formed by spending </w:t>
      </w:r>
      <w:r w:rsidRPr="000908C5">
        <w:rPr>
          <w:rFonts w:asciiTheme="minorHAnsi" w:hAnsiTheme="minorHAnsi" w:cstheme="minorHAnsi"/>
          <w:sz w:val="16"/>
        </w:rPr>
        <w:t xml:space="preserve">on educational programs or </w:t>
      </w:r>
      <w:r w:rsidRPr="000908C5">
        <w:rPr>
          <w:rStyle w:val="StyleBoldUnderline"/>
          <w:rFonts w:asciiTheme="minorHAnsi" w:hAnsiTheme="minorHAnsi" w:cstheme="minorHAnsi"/>
        </w:rPr>
        <w:t>on research and development.</w:t>
      </w:r>
    </w:p>
    <w:p w:rsidR="0021583C" w:rsidRPr="000908C5" w:rsidRDefault="0021583C" w:rsidP="0021583C">
      <w:pPr>
        <w:rPr>
          <w:rFonts w:asciiTheme="minorHAnsi" w:hAnsiTheme="minorHAnsi" w:cstheme="minorHAnsi"/>
        </w:rPr>
      </w:pPr>
    </w:p>
    <w:p w:rsidR="0021583C" w:rsidRPr="000908C5" w:rsidRDefault="0021583C" w:rsidP="0021583C">
      <w:pPr>
        <w:rPr>
          <w:rFonts w:asciiTheme="minorHAnsi" w:hAnsiTheme="minorHAnsi" w:cstheme="minorHAnsi"/>
          <w:b/>
        </w:rPr>
      </w:pPr>
      <w:r w:rsidRPr="000908C5">
        <w:rPr>
          <w:rFonts w:asciiTheme="minorHAnsi" w:hAnsiTheme="minorHAnsi" w:cstheme="minorHAnsi"/>
          <w:b/>
        </w:rPr>
        <w:t>Capital spending is distinct from maintenance or repairs</w:t>
      </w:r>
    </w:p>
    <w:p w:rsidR="0021583C" w:rsidRPr="000908C5" w:rsidRDefault="0021583C" w:rsidP="0021583C">
      <w:pPr>
        <w:rPr>
          <w:rFonts w:asciiTheme="minorHAnsi" w:hAnsiTheme="minorHAnsi" w:cstheme="minorHAnsi"/>
          <w:sz w:val="16"/>
        </w:rPr>
      </w:pPr>
      <w:r w:rsidRPr="000908C5">
        <w:rPr>
          <w:rFonts w:asciiTheme="minorHAnsi" w:hAnsiTheme="minorHAnsi" w:cstheme="minorHAnsi"/>
          <w:b/>
        </w:rPr>
        <w:t xml:space="preserve">Berger and </w:t>
      </w:r>
      <w:proofErr w:type="spellStart"/>
      <w:r w:rsidRPr="000908C5">
        <w:rPr>
          <w:rFonts w:asciiTheme="minorHAnsi" w:hAnsiTheme="minorHAnsi" w:cstheme="minorHAnsi"/>
          <w:b/>
        </w:rPr>
        <w:t>McLynch</w:t>
      </w:r>
      <w:proofErr w:type="spellEnd"/>
      <w:r w:rsidRPr="000908C5">
        <w:rPr>
          <w:rFonts w:asciiTheme="minorHAnsi" w:hAnsiTheme="minorHAnsi" w:cstheme="minorHAnsi"/>
          <w:b/>
        </w:rPr>
        <w:t xml:space="preserve"> 6</w:t>
      </w:r>
      <w:r w:rsidRPr="000908C5">
        <w:rPr>
          <w:rFonts w:asciiTheme="minorHAnsi" w:hAnsiTheme="minorHAnsi" w:cstheme="minorHAnsi"/>
          <w:sz w:val="16"/>
        </w:rPr>
        <w:t xml:space="preserve"> – executive director of MA Budget and Policy Center, policy analyst at MBPC (Noah and Jeff, PUBLIC SCHOOL FUNDING IN MASSACHUSETTS Where We Are, What Has Changed, and Options Ahead, 11/06 http://massbudget.org.s138401.gridserver.com/reports/pdf/Public_School_Funding-Where_We_Are_What_Has_Changed_-_FINAL.pdf )//EM</w:t>
      </w:r>
    </w:p>
    <w:p w:rsidR="0021583C" w:rsidRDefault="0021583C" w:rsidP="0021583C">
      <w:pPr>
        <w:rPr>
          <w:rFonts w:asciiTheme="minorHAnsi" w:hAnsiTheme="minorHAnsi" w:cstheme="minorHAnsi"/>
          <w:b/>
          <w:u w:val="single"/>
        </w:rPr>
      </w:pPr>
      <w:r w:rsidRPr="000908C5">
        <w:rPr>
          <w:rFonts w:asciiTheme="minorHAnsi" w:hAnsiTheme="minorHAnsi" w:cstheme="minorHAnsi"/>
          <w:sz w:val="16"/>
        </w:rPr>
        <w:t xml:space="preserve">Under the Census Bureau’s system of classification, total spending on education is made up of current spending and capital spending. Current spending includes all those expenditures necessary for day-to-day operations – pencils, books, teacher salaries, etc. </w:t>
      </w:r>
      <w:r w:rsidRPr="005C6E14">
        <w:rPr>
          <w:rFonts w:asciiTheme="minorHAnsi" w:hAnsiTheme="minorHAnsi" w:cstheme="minorHAnsi"/>
          <w:b/>
          <w:highlight w:val="yellow"/>
          <w:u w:val="single"/>
        </w:rPr>
        <w:t xml:space="preserve">Capital spending is defined as “direct expenditure for construction </w:t>
      </w:r>
      <w:r w:rsidRPr="0021583C">
        <w:rPr>
          <w:rFonts w:asciiTheme="minorHAnsi" w:hAnsiTheme="minorHAnsi" w:cstheme="minorHAnsi"/>
          <w:b/>
          <w:u w:val="single"/>
        </w:rPr>
        <w:t>of buildings</w:t>
      </w:r>
      <w:r w:rsidRPr="000908C5">
        <w:rPr>
          <w:rFonts w:asciiTheme="minorHAnsi" w:hAnsiTheme="minorHAnsi" w:cstheme="minorHAnsi"/>
          <w:b/>
          <w:u w:val="single"/>
        </w:rPr>
        <w:t xml:space="preserve"> … and other improvements” as well as “for purchases of equipment, land, and existing structures…” </w:t>
      </w:r>
      <w:r w:rsidRPr="005C6E14">
        <w:rPr>
          <w:rFonts w:asciiTheme="minorHAnsi" w:hAnsiTheme="minorHAnsi" w:cstheme="minorHAnsi"/>
          <w:b/>
          <w:highlight w:val="yellow"/>
          <w:u w:val="single"/>
        </w:rPr>
        <w:t>It does not include building maintenance or repairs</w:t>
      </w:r>
      <w:r w:rsidRPr="000908C5">
        <w:rPr>
          <w:rFonts w:asciiTheme="minorHAnsi" w:hAnsiTheme="minorHAnsi" w:cstheme="minorHAnsi"/>
          <w:b/>
          <w:u w:val="single"/>
        </w:rPr>
        <w:t xml:space="preserve"> – </w:t>
      </w:r>
      <w:r w:rsidRPr="005C6E14">
        <w:rPr>
          <w:rFonts w:asciiTheme="minorHAnsi" w:hAnsiTheme="minorHAnsi" w:cstheme="minorHAnsi"/>
          <w:b/>
          <w:highlight w:val="yellow"/>
          <w:u w:val="single"/>
        </w:rPr>
        <w:t>those expenses are categorized as current spending</w:t>
      </w:r>
      <w:r w:rsidRPr="000908C5">
        <w:rPr>
          <w:rFonts w:asciiTheme="minorHAnsi" w:hAnsiTheme="minorHAnsi" w:cstheme="minorHAnsi"/>
          <w:b/>
          <w:u w:val="single"/>
        </w:rPr>
        <w:t xml:space="preserve">. </w:t>
      </w:r>
    </w:p>
    <w:p w:rsidR="0021583C" w:rsidRDefault="0021583C" w:rsidP="0021583C">
      <w:pPr>
        <w:rPr>
          <w:rFonts w:asciiTheme="minorHAnsi" w:hAnsiTheme="minorHAnsi" w:cstheme="minorHAnsi"/>
          <w:b/>
          <w:u w:val="single"/>
        </w:rPr>
      </w:pPr>
    </w:p>
    <w:p w:rsidR="004D48ED" w:rsidRDefault="004D48ED" w:rsidP="0021583C">
      <w:pPr>
        <w:rPr>
          <w:rFonts w:eastAsia="Times New Roman"/>
          <w:b/>
          <w:bCs/>
          <w:iCs/>
        </w:rPr>
      </w:pPr>
      <w:r>
        <w:rPr>
          <w:rFonts w:eastAsia="Times New Roman"/>
          <w:b/>
          <w:bCs/>
          <w:iCs/>
        </w:rPr>
        <w:t xml:space="preserve">There’s a dual violation – the </w:t>
      </w:r>
      <w:proofErr w:type="spellStart"/>
      <w:r>
        <w:rPr>
          <w:rFonts w:eastAsia="Times New Roman"/>
          <w:b/>
          <w:bCs/>
          <w:iCs/>
        </w:rPr>
        <w:t>aff</w:t>
      </w:r>
      <w:proofErr w:type="spellEnd"/>
      <w:r>
        <w:rPr>
          <w:rFonts w:eastAsia="Times New Roman"/>
          <w:b/>
          <w:bCs/>
          <w:iCs/>
        </w:rPr>
        <w:t xml:space="preserve"> is just raises funds – that’s financing, not investment</w:t>
      </w:r>
    </w:p>
    <w:p w:rsidR="0021583C" w:rsidRPr="00CE2E05" w:rsidRDefault="004D48ED" w:rsidP="0021583C">
      <w:pPr>
        <w:rPr>
          <w:sz w:val="16"/>
        </w:rPr>
      </w:pPr>
      <w:r>
        <w:rPr>
          <w:rFonts w:eastAsia="Times New Roman"/>
          <w:b/>
          <w:bCs/>
          <w:iCs/>
        </w:rPr>
        <w:t>Chan</w:t>
      </w:r>
      <w:r w:rsidR="00360F4B" w:rsidRPr="004D48ED">
        <w:rPr>
          <w:rFonts w:eastAsia="Times New Roman"/>
          <w:b/>
          <w:bCs/>
          <w:iCs/>
        </w:rPr>
        <w:t xml:space="preserve"> </w:t>
      </w:r>
      <w:r w:rsidR="0021583C" w:rsidRPr="004D48ED">
        <w:rPr>
          <w:rFonts w:eastAsia="Times New Roman"/>
          <w:b/>
          <w:bCs/>
          <w:iCs/>
        </w:rPr>
        <w:t>09</w:t>
      </w:r>
      <w:r w:rsidR="0021583C" w:rsidRPr="004D48ED">
        <w:t xml:space="preserve"> </w:t>
      </w:r>
      <w:r w:rsidR="0021583C" w:rsidRPr="00CE2E05">
        <w:rPr>
          <w:sz w:val="16"/>
        </w:rPr>
        <w:t xml:space="preserve">[March 2009, Chris Chan, Danny, </w:t>
      </w:r>
      <w:proofErr w:type="spellStart"/>
      <w:r w:rsidR="0021583C" w:rsidRPr="00CE2E05">
        <w:rPr>
          <w:sz w:val="16"/>
        </w:rPr>
        <w:t>Forwood</w:t>
      </w:r>
      <w:proofErr w:type="spellEnd"/>
      <w:r w:rsidR="0021583C" w:rsidRPr="00CE2E05">
        <w:rPr>
          <w:sz w:val="16"/>
        </w:rPr>
        <w:t xml:space="preserve">, Heather Roper, Chris Sayers, “Public Infrastructure Financing: An International Perspective”, </w:t>
      </w:r>
      <w:hyperlink r:id="rId10" w:history="1">
        <w:r w:rsidR="0021583C" w:rsidRPr="00CE2E05">
          <w:rPr>
            <w:rStyle w:val="Hyperlink"/>
            <w:sz w:val="16"/>
          </w:rPr>
          <w:t>http://www.pc.gov.au/__data/assets/pdf_file/0008/86930/public-infrastructure-financing.pdf</w:t>
        </w:r>
      </w:hyperlink>
      <w:r w:rsidR="0021583C" w:rsidRPr="00CE2E05">
        <w:rPr>
          <w:sz w:val="16"/>
        </w:rPr>
        <w:t>]</w:t>
      </w:r>
    </w:p>
    <w:p w:rsidR="0021583C" w:rsidRPr="00CE2E05" w:rsidRDefault="0021583C" w:rsidP="0021583C">
      <w:pPr>
        <w:rPr>
          <w:sz w:val="16"/>
        </w:rPr>
      </w:pPr>
      <w:r w:rsidRPr="005C6E14">
        <w:rPr>
          <w:rStyle w:val="StyleBoldUnderline"/>
          <w:highlight w:val="yellow"/>
        </w:rPr>
        <w:t>The study is concerned with financing public infrastructure</w:t>
      </w:r>
      <w:r w:rsidRPr="00CE2E05">
        <w:rPr>
          <w:sz w:val="16"/>
        </w:rPr>
        <w:t xml:space="preserve"> — </w:t>
      </w:r>
      <w:r w:rsidRPr="005A1FB8">
        <w:rPr>
          <w:rStyle w:val="StyleBoldUnderline"/>
        </w:rPr>
        <w:t xml:space="preserve">the vehicles employed by governments </w:t>
      </w:r>
      <w:r w:rsidRPr="005C6E14">
        <w:rPr>
          <w:rStyle w:val="StyleBoldUnderline"/>
          <w:highlight w:val="yellow"/>
        </w:rPr>
        <w:t>to provide</w:t>
      </w:r>
      <w:r w:rsidRPr="005A1FB8">
        <w:rPr>
          <w:rStyle w:val="StyleBoldUnderline"/>
        </w:rPr>
        <w:t xml:space="preserve">, or through which they channel, upfront </w:t>
      </w:r>
      <w:r w:rsidRPr="005C6E14">
        <w:rPr>
          <w:rStyle w:val="StyleBoldUnderline"/>
          <w:highlight w:val="yellow"/>
        </w:rPr>
        <w:t>capital</w:t>
      </w:r>
      <w:r w:rsidRPr="005A1FB8">
        <w:rPr>
          <w:rStyle w:val="StyleBoldUnderline"/>
        </w:rPr>
        <w:t xml:space="preserve"> for infrastructure investment and management.</w:t>
      </w:r>
      <w:r w:rsidRPr="0021583C">
        <w:rPr>
          <w:rStyle w:val="StyleBoldUnderline"/>
          <w:sz w:val="12"/>
        </w:rPr>
        <w:t xml:space="preserve">¶ </w:t>
      </w:r>
      <w:r w:rsidRPr="00CE2E05">
        <w:rPr>
          <w:sz w:val="16"/>
        </w:rPr>
        <w:t>The vehicles covered include:</w:t>
      </w:r>
      <w:r w:rsidRPr="0021583C">
        <w:rPr>
          <w:sz w:val="12"/>
        </w:rPr>
        <w:t xml:space="preserve">¶ </w:t>
      </w:r>
      <w:r w:rsidRPr="00CE2E05">
        <w:rPr>
          <w:sz w:val="16"/>
        </w:rPr>
        <w:t xml:space="preserve">• </w:t>
      </w:r>
      <w:r w:rsidRPr="00483A1E">
        <w:rPr>
          <w:rStyle w:val="StyleBoldUnderline"/>
        </w:rPr>
        <w:t>budget appropriations</w:t>
      </w:r>
      <w:r w:rsidRPr="00CE2E05">
        <w:rPr>
          <w:sz w:val="16"/>
        </w:rPr>
        <w:t xml:space="preserve"> (chapter 4)</w:t>
      </w:r>
      <w:r w:rsidRPr="0021583C">
        <w:rPr>
          <w:sz w:val="12"/>
        </w:rPr>
        <w:t xml:space="preserve">¶ </w:t>
      </w:r>
      <w:r w:rsidRPr="00CE2E05">
        <w:rPr>
          <w:sz w:val="16"/>
        </w:rPr>
        <w:t xml:space="preserve">• </w:t>
      </w:r>
      <w:r w:rsidRPr="00DE23D5">
        <w:rPr>
          <w:rStyle w:val="StyleBoldUnderline"/>
        </w:rPr>
        <w:t xml:space="preserve">specific-purpose </w:t>
      </w:r>
      <w:proofErr w:type="spellStart"/>
      <w:r w:rsidRPr="00DE23D5">
        <w:rPr>
          <w:rStyle w:val="StyleBoldUnderline"/>
        </w:rPr>
        <w:t>securitised</w:t>
      </w:r>
      <w:proofErr w:type="spellEnd"/>
      <w:r w:rsidRPr="00DE23D5">
        <w:rPr>
          <w:rStyle w:val="StyleBoldUnderline"/>
        </w:rPr>
        <w:t xml:space="preserve"> borrowing where capital is raised by issuing a security for a specific infrastructure investment</w:t>
      </w:r>
      <w:r w:rsidRPr="00DE23D5">
        <w:rPr>
          <w:sz w:val="16"/>
        </w:rPr>
        <w:t xml:space="preserve"> (chapter 5)</w:t>
      </w:r>
      <w:r w:rsidRPr="00DE23D5">
        <w:rPr>
          <w:sz w:val="12"/>
        </w:rPr>
        <w:t xml:space="preserve">¶ </w:t>
      </w:r>
      <w:r w:rsidRPr="00DE23D5">
        <w:rPr>
          <w:sz w:val="16"/>
        </w:rPr>
        <w:t xml:space="preserve">• </w:t>
      </w:r>
      <w:r w:rsidRPr="00DE23D5">
        <w:rPr>
          <w:rStyle w:val="StyleBoldUnderline"/>
        </w:rPr>
        <w:t>off-budget financing, typically through government trading enterprises using retained earnings, equity injections or borrowings</w:t>
      </w:r>
      <w:r w:rsidRPr="00DE23D5">
        <w:rPr>
          <w:sz w:val="16"/>
        </w:rPr>
        <w:t xml:space="preserve"> (chapter 6)</w:t>
      </w:r>
      <w:r w:rsidRPr="00DE23D5">
        <w:rPr>
          <w:sz w:val="12"/>
        </w:rPr>
        <w:t xml:space="preserve">¶ </w:t>
      </w:r>
      <w:r w:rsidRPr="00DE23D5">
        <w:rPr>
          <w:sz w:val="16"/>
        </w:rPr>
        <w:t xml:space="preserve">• </w:t>
      </w:r>
      <w:r w:rsidRPr="00DE23D5">
        <w:rPr>
          <w:rStyle w:val="StyleBoldUnderline"/>
        </w:rPr>
        <w:t>development contributions involving obligatory payments or in-kind transfers of capital assets</w:t>
      </w:r>
      <w:r w:rsidRPr="00DE23D5">
        <w:rPr>
          <w:sz w:val="16"/>
        </w:rPr>
        <w:t xml:space="preserve"> (chapter 7)</w:t>
      </w:r>
      <w:r w:rsidRPr="00DE23D5">
        <w:rPr>
          <w:sz w:val="12"/>
        </w:rPr>
        <w:t xml:space="preserve">¶ </w:t>
      </w:r>
      <w:r w:rsidRPr="00DE23D5">
        <w:rPr>
          <w:sz w:val="16"/>
        </w:rPr>
        <w:t xml:space="preserve">• </w:t>
      </w:r>
      <w:r w:rsidRPr="00DE23D5">
        <w:rPr>
          <w:rStyle w:val="StyleBoldUnderline"/>
        </w:rPr>
        <w:t>contractual arrangements with the private sector involving the injection of private equity in assets that are eventually fully owned by the public — so called, public–private partnerships (PPPs) or private finance initiatives (PFIs) (</w:t>
      </w:r>
      <w:r w:rsidRPr="00DE23D5">
        <w:rPr>
          <w:sz w:val="16"/>
        </w:rPr>
        <w:t>chapter 8).</w:t>
      </w:r>
      <w:r w:rsidRPr="00DE23D5">
        <w:rPr>
          <w:sz w:val="12"/>
        </w:rPr>
        <w:t xml:space="preserve">¶ </w:t>
      </w:r>
      <w:r w:rsidRPr="00DE23D5">
        <w:rPr>
          <w:rStyle w:val="StyleBoldUnderline"/>
        </w:rPr>
        <w:t>This study is not directly concerned with investment</w:t>
      </w:r>
      <w:r w:rsidRPr="00DE23D5">
        <w:rPr>
          <w:sz w:val="16"/>
        </w:rPr>
        <w:t>.</w:t>
      </w:r>
      <w:r w:rsidRPr="00CE2E05">
        <w:rPr>
          <w:sz w:val="16"/>
        </w:rPr>
        <w:t xml:space="preserve"> </w:t>
      </w:r>
      <w:r w:rsidRPr="005C6E14">
        <w:rPr>
          <w:rStyle w:val="StyleBoldUnderline"/>
          <w:highlight w:val="yellow"/>
        </w:rPr>
        <w:t>There are inherent differences betwee</w:t>
      </w:r>
      <w:r w:rsidRPr="00360F4B">
        <w:rPr>
          <w:rStyle w:val="StyleBoldUnderline"/>
        </w:rPr>
        <w:t>n the economic functions of ‘i</w:t>
      </w:r>
      <w:r w:rsidRPr="005C6E14">
        <w:rPr>
          <w:rStyle w:val="StyleBoldUnderline"/>
          <w:highlight w:val="yellow"/>
        </w:rPr>
        <w:t>nvestment</w:t>
      </w:r>
      <w:r w:rsidRPr="00360F4B">
        <w:rPr>
          <w:rStyle w:val="StyleBoldUnderline"/>
        </w:rPr>
        <w:t xml:space="preserve"> funding’ </w:t>
      </w:r>
      <w:r w:rsidRPr="005C6E14">
        <w:rPr>
          <w:rStyle w:val="StyleBoldUnderline"/>
          <w:highlight w:val="yellow"/>
        </w:rPr>
        <w:t>and ‘financing’</w:t>
      </w:r>
      <w:r w:rsidRPr="00360F4B">
        <w:rPr>
          <w:rStyle w:val="StyleBoldUnderline"/>
        </w:rPr>
        <w:t>.</w:t>
      </w:r>
      <w:r w:rsidRPr="00CE2E05">
        <w:rPr>
          <w:sz w:val="16"/>
        </w:rPr>
        <w:t xml:space="preserve"> </w:t>
      </w:r>
      <w:r w:rsidRPr="005C6E14">
        <w:rPr>
          <w:rStyle w:val="StyleBoldUnderline"/>
          <w:highlight w:val="yellow"/>
        </w:rPr>
        <w:t>Investment is about whether to allocate</w:t>
      </w:r>
      <w:r w:rsidRPr="004F288F">
        <w:rPr>
          <w:rStyle w:val="StyleBoldUnderline"/>
        </w:rPr>
        <w:t xml:space="preserve"> economic </w:t>
      </w:r>
      <w:r w:rsidRPr="005C6E14">
        <w:rPr>
          <w:rStyle w:val="StyleBoldUnderline"/>
          <w:highlight w:val="yellow"/>
        </w:rPr>
        <w:t>resources</w:t>
      </w:r>
      <w:r w:rsidRPr="005C6E14">
        <w:rPr>
          <w:sz w:val="16"/>
          <w:highlight w:val="yellow"/>
        </w:rPr>
        <w:t>,</w:t>
      </w:r>
      <w:r w:rsidRPr="00CE2E05">
        <w:rPr>
          <w:sz w:val="16"/>
        </w:rPr>
        <w:t xml:space="preserve"> </w:t>
      </w:r>
      <w:r w:rsidRPr="004F288F">
        <w:rPr>
          <w:rStyle w:val="StyleBoldUnderline"/>
        </w:rPr>
        <w:t xml:space="preserve">whereas </w:t>
      </w:r>
      <w:r w:rsidRPr="005C6E14">
        <w:rPr>
          <w:rStyle w:val="StyleBoldUnderline"/>
          <w:highlight w:val="yellow"/>
        </w:rPr>
        <w:t>financing is about raising</w:t>
      </w:r>
      <w:r w:rsidRPr="004F288F">
        <w:rPr>
          <w:rStyle w:val="StyleBoldUnderline"/>
        </w:rPr>
        <w:t xml:space="preserve"> and allocating ‘</w:t>
      </w:r>
      <w:r w:rsidRPr="005C6E14">
        <w:rPr>
          <w:rStyle w:val="StyleBoldUnderline"/>
          <w:highlight w:val="yellow"/>
        </w:rPr>
        <w:t>monies’</w:t>
      </w:r>
      <w:r w:rsidRPr="004F288F">
        <w:rPr>
          <w:rStyle w:val="StyleBoldUnderline"/>
        </w:rPr>
        <w:t xml:space="preserve"> or ‘finances’ — </w:t>
      </w:r>
      <w:r w:rsidRPr="005C6E14">
        <w:rPr>
          <w:rStyle w:val="StyleBoldUnderline"/>
          <w:highlight w:val="yellow"/>
        </w:rPr>
        <w:t>which are not economic resources</w:t>
      </w:r>
      <w:r w:rsidRPr="004F288F">
        <w:rPr>
          <w:rStyle w:val="StyleBoldUnderline"/>
        </w:rPr>
        <w:t>, just claims on them as inputs</w:t>
      </w:r>
      <w:r w:rsidRPr="00CE2E05">
        <w:rPr>
          <w:sz w:val="16"/>
        </w:rPr>
        <w:t xml:space="preserve">. </w:t>
      </w:r>
      <w:r w:rsidRPr="005C6E14">
        <w:rPr>
          <w:rStyle w:val="StyleBoldUnderline"/>
          <w:highlight w:val="yellow"/>
        </w:rPr>
        <w:t xml:space="preserve">This distinction has significant implications for policy issues relevant to </w:t>
      </w:r>
      <w:r w:rsidRPr="004D48ED">
        <w:rPr>
          <w:rStyle w:val="StyleBoldUnderline"/>
        </w:rPr>
        <w:t>the</w:t>
      </w:r>
      <w:r w:rsidRPr="00360F4B">
        <w:rPr>
          <w:rStyle w:val="StyleBoldUnderline"/>
        </w:rPr>
        <w:t xml:space="preserve"> efficient provision of </w:t>
      </w:r>
      <w:r w:rsidRPr="005C6E14">
        <w:rPr>
          <w:rStyle w:val="StyleBoldUnderline"/>
          <w:highlight w:val="yellow"/>
        </w:rPr>
        <w:t>public infrastructure</w:t>
      </w:r>
      <w:r w:rsidRPr="00CE2E05">
        <w:rPr>
          <w:sz w:val="16"/>
        </w:rPr>
        <w:t xml:space="preserve"> (Brennan 1996). </w:t>
      </w:r>
      <w:proofErr w:type="gramStart"/>
      <w:r w:rsidRPr="00CE2E05">
        <w:rPr>
          <w:sz w:val="16"/>
        </w:rPr>
        <w:t xml:space="preserve">An efficiently financed project in no way guarantees that the project itself satisfies the criteria of </w:t>
      </w:r>
      <w:proofErr w:type="spellStart"/>
      <w:r w:rsidRPr="00CE2E05">
        <w:rPr>
          <w:sz w:val="16"/>
        </w:rPr>
        <w:t>allocative</w:t>
      </w:r>
      <w:proofErr w:type="spellEnd"/>
      <w:r w:rsidRPr="00CE2E05">
        <w:rPr>
          <w:sz w:val="16"/>
        </w:rPr>
        <w:t xml:space="preserve"> efficiency.</w:t>
      </w:r>
      <w:proofErr w:type="gramEnd"/>
    </w:p>
    <w:p w:rsidR="0021583C" w:rsidRPr="000908C5" w:rsidRDefault="0021583C" w:rsidP="0021583C">
      <w:pPr>
        <w:rPr>
          <w:rFonts w:asciiTheme="minorHAnsi" w:hAnsiTheme="minorHAnsi" w:cstheme="minorHAnsi"/>
          <w:b/>
          <w:u w:val="single"/>
        </w:rPr>
      </w:pPr>
    </w:p>
    <w:p w:rsidR="000911B7" w:rsidRDefault="000911B7" w:rsidP="00E6489C">
      <w:pPr>
        <w:pStyle w:val="Heading1"/>
      </w:pPr>
      <w:r>
        <w:lastRenderedPageBreak/>
        <w:t>Viol – Title XI</w:t>
      </w:r>
    </w:p>
    <w:p w:rsidR="000911B7" w:rsidRDefault="000911B7" w:rsidP="000911B7">
      <w:pPr>
        <w:rPr>
          <w:b/>
        </w:rPr>
      </w:pPr>
      <w:r>
        <w:rPr>
          <w:b/>
        </w:rPr>
        <w:t>Violation - title XI is maintenance on facilities and ships</w:t>
      </w:r>
    </w:p>
    <w:p w:rsidR="000911B7" w:rsidRPr="002B65A3" w:rsidRDefault="000911B7" w:rsidP="000911B7">
      <w:pPr>
        <w:rPr>
          <w:sz w:val="16"/>
        </w:rPr>
      </w:pPr>
      <w:proofErr w:type="spellStart"/>
      <w:r w:rsidRPr="002B65A3">
        <w:rPr>
          <w:b/>
        </w:rPr>
        <w:t>Goure</w:t>
      </w:r>
      <w:proofErr w:type="spellEnd"/>
      <w:r w:rsidRPr="002B65A3">
        <w:rPr>
          <w:b/>
        </w:rPr>
        <w:t>, 11</w:t>
      </w:r>
      <w:r w:rsidRPr="002B65A3">
        <w:rPr>
          <w:sz w:val="16"/>
        </w:rPr>
        <w:t xml:space="preserve"> [Lexington Institute, Obama Could Create Jobs </w:t>
      </w:r>
      <w:proofErr w:type="gramStart"/>
      <w:r w:rsidRPr="002B65A3">
        <w:rPr>
          <w:sz w:val="16"/>
        </w:rPr>
        <w:t>And</w:t>
      </w:r>
      <w:proofErr w:type="gramEnd"/>
      <w:r w:rsidRPr="002B65A3">
        <w:rPr>
          <w:sz w:val="16"/>
        </w:rPr>
        <w:t xml:space="preserve"> Support Defense, Daniel, PhD, </w:t>
      </w:r>
    </w:p>
    <w:p w:rsidR="000911B7" w:rsidRPr="002B65A3" w:rsidRDefault="000911B7" w:rsidP="000911B7">
      <w:pPr>
        <w:rPr>
          <w:rStyle w:val="StyleBoldUnderline"/>
        </w:rPr>
      </w:pPr>
      <w:r w:rsidRPr="003616E8">
        <w:rPr>
          <w:rStyle w:val="StyleBoldUnderline"/>
        </w:rPr>
        <w:t>The first thing that the President could do is provide continued funding for</w:t>
      </w:r>
      <w:r w:rsidRPr="003616E8">
        <w:rPr>
          <w:sz w:val="16"/>
        </w:rPr>
        <w:t xml:space="preserve"> the </w:t>
      </w:r>
      <w:r w:rsidRPr="003616E8">
        <w:rPr>
          <w:rStyle w:val="StyleBoldUnderline"/>
        </w:rPr>
        <w:t>Title XI</w:t>
      </w:r>
      <w:r w:rsidRPr="003616E8">
        <w:rPr>
          <w:sz w:val="16"/>
        </w:rPr>
        <w:t xml:space="preserve"> Federal Ship Financing Program. </w:t>
      </w:r>
      <w:r w:rsidRPr="003616E8">
        <w:rPr>
          <w:rStyle w:val="StyleBoldUnderline"/>
        </w:rPr>
        <w:t>Title XI provides loan guarantees</w:t>
      </w:r>
      <w:r w:rsidRPr="003616E8">
        <w:rPr>
          <w:sz w:val="16"/>
        </w:rPr>
        <w:t xml:space="preserve"> on contracts to build or overhaul commercial vessels in U.S. shipyards. The guarantees can be employed to cover the production of any type of commercial vessel including barges and offshore oil rigs</w:t>
      </w:r>
      <w:r w:rsidRPr="003616E8">
        <w:rPr>
          <w:sz w:val="16"/>
          <w:highlight w:val="yellow"/>
        </w:rPr>
        <w:t xml:space="preserve">. </w:t>
      </w:r>
      <w:r w:rsidRPr="003616E8">
        <w:rPr>
          <w:rStyle w:val="StyleBoldUnderline"/>
          <w:highlight w:val="yellow"/>
        </w:rPr>
        <w:t>Title XI encourages the maintenance of</w:t>
      </w:r>
      <w:r w:rsidRPr="003616E8">
        <w:rPr>
          <w:rStyle w:val="StyleBoldUnderline"/>
        </w:rPr>
        <w:t xml:space="preserve"> commercial </w:t>
      </w:r>
      <w:r w:rsidRPr="003616E8">
        <w:rPr>
          <w:rStyle w:val="StyleBoldUnderline"/>
          <w:highlight w:val="yellow"/>
        </w:rPr>
        <w:t>facilities</w:t>
      </w:r>
      <w:r w:rsidRPr="003616E8">
        <w:rPr>
          <w:rStyle w:val="StyleBoldUnderline"/>
        </w:rPr>
        <w:t xml:space="preserve"> and a skilled workforce </w:t>
      </w:r>
      <w:r w:rsidRPr="003616E8">
        <w:rPr>
          <w:rStyle w:val="StyleBoldUnderline"/>
          <w:highlight w:val="yellow"/>
        </w:rPr>
        <w:t>that can also be employed in</w:t>
      </w:r>
      <w:r w:rsidRPr="003616E8">
        <w:rPr>
          <w:sz w:val="16"/>
        </w:rPr>
        <w:t xml:space="preserve"> </w:t>
      </w:r>
      <w:r w:rsidRPr="003616E8">
        <w:rPr>
          <w:rStyle w:val="StyleBoldUnderline"/>
        </w:rPr>
        <w:t xml:space="preserve">constructing and </w:t>
      </w:r>
      <w:r w:rsidRPr="008E4DBB">
        <w:rPr>
          <w:rStyle w:val="StyleBoldUnderline"/>
          <w:highlight w:val="yellow"/>
        </w:rPr>
        <w:t>maintain Navy vessels.</w:t>
      </w:r>
      <w:r w:rsidRPr="002B65A3">
        <w:rPr>
          <w:rStyle w:val="StyleBoldUnderline"/>
        </w:rPr>
        <w:t xml:space="preserve"> </w:t>
      </w:r>
    </w:p>
    <w:p w:rsidR="000911B7" w:rsidRPr="000911B7" w:rsidRDefault="000911B7" w:rsidP="000911B7"/>
    <w:p w:rsidR="005F75ED" w:rsidRPr="000908C5" w:rsidRDefault="00E6489C" w:rsidP="00E6489C">
      <w:pPr>
        <w:pStyle w:val="Heading1"/>
      </w:pPr>
      <w:r>
        <w:lastRenderedPageBreak/>
        <w:t>Card File</w:t>
      </w:r>
    </w:p>
    <w:p w:rsidR="005F75ED" w:rsidRPr="000908C5" w:rsidRDefault="005F75ED" w:rsidP="00224647">
      <w:pPr>
        <w:rPr>
          <w:rFonts w:asciiTheme="minorHAnsi" w:hAnsiTheme="minorHAnsi" w:cstheme="minorHAnsi"/>
          <w:b/>
        </w:rPr>
      </w:pPr>
      <w:r w:rsidRPr="000908C5">
        <w:rPr>
          <w:rFonts w:asciiTheme="minorHAnsi" w:hAnsiTheme="minorHAnsi" w:cstheme="minorHAnsi"/>
          <w:b/>
        </w:rPr>
        <w:t>Capital spending is distinction from spending on maintenance</w:t>
      </w:r>
    </w:p>
    <w:p w:rsidR="00224647" w:rsidRPr="000908C5" w:rsidRDefault="00224647" w:rsidP="00224647">
      <w:pPr>
        <w:rPr>
          <w:rFonts w:asciiTheme="minorHAnsi" w:hAnsiTheme="minorHAnsi" w:cstheme="minorHAnsi"/>
        </w:rPr>
      </w:pPr>
      <w:proofErr w:type="spellStart"/>
      <w:r w:rsidRPr="000908C5">
        <w:rPr>
          <w:rFonts w:asciiTheme="minorHAnsi" w:hAnsiTheme="minorHAnsi" w:cstheme="minorHAnsi"/>
          <w:b/>
        </w:rPr>
        <w:t>Musick</w:t>
      </w:r>
      <w:proofErr w:type="spellEnd"/>
      <w:r w:rsidRPr="000908C5">
        <w:rPr>
          <w:rFonts w:asciiTheme="minorHAnsi" w:hAnsiTheme="minorHAnsi" w:cstheme="minorHAnsi"/>
          <w:b/>
        </w:rPr>
        <w:t>, 7</w:t>
      </w:r>
      <w:r w:rsidRPr="000908C5">
        <w:rPr>
          <w:rFonts w:asciiTheme="minorHAnsi" w:hAnsiTheme="minorHAnsi" w:cstheme="minorHAnsi"/>
        </w:rPr>
        <w:t xml:space="preserve"> - CBO’s Microeconomic Studies Division (Nathan, “Trends in Public Spending on Transportation and Water Infrastructure, 1956 to 2004,” August, </w:t>
      </w:r>
      <w:hyperlink r:id="rId11" w:history="1">
        <w:r w:rsidRPr="000908C5">
          <w:rPr>
            <w:rStyle w:val="Hyperlink"/>
            <w:rFonts w:asciiTheme="minorHAnsi" w:hAnsiTheme="minorHAnsi" w:cstheme="minorHAnsi"/>
          </w:rPr>
          <w:t>http://www.cbo.gov/sites/default/files/cbofiles/ftpdocs/85xx/doc8517/08-08-infrastructure.pdf)//DH</w:t>
        </w:r>
      </w:hyperlink>
    </w:p>
    <w:p w:rsidR="00224647" w:rsidRPr="000908C5" w:rsidRDefault="00224647" w:rsidP="00224647">
      <w:pPr>
        <w:rPr>
          <w:rFonts w:asciiTheme="minorHAnsi" w:hAnsiTheme="minorHAnsi" w:cstheme="minorHAnsi"/>
        </w:rPr>
      </w:pPr>
      <w:r w:rsidRPr="000908C5">
        <w:rPr>
          <w:rStyle w:val="StyleBoldUnderline"/>
          <w:rFonts w:asciiTheme="minorHAnsi" w:hAnsiTheme="minorHAnsi" w:cstheme="minorHAnsi"/>
        </w:rPr>
        <w:t xml:space="preserve">The paper reports public spending both for capital and for operation and maintenance. </w:t>
      </w:r>
      <w:r w:rsidRPr="0021583C">
        <w:rPr>
          <w:rStyle w:val="StyleBoldUnderline"/>
          <w:rFonts w:asciiTheme="minorHAnsi" w:hAnsiTheme="minorHAnsi" w:cstheme="minorHAnsi"/>
        </w:rPr>
        <w:t>Capital spending is for the purchase, construction, rehabilitation, and improvement of physical infrastructure</w:t>
      </w:r>
      <w:r w:rsidRPr="0021583C">
        <w:rPr>
          <w:rFonts w:asciiTheme="minorHAnsi" w:hAnsiTheme="minorHAnsi" w:cstheme="minorHAnsi"/>
        </w:rPr>
        <w:t xml:space="preserve">. </w:t>
      </w:r>
      <w:r w:rsidRPr="0021583C">
        <w:rPr>
          <w:rStyle w:val="StyleBoldUnderline"/>
          <w:rFonts w:asciiTheme="minorHAnsi" w:hAnsiTheme="minorHAnsi" w:cstheme="minorHAnsi"/>
        </w:rPr>
        <w:t>Spending for operation and</w:t>
      </w:r>
      <w:r w:rsidRPr="000908C5">
        <w:rPr>
          <w:rStyle w:val="StyleBoldUnderline"/>
          <w:rFonts w:asciiTheme="minorHAnsi" w:hAnsiTheme="minorHAnsi" w:cstheme="minorHAnsi"/>
        </w:rPr>
        <w:t xml:space="preserve"> maintenance is composed of expenditures that are generally required to provide the services needed for infrastructure to function and that are often necessary for the repair and safe operation of existing infrastructure</w:t>
      </w:r>
      <w:r w:rsidRPr="000908C5">
        <w:rPr>
          <w:rFonts w:asciiTheme="minorHAnsi" w:hAnsiTheme="minorHAnsi" w:cstheme="minorHAnsi"/>
        </w:rPr>
        <w:t>. (In some cases—as with air traffic control services, for instance—the costs can be sizable.) 3</w:t>
      </w:r>
    </w:p>
    <w:p w:rsidR="00224647" w:rsidRPr="000908C5" w:rsidRDefault="00224647" w:rsidP="00AD3CD4">
      <w:pPr>
        <w:rPr>
          <w:rFonts w:asciiTheme="minorHAnsi" w:hAnsiTheme="minorHAnsi" w:cstheme="minorHAnsi"/>
          <w:b/>
        </w:rPr>
      </w:pPr>
    </w:p>
    <w:p w:rsidR="005F75ED" w:rsidRPr="000908C5" w:rsidRDefault="005F75ED" w:rsidP="00AD3CD4">
      <w:pPr>
        <w:rPr>
          <w:rFonts w:asciiTheme="minorHAnsi" w:hAnsiTheme="minorHAnsi" w:cstheme="minorHAnsi"/>
          <w:b/>
        </w:rPr>
      </w:pPr>
      <w:r w:rsidRPr="000908C5">
        <w:rPr>
          <w:rFonts w:asciiTheme="minorHAnsi" w:hAnsiTheme="minorHAnsi" w:cstheme="minorHAnsi"/>
          <w:b/>
        </w:rPr>
        <w:t>Investment is capital expenditure</w:t>
      </w:r>
    </w:p>
    <w:p w:rsidR="00237BAB" w:rsidRPr="000908C5" w:rsidRDefault="00237BAB" w:rsidP="00AD3CD4">
      <w:pPr>
        <w:rPr>
          <w:rFonts w:asciiTheme="minorHAnsi" w:hAnsiTheme="minorHAnsi" w:cstheme="minorHAnsi"/>
        </w:rPr>
      </w:pPr>
      <w:r w:rsidRPr="000908C5">
        <w:rPr>
          <w:rFonts w:asciiTheme="minorHAnsi" w:hAnsiTheme="minorHAnsi" w:cstheme="minorHAnsi"/>
          <w:b/>
        </w:rPr>
        <w:t xml:space="preserve">Anderson 06 </w:t>
      </w:r>
      <w:r w:rsidRPr="000908C5">
        <w:rPr>
          <w:rFonts w:asciiTheme="minorHAnsi" w:hAnsiTheme="minorHAnsi" w:cstheme="minorHAnsi"/>
        </w:rPr>
        <w:t>[Edward Anderson, Lecturer in Development Studies – University of East Anglia, et al. “The Role of Public Investment in Poverty Reduction: Theories, Evidence and Methods.” March 2006. http://www.odi.org.uk/resources/docs/1786.pdf]</w:t>
      </w:r>
    </w:p>
    <w:p w:rsidR="00237BAB" w:rsidRPr="000908C5" w:rsidRDefault="00237BAB" w:rsidP="00AD3CD4">
      <w:pPr>
        <w:rPr>
          <w:rFonts w:asciiTheme="minorHAnsi" w:hAnsiTheme="minorHAnsi" w:cstheme="minorHAnsi"/>
          <w:sz w:val="16"/>
        </w:rPr>
      </w:pPr>
      <w:r w:rsidRPr="000908C5">
        <w:rPr>
          <w:rStyle w:val="StyleBoldUnderline"/>
          <w:rFonts w:asciiTheme="minorHAnsi" w:hAnsiTheme="minorHAnsi" w:cstheme="minorHAnsi"/>
        </w:rPr>
        <w:t>We define</w:t>
      </w:r>
      <w:r w:rsidRPr="000908C5">
        <w:rPr>
          <w:rFonts w:asciiTheme="minorHAnsi" w:hAnsiTheme="minorHAnsi" w:cstheme="minorHAnsi"/>
          <w:sz w:val="16"/>
        </w:rPr>
        <w:t xml:space="preserve"> (net) </w:t>
      </w:r>
      <w:r w:rsidRPr="000908C5">
        <w:rPr>
          <w:rStyle w:val="StyleBoldUnderline"/>
          <w:rFonts w:asciiTheme="minorHAnsi" w:hAnsiTheme="minorHAnsi" w:cstheme="minorHAnsi"/>
        </w:rPr>
        <w:t>public investment as public expenditure that adds to the public physical capital</w:t>
      </w:r>
      <w:r w:rsidR="003D0C31" w:rsidRPr="000908C5">
        <w:rPr>
          <w:rStyle w:val="StyleBoldUnderline"/>
          <w:rFonts w:asciiTheme="minorHAnsi" w:hAnsiTheme="minorHAnsi" w:cstheme="minorHAnsi"/>
          <w:b w:val="0"/>
          <w:sz w:val="12"/>
          <w:u w:val="none"/>
        </w:rPr>
        <w:t>¶</w:t>
      </w:r>
      <w:r w:rsidR="003D0C31" w:rsidRPr="000908C5">
        <w:rPr>
          <w:rStyle w:val="StyleBoldUnderline"/>
          <w:rFonts w:asciiTheme="minorHAnsi" w:hAnsiTheme="minorHAnsi" w:cstheme="minorHAnsi"/>
          <w:sz w:val="12"/>
        </w:rPr>
        <w:t xml:space="preserve"> </w:t>
      </w:r>
      <w:r w:rsidRPr="000908C5">
        <w:rPr>
          <w:rStyle w:val="StyleBoldUnderline"/>
          <w:rFonts w:asciiTheme="minorHAnsi" w:hAnsiTheme="minorHAnsi" w:cstheme="minorHAnsi"/>
        </w:rPr>
        <w:t>stock. This would include the building of roads, ports</w:t>
      </w:r>
      <w:r w:rsidRPr="000908C5">
        <w:rPr>
          <w:rFonts w:asciiTheme="minorHAnsi" w:hAnsiTheme="minorHAnsi" w:cstheme="minorHAnsi"/>
          <w:sz w:val="16"/>
        </w:rPr>
        <w:t xml:space="preserve">, schools, hospitals </w:t>
      </w:r>
      <w:r w:rsidRPr="000908C5">
        <w:rPr>
          <w:rStyle w:val="StyleBoldUnderline"/>
          <w:rFonts w:asciiTheme="minorHAnsi" w:hAnsiTheme="minorHAnsi" w:cstheme="minorHAnsi"/>
        </w:rPr>
        <w:t>etc</w:t>
      </w:r>
      <w:r w:rsidRPr="000908C5">
        <w:rPr>
          <w:rFonts w:asciiTheme="minorHAnsi" w:hAnsiTheme="minorHAnsi" w:cstheme="minorHAnsi"/>
          <w:sz w:val="16"/>
        </w:rPr>
        <w:t xml:space="preserve">. </w:t>
      </w:r>
      <w:r w:rsidRPr="000908C5">
        <w:rPr>
          <w:rStyle w:val="StyleBoldUnderline"/>
          <w:rFonts w:asciiTheme="minorHAnsi" w:hAnsiTheme="minorHAnsi" w:cstheme="minorHAnsi"/>
        </w:rPr>
        <w:t xml:space="preserve">This </w:t>
      </w:r>
      <w:proofErr w:type="gramStart"/>
      <w:r w:rsidRPr="000908C5">
        <w:rPr>
          <w:rStyle w:val="StyleBoldUnderline"/>
          <w:rFonts w:asciiTheme="minorHAnsi" w:hAnsiTheme="minorHAnsi" w:cstheme="minorHAnsi"/>
        </w:rPr>
        <w:t>corresponds</w:t>
      </w:r>
      <w:proofErr w:type="gramEnd"/>
      <w:r w:rsidRPr="000908C5">
        <w:rPr>
          <w:rStyle w:val="StyleBoldUnderline"/>
          <w:rFonts w:asciiTheme="minorHAnsi" w:hAnsiTheme="minorHAnsi" w:cstheme="minorHAnsi"/>
        </w:rPr>
        <w:t xml:space="preserve"> to</w:t>
      </w:r>
      <w:r w:rsidR="003D0C31" w:rsidRPr="000908C5">
        <w:rPr>
          <w:rStyle w:val="StyleBoldUnderline"/>
          <w:rFonts w:asciiTheme="minorHAnsi" w:hAnsiTheme="minorHAnsi" w:cstheme="minorHAnsi"/>
          <w:b w:val="0"/>
          <w:sz w:val="12"/>
          <w:u w:val="none"/>
        </w:rPr>
        <w:t>¶</w:t>
      </w:r>
      <w:r w:rsidR="003D0C31" w:rsidRPr="000908C5">
        <w:rPr>
          <w:rStyle w:val="StyleBoldUnderline"/>
          <w:rFonts w:asciiTheme="minorHAnsi" w:hAnsiTheme="minorHAnsi" w:cstheme="minorHAnsi"/>
          <w:sz w:val="12"/>
        </w:rPr>
        <w:t xml:space="preserve"> </w:t>
      </w:r>
      <w:r w:rsidRPr="000908C5">
        <w:rPr>
          <w:rStyle w:val="StyleBoldUnderline"/>
          <w:rFonts w:asciiTheme="minorHAnsi" w:hAnsiTheme="minorHAnsi" w:cstheme="minorHAnsi"/>
        </w:rPr>
        <w:t>the definition of public investment</w:t>
      </w:r>
      <w:r w:rsidRPr="000908C5">
        <w:rPr>
          <w:rFonts w:asciiTheme="minorHAnsi" w:hAnsiTheme="minorHAnsi" w:cstheme="minorHAnsi"/>
          <w:sz w:val="16"/>
        </w:rPr>
        <w:t xml:space="preserve"> in national accounts data, </w:t>
      </w:r>
      <w:r w:rsidRPr="000908C5">
        <w:rPr>
          <w:rStyle w:val="StyleBoldUnderline"/>
          <w:rFonts w:asciiTheme="minorHAnsi" w:hAnsiTheme="minorHAnsi" w:cstheme="minorHAnsi"/>
        </w:rPr>
        <w:t>namely, capital expenditure</w:t>
      </w:r>
      <w:r w:rsidRPr="000908C5">
        <w:rPr>
          <w:rFonts w:asciiTheme="minorHAnsi" w:hAnsiTheme="minorHAnsi" w:cstheme="minorHAnsi"/>
          <w:sz w:val="16"/>
        </w:rPr>
        <w:t>. It is not</w:t>
      </w:r>
      <w:r w:rsidR="003D0C31" w:rsidRPr="000908C5">
        <w:rPr>
          <w:rFonts w:asciiTheme="minorHAnsi" w:hAnsiTheme="minorHAnsi" w:cstheme="minorHAnsi"/>
          <w:sz w:val="12"/>
        </w:rPr>
        <w:t>¶</w:t>
      </w:r>
      <w:r w:rsidR="003D0C31" w:rsidRPr="000908C5">
        <w:rPr>
          <w:rFonts w:asciiTheme="minorHAnsi" w:hAnsiTheme="minorHAnsi" w:cstheme="minorHAnsi"/>
          <w:sz w:val="16"/>
        </w:rPr>
        <w:t xml:space="preserve"> </w:t>
      </w:r>
      <w:r w:rsidRPr="000908C5">
        <w:rPr>
          <w:rFonts w:asciiTheme="minorHAnsi" w:hAnsiTheme="minorHAnsi" w:cstheme="minorHAnsi"/>
          <w:sz w:val="16"/>
        </w:rPr>
        <w:t>within the scope of this paper to include public expenditure on health and education, despite the fact</w:t>
      </w:r>
      <w:r w:rsidR="003D0C31" w:rsidRPr="000908C5">
        <w:rPr>
          <w:rFonts w:asciiTheme="minorHAnsi" w:hAnsiTheme="minorHAnsi" w:cstheme="minorHAnsi"/>
          <w:sz w:val="12"/>
        </w:rPr>
        <w:t>¶</w:t>
      </w:r>
      <w:r w:rsidR="003D0C31" w:rsidRPr="000908C5">
        <w:rPr>
          <w:rFonts w:asciiTheme="minorHAnsi" w:hAnsiTheme="minorHAnsi" w:cstheme="minorHAnsi"/>
          <w:sz w:val="16"/>
        </w:rPr>
        <w:t xml:space="preserve"> </w:t>
      </w:r>
      <w:r w:rsidRPr="000908C5">
        <w:rPr>
          <w:rFonts w:asciiTheme="minorHAnsi" w:hAnsiTheme="minorHAnsi" w:cstheme="minorHAnsi"/>
          <w:sz w:val="16"/>
        </w:rPr>
        <w:t>that many regard such expenditure as investment. Methods for assessing the poverty impact of</w:t>
      </w:r>
      <w:r w:rsidR="003D0C31" w:rsidRPr="000908C5">
        <w:rPr>
          <w:rFonts w:asciiTheme="minorHAnsi" w:hAnsiTheme="minorHAnsi" w:cstheme="minorHAnsi"/>
          <w:sz w:val="12"/>
        </w:rPr>
        <w:t>¶</w:t>
      </w:r>
      <w:r w:rsidR="003D0C31" w:rsidRPr="000908C5">
        <w:rPr>
          <w:rFonts w:asciiTheme="minorHAnsi" w:hAnsiTheme="minorHAnsi" w:cstheme="minorHAnsi"/>
          <w:sz w:val="16"/>
        </w:rPr>
        <w:t xml:space="preserve"> </w:t>
      </w:r>
      <w:r w:rsidRPr="000908C5">
        <w:rPr>
          <w:rFonts w:asciiTheme="minorHAnsi" w:hAnsiTheme="minorHAnsi" w:cstheme="minorHAnsi"/>
          <w:sz w:val="16"/>
        </w:rPr>
        <w:t>public expenditure on social sectors such as health and education have been well covered elsewhere</w:t>
      </w:r>
      <w:r w:rsidR="003D0C31" w:rsidRPr="000908C5">
        <w:rPr>
          <w:rFonts w:asciiTheme="minorHAnsi" w:hAnsiTheme="minorHAnsi" w:cstheme="minorHAnsi"/>
          <w:sz w:val="12"/>
        </w:rPr>
        <w:t>¶</w:t>
      </w:r>
      <w:r w:rsidR="003D0C31" w:rsidRPr="000908C5">
        <w:rPr>
          <w:rFonts w:asciiTheme="minorHAnsi" w:hAnsiTheme="minorHAnsi" w:cstheme="minorHAnsi"/>
          <w:sz w:val="16"/>
        </w:rPr>
        <w:t xml:space="preserve"> </w:t>
      </w:r>
      <w:r w:rsidRPr="000908C5">
        <w:rPr>
          <w:rFonts w:asciiTheme="minorHAnsi" w:hAnsiTheme="minorHAnsi" w:cstheme="minorHAnsi"/>
          <w:sz w:val="16"/>
        </w:rPr>
        <w:t xml:space="preserve">in recent years (see for example, van de </w:t>
      </w:r>
      <w:proofErr w:type="spellStart"/>
      <w:r w:rsidRPr="000908C5">
        <w:rPr>
          <w:rFonts w:asciiTheme="minorHAnsi" w:hAnsiTheme="minorHAnsi" w:cstheme="minorHAnsi"/>
          <w:sz w:val="16"/>
        </w:rPr>
        <w:t>Walle</w:t>
      </w:r>
      <w:proofErr w:type="spellEnd"/>
      <w:r w:rsidRPr="000908C5">
        <w:rPr>
          <w:rFonts w:asciiTheme="minorHAnsi" w:hAnsiTheme="minorHAnsi" w:cstheme="minorHAnsi"/>
          <w:sz w:val="16"/>
        </w:rPr>
        <w:t xml:space="preserve"> and </w:t>
      </w:r>
      <w:proofErr w:type="spellStart"/>
      <w:r w:rsidRPr="000908C5">
        <w:rPr>
          <w:rFonts w:asciiTheme="minorHAnsi" w:hAnsiTheme="minorHAnsi" w:cstheme="minorHAnsi"/>
          <w:sz w:val="16"/>
        </w:rPr>
        <w:t>Nead</w:t>
      </w:r>
      <w:proofErr w:type="spellEnd"/>
      <w:r w:rsidRPr="000908C5">
        <w:rPr>
          <w:rFonts w:asciiTheme="minorHAnsi" w:hAnsiTheme="minorHAnsi" w:cstheme="minorHAnsi"/>
          <w:sz w:val="16"/>
        </w:rPr>
        <w:t xml:space="preserve">, 1995; </w:t>
      </w:r>
      <w:proofErr w:type="spellStart"/>
      <w:r w:rsidRPr="000908C5">
        <w:rPr>
          <w:rFonts w:asciiTheme="minorHAnsi" w:hAnsiTheme="minorHAnsi" w:cstheme="minorHAnsi"/>
          <w:sz w:val="16"/>
        </w:rPr>
        <w:t>Sahn</w:t>
      </w:r>
      <w:proofErr w:type="spellEnd"/>
      <w:r w:rsidRPr="000908C5">
        <w:rPr>
          <w:rFonts w:asciiTheme="minorHAnsi" w:hAnsiTheme="minorHAnsi" w:cstheme="minorHAnsi"/>
          <w:sz w:val="16"/>
        </w:rPr>
        <w:t xml:space="preserve"> and Younger, 2000; and</w:t>
      </w:r>
      <w:r w:rsidR="003D0C31" w:rsidRPr="000908C5">
        <w:rPr>
          <w:rFonts w:asciiTheme="minorHAnsi" w:hAnsiTheme="minorHAnsi" w:cstheme="minorHAnsi"/>
          <w:sz w:val="12"/>
        </w:rPr>
        <w:t>¶</w:t>
      </w:r>
      <w:r w:rsidR="003D0C31" w:rsidRPr="000908C5">
        <w:rPr>
          <w:rFonts w:asciiTheme="minorHAnsi" w:hAnsiTheme="minorHAnsi" w:cstheme="minorHAnsi"/>
          <w:sz w:val="16"/>
        </w:rPr>
        <w:t xml:space="preserve"> </w:t>
      </w:r>
      <w:r w:rsidRPr="000908C5">
        <w:rPr>
          <w:rFonts w:asciiTheme="minorHAnsi" w:hAnsiTheme="minorHAnsi" w:cstheme="minorHAnsi"/>
          <w:sz w:val="16"/>
        </w:rPr>
        <w:t>World Bank, 2002).</w:t>
      </w:r>
    </w:p>
    <w:p w:rsidR="00843C68" w:rsidRPr="000908C5" w:rsidRDefault="00843C68" w:rsidP="00843C68">
      <w:pPr>
        <w:rPr>
          <w:rFonts w:asciiTheme="minorHAnsi" w:hAnsiTheme="minorHAnsi" w:cstheme="minorHAnsi"/>
        </w:rPr>
      </w:pPr>
    </w:p>
    <w:p w:rsidR="00843C68" w:rsidRPr="000908C5" w:rsidRDefault="00EE2265" w:rsidP="00843C68">
      <w:pPr>
        <w:rPr>
          <w:rFonts w:asciiTheme="minorHAnsi" w:hAnsiTheme="minorHAnsi" w:cstheme="minorHAnsi"/>
          <w:b/>
        </w:rPr>
      </w:pPr>
      <w:r w:rsidRPr="000908C5">
        <w:rPr>
          <w:rFonts w:asciiTheme="minorHAnsi" w:hAnsiTheme="minorHAnsi" w:cstheme="minorHAnsi"/>
          <w:b/>
        </w:rPr>
        <w:t>Capital expenditure excludes maintenance and repairs</w:t>
      </w:r>
    </w:p>
    <w:p w:rsidR="00843C68" w:rsidRPr="000908C5" w:rsidRDefault="00B70422" w:rsidP="00843C68">
      <w:pPr>
        <w:rPr>
          <w:rFonts w:asciiTheme="minorHAnsi" w:hAnsiTheme="minorHAnsi" w:cstheme="minorHAnsi"/>
        </w:rPr>
      </w:pPr>
      <w:r w:rsidRPr="000908C5">
        <w:rPr>
          <w:rFonts w:asciiTheme="minorHAnsi" w:hAnsiTheme="minorHAnsi" w:cstheme="minorHAnsi"/>
          <w:b/>
        </w:rPr>
        <w:t>360</w:t>
      </w:r>
      <w:r w:rsidR="00843C68" w:rsidRPr="000908C5">
        <w:rPr>
          <w:rFonts w:asciiTheme="minorHAnsi" w:hAnsiTheme="minorHAnsi" w:cstheme="minorHAnsi"/>
          <w:b/>
        </w:rPr>
        <w:t xml:space="preserve">Capital 12 </w:t>
      </w:r>
      <w:r w:rsidR="00843C68" w:rsidRPr="000908C5">
        <w:rPr>
          <w:rFonts w:asciiTheme="minorHAnsi" w:hAnsiTheme="minorHAnsi" w:cstheme="minorHAnsi"/>
        </w:rPr>
        <w:t xml:space="preserve">- 360 CAPITAL PROPERTY GROUP LIMITED (360 capital) IS A PROPERTY INVESTMENT AND FUNDS MANAGEMENT GROUP THAT CONCENTRATES ON THE STRATEGIC INVESTMENT AND ACTIVE INVESTMENT MANAGEMENT OF PROPERTY AND PROPERTY RELATED ASSETS (“Glossary of Terms”, </w:t>
      </w:r>
      <w:hyperlink r:id="rId12" w:history="1">
        <w:r w:rsidR="00843C68" w:rsidRPr="000908C5">
          <w:rPr>
            <w:rStyle w:val="Hyperlink"/>
            <w:rFonts w:asciiTheme="minorHAnsi" w:hAnsiTheme="minorHAnsi" w:cstheme="minorHAnsi"/>
          </w:rPr>
          <w:t>http://www.360capital.com.au/investor-information/glossary-of-terms/</w:t>
        </w:r>
      </w:hyperlink>
      <w:r w:rsidR="00EE2265" w:rsidRPr="000908C5">
        <w:rPr>
          <w:rFonts w:asciiTheme="minorHAnsi" w:hAnsiTheme="minorHAnsi" w:cstheme="minorHAnsi"/>
        </w:rPr>
        <w:t>)</w:t>
      </w:r>
    </w:p>
    <w:p w:rsidR="00843C68" w:rsidRPr="000908C5" w:rsidRDefault="00843C68" w:rsidP="00843C68">
      <w:pPr>
        <w:rPr>
          <w:rStyle w:val="StyleBoldUnderline"/>
          <w:rFonts w:asciiTheme="minorHAnsi" w:hAnsiTheme="minorHAnsi" w:cstheme="minorHAnsi"/>
        </w:rPr>
      </w:pPr>
      <w:r w:rsidRPr="000908C5">
        <w:rPr>
          <w:rFonts w:asciiTheme="minorHAnsi" w:hAnsiTheme="minorHAnsi" w:cstheme="minorHAnsi"/>
          <w:sz w:val="16"/>
        </w:rPr>
        <w:t>Capital expenditure (</w:t>
      </w:r>
      <w:proofErr w:type="spellStart"/>
      <w:r w:rsidRPr="000908C5">
        <w:rPr>
          <w:rFonts w:asciiTheme="minorHAnsi" w:hAnsiTheme="minorHAnsi" w:cstheme="minorHAnsi"/>
          <w:sz w:val="16"/>
        </w:rPr>
        <w:t>Capex</w:t>
      </w:r>
      <w:proofErr w:type="spellEnd"/>
      <w:r w:rsidRPr="000908C5">
        <w:rPr>
          <w:rFonts w:asciiTheme="minorHAnsi" w:hAnsiTheme="minorHAnsi" w:cstheme="minorHAnsi"/>
          <w:sz w:val="16"/>
        </w:rPr>
        <w:t xml:space="preserve">): Those items that are significant replacements or additions to properties, as distinguished from expense items that are considered to be recurring items. </w:t>
      </w:r>
      <w:r w:rsidRPr="000908C5">
        <w:rPr>
          <w:rStyle w:val="StyleBoldUnderline"/>
          <w:rFonts w:asciiTheme="minorHAnsi" w:hAnsiTheme="minorHAnsi" w:cstheme="minorHAnsi"/>
        </w:rPr>
        <w:t>Capital expenditure does not include general maintenance and repair items. For example the replacement of an air conditioning unit at a property would be an item of capital expenditure.</w:t>
      </w:r>
      <w:r w:rsidRPr="000908C5">
        <w:rPr>
          <w:rFonts w:asciiTheme="minorHAnsi" w:hAnsiTheme="minorHAnsi" w:cstheme="minorHAnsi"/>
          <w:sz w:val="16"/>
        </w:rPr>
        <w:t xml:space="preserve"> However, </w:t>
      </w:r>
      <w:r w:rsidRPr="000908C5">
        <w:rPr>
          <w:rStyle w:val="StyleBoldUnderline"/>
          <w:rFonts w:asciiTheme="minorHAnsi" w:hAnsiTheme="minorHAnsi" w:cstheme="minorHAnsi"/>
        </w:rPr>
        <w:t>the replacement of its fan-belt would not.</w:t>
      </w:r>
    </w:p>
    <w:p w:rsidR="00843C68" w:rsidRPr="000908C5" w:rsidRDefault="00843C68" w:rsidP="00843C68">
      <w:pPr>
        <w:rPr>
          <w:rFonts w:asciiTheme="minorHAnsi" w:hAnsiTheme="minorHAnsi" w:cstheme="minorHAnsi"/>
        </w:rPr>
      </w:pPr>
    </w:p>
    <w:p w:rsidR="00843C68" w:rsidRPr="000908C5" w:rsidRDefault="00EE2265" w:rsidP="00843C68">
      <w:pPr>
        <w:rPr>
          <w:rFonts w:asciiTheme="minorHAnsi" w:hAnsiTheme="minorHAnsi" w:cstheme="minorHAnsi"/>
          <w:b/>
        </w:rPr>
      </w:pPr>
      <w:r w:rsidRPr="000908C5">
        <w:rPr>
          <w:rFonts w:asciiTheme="minorHAnsi" w:hAnsiTheme="minorHAnsi" w:cstheme="minorHAnsi"/>
          <w:b/>
        </w:rPr>
        <w:t>Capital spending is for new</w:t>
      </w:r>
      <w:r w:rsidR="00843C68" w:rsidRPr="000908C5">
        <w:rPr>
          <w:rFonts w:asciiTheme="minorHAnsi" w:hAnsiTheme="minorHAnsi" w:cstheme="minorHAnsi"/>
          <w:b/>
        </w:rPr>
        <w:t xml:space="preserve"> physical infrastructure – that’s distinct from </w:t>
      </w:r>
      <w:r w:rsidR="00D772DA" w:rsidRPr="000908C5">
        <w:rPr>
          <w:rFonts w:asciiTheme="minorHAnsi" w:hAnsiTheme="minorHAnsi" w:cstheme="minorHAnsi"/>
          <w:b/>
        </w:rPr>
        <w:t>maintenance and repair spending</w:t>
      </w:r>
    </w:p>
    <w:p w:rsidR="00843C68" w:rsidRPr="000908C5" w:rsidRDefault="00843C68" w:rsidP="00EE2265">
      <w:pPr>
        <w:autoSpaceDE w:val="0"/>
        <w:autoSpaceDN w:val="0"/>
        <w:adjustRightInd w:val="0"/>
        <w:rPr>
          <w:rFonts w:asciiTheme="minorHAnsi" w:hAnsiTheme="minorHAnsi" w:cstheme="minorHAnsi"/>
          <w:sz w:val="16"/>
        </w:rPr>
      </w:pPr>
      <w:proofErr w:type="spellStart"/>
      <w:r w:rsidRPr="000908C5">
        <w:rPr>
          <w:rFonts w:asciiTheme="minorHAnsi" w:hAnsiTheme="minorHAnsi" w:cstheme="minorHAnsi"/>
          <w:b/>
        </w:rPr>
        <w:t>Kalyvitis</w:t>
      </w:r>
      <w:proofErr w:type="spellEnd"/>
      <w:r w:rsidRPr="000908C5">
        <w:rPr>
          <w:rFonts w:asciiTheme="minorHAnsi" w:hAnsiTheme="minorHAnsi" w:cstheme="minorHAnsi"/>
          <w:b/>
        </w:rPr>
        <w:t xml:space="preserve"> and </w:t>
      </w:r>
      <w:proofErr w:type="spellStart"/>
      <w:r w:rsidRPr="000908C5">
        <w:rPr>
          <w:rFonts w:asciiTheme="minorHAnsi" w:hAnsiTheme="minorHAnsi" w:cstheme="minorHAnsi"/>
          <w:b/>
        </w:rPr>
        <w:t>Vella</w:t>
      </w:r>
      <w:proofErr w:type="spellEnd"/>
      <w:r w:rsidRPr="000908C5">
        <w:rPr>
          <w:rFonts w:asciiTheme="minorHAnsi" w:hAnsiTheme="minorHAnsi" w:cstheme="minorHAnsi"/>
          <w:b/>
        </w:rPr>
        <w:t xml:space="preserve"> 11</w:t>
      </w:r>
      <w:r w:rsidRPr="000908C5">
        <w:rPr>
          <w:rFonts w:asciiTheme="minorHAnsi" w:hAnsiTheme="minorHAnsi" w:cstheme="minorHAnsi"/>
          <w:b/>
          <w:sz w:val="16"/>
        </w:rPr>
        <w:t xml:space="preserve"> </w:t>
      </w:r>
      <w:r w:rsidRPr="000908C5">
        <w:rPr>
          <w:rFonts w:asciiTheme="minorHAnsi" w:hAnsiTheme="minorHAnsi" w:cstheme="minorHAnsi"/>
          <w:sz w:val="16"/>
        </w:rPr>
        <w:t>– professor in the Department of International and European Economic Studies at Athens University of Economics and Business, PhD candidate in the Department of International and European Economic Studies at Athens University of Economics and Business (</w:t>
      </w:r>
      <w:proofErr w:type="spellStart"/>
      <w:r w:rsidRPr="000908C5">
        <w:rPr>
          <w:rFonts w:asciiTheme="minorHAnsi" w:hAnsiTheme="minorHAnsi" w:cstheme="minorHAnsi"/>
          <w:sz w:val="16"/>
        </w:rPr>
        <w:t>Sarantis</w:t>
      </w:r>
      <w:proofErr w:type="spellEnd"/>
      <w:r w:rsidRPr="000908C5">
        <w:rPr>
          <w:rFonts w:asciiTheme="minorHAnsi" w:hAnsiTheme="minorHAnsi" w:cstheme="minorHAnsi"/>
          <w:sz w:val="16"/>
        </w:rPr>
        <w:t xml:space="preserve"> and Eugenia, Public Capital Maintenance, Decentralization, and US Productivity Growth, Public Finan</w:t>
      </w:r>
      <w:r w:rsidR="00EE2265" w:rsidRPr="000908C5">
        <w:rPr>
          <w:rFonts w:asciiTheme="minorHAnsi" w:hAnsiTheme="minorHAnsi" w:cstheme="minorHAnsi"/>
          <w:sz w:val="16"/>
        </w:rPr>
        <w:t>ce Review 39(6) p. 788 Sage)</w:t>
      </w:r>
    </w:p>
    <w:p w:rsidR="00843C68" w:rsidRPr="000908C5" w:rsidRDefault="00843C68" w:rsidP="00843C68">
      <w:pPr>
        <w:autoSpaceDE w:val="0"/>
        <w:autoSpaceDN w:val="0"/>
        <w:adjustRightInd w:val="0"/>
        <w:rPr>
          <w:rFonts w:asciiTheme="minorHAnsi" w:hAnsiTheme="minorHAnsi" w:cstheme="minorHAnsi"/>
          <w:sz w:val="16"/>
        </w:rPr>
      </w:pPr>
      <w:r w:rsidRPr="000908C5">
        <w:rPr>
          <w:rStyle w:val="StyleBoldUnderline"/>
          <w:rFonts w:asciiTheme="minorHAnsi" w:hAnsiTheme="minorHAnsi" w:cstheme="minorHAnsi"/>
        </w:rPr>
        <w:t>Expenditures ‘‘for</w:t>
      </w:r>
      <w:r w:rsidRPr="000908C5">
        <w:rPr>
          <w:rFonts w:asciiTheme="minorHAnsi" w:hAnsiTheme="minorHAnsi" w:cstheme="minorHAnsi"/>
          <w:sz w:val="16"/>
        </w:rPr>
        <w:t xml:space="preserve"> </w:t>
      </w:r>
      <w:r w:rsidRPr="000908C5">
        <w:rPr>
          <w:rFonts w:asciiTheme="minorHAnsi" w:hAnsiTheme="minorHAnsi" w:cstheme="minorHAnsi"/>
          <w:b/>
          <w:u w:val="single"/>
        </w:rPr>
        <w:t>the purchase, construction, rehabilitation, and improvement of physical infrastructure’’ are defined as capital spending, while expenditures that are ‘‘required to provide the services needed for infrastructure to function and are necessary for the repair and safe operation of existing infrastructure’’ compose O&amp;M spending.</w:t>
      </w:r>
      <w:r w:rsidRPr="000908C5">
        <w:rPr>
          <w:rFonts w:asciiTheme="minorHAnsi" w:hAnsiTheme="minorHAnsi" w:cstheme="minorHAnsi"/>
          <w:sz w:val="16"/>
        </w:rPr>
        <w:t xml:space="preserve">4 </w:t>
      </w:r>
      <w:r w:rsidRPr="000908C5">
        <w:rPr>
          <w:rFonts w:asciiTheme="minorHAnsi" w:hAnsiTheme="minorHAnsi" w:cstheme="minorHAnsi"/>
          <w:b/>
          <w:u w:val="single"/>
        </w:rPr>
        <w:t>Federal capital outlays include all reported investment spending on physical infrastructure assets, such as construction and rehabilitation</w:t>
      </w:r>
      <w:r w:rsidRPr="000908C5">
        <w:rPr>
          <w:rFonts w:asciiTheme="minorHAnsi" w:hAnsiTheme="minorHAnsi" w:cstheme="minorHAnsi"/>
          <w:sz w:val="16"/>
        </w:rPr>
        <w:t xml:space="preserve">, purchase and sales of land and structures, and major equipment. </w:t>
      </w:r>
      <w:r w:rsidRPr="000908C5">
        <w:rPr>
          <w:rFonts w:asciiTheme="minorHAnsi" w:hAnsiTheme="minorHAnsi" w:cstheme="minorHAnsi"/>
          <w:b/>
          <w:u w:val="single"/>
        </w:rPr>
        <w:t>The remaining investment spending in nonphysical infrastructure assets, such as r</w:t>
      </w:r>
      <w:r w:rsidRPr="000908C5">
        <w:rPr>
          <w:rFonts w:asciiTheme="minorHAnsi" w:hAnsiTheme="minorHAnsi" w:cstheme="minorHAnsi"/>
          <w:sz w:val="16"/>
        </w:rPr>
        <w:t xml:space="preserve">esearch </w:t>
      </w:r>
      <w:r w:rsidRPr="000908C5">
        <w:rPr>
          <w:rFonts w:asciiTheme="minorHAnsi" w:hAnsiTheme="minorHAnsi" w:cstheme="minorHAnsi"/>
          <w:b/>
          <w:u w:val="single"/>
        </w:rPr>
        <w:t>and d</w:t>
      </w:r>
      <w:r w:rsidRPr="000908C5">
        <w:rPr>
          <w:rFonts w:asciiTheme="minorHAnsi" w:hAnsiTheme="minorHAnsi" w:cstheme="minorHAnsi"/>
          <w:sz w:val="16"/>
        </w:rPr>
        <w:t xml:space="preserve">evelopment, </w:t>
      </w:r>
      <w:r w:rsidRPr="000908C5">
        <w:rPr>
          <w:rFonts w:asciiTheme="minorHAnsi" w:hAnsiTheme="minorHAnsi" w:cstheme="minorHAnsi"/>
          <w:b/>
          <w:u w:val="single"/>
        </w:rPr>
        <w:t xml:space="preserve">education and training, and other noninvestment </w:t>
      </w:r>
      <w:r w:rsidRPr="000908C5">
        <w:rPr>
          <w:rFonts w:asciiTheme="minorHAnsi" w:hAnsiTheme="minorHAnsi" w:cstheme="minorHAnsi"/>
          <w:b/>
          <w:u w:val="single"/>
        </w:rPr>
        <w:lastRenderedPageBreak/>
        <w:t>activities, comprises federal O&amp;M spending.</w:t>
      </w:r>
      <w:r w:rsidRPr="000908C5">
        <w:rPr>
          <w:rFonts w:asciiTheme="minorHAnsi" w:hAnsiTheme="minorHAnsi" w:cstheme="minorHAnsi"/>
          <w:sz w:val="16"/>
        </w:rPr>
        <w:t xml:space="preserve"> Turning to state and local spending, capital outlays cover construction, purchase of land, existing structures, and equipment, whereas O&amp;M outlays cover current operations.5</w:t>
      </w:r>
    </w:p>
    <w:p w:rsidR="00843C68" w:rsidRPr="000908C5" w:rsidRDefault="00843C68" w:rsidP="00843C68">
      <w:pPr>
        <w:rPr>
          <w:rFonts w:asciiTheme="minorHAnsi" w:hAnsiTheme="minorHAnsi" w:cstheme="minorHAnsi"/>
        </w:rPr>
      </w:pPr>
    </w:p>
    <w:p w:rsidR="00843C68" w:rsidRPr="000908C5" w:rsidRDefault="00843C68" w:rsidP="00AD3CD4">
      <w:pPr>
        <w:rPr>
          <w:rFonts w:asciiTheme="minorHAnsi" w:hAnsiTheme="minorHAnsi" w:cstheme="minorHAnsi"/>
          <w:sz w:val="16"/>
        </w:rPr>
      </w:pPr>
    </w:p>
    <w:p w:rsidR="000022F2" w:rsidRPr="000908C5" w:rsidRDefault="000022F2" w:rsidP="00AD3CD4">
      <w:pPr>
        <w:rPr>
          <w:rFonts w:asciiTheme="minorHAnsi" w:hAnsiTheme="minorHAnsi" w:cstheme="minorHAnsi"/>
        </w:rPr>
      </w:pPr>
    </w:p>
    <w:sectPr w:rsidR="000022F2" w:rsidRPr="000908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EF5" w:rsidRDefault="00350EF5" w:rsidP="005F5576">
      <w:r>
        <w:separator/>
      </w:r>
    </w:p>
  </w:endnote>
  <w:endnote w:type="continuationSeparator" w:id="0">
    <w:p w:rsidR="00350EF5" w:rsidRDefault="00350E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EF5" w:rsidRDefault="00350EF5" w:rsidP="005F5576">
      <w:r>
        <w:separator/>
      </w:r>
    </w:p>
  </w:footnote>
  <w:footnote w:type="continuationSeparator" w:id="0">
    <w:p w:rsidR="00350EF5" w:rsidRDefault="00350E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4"/>
    <w:rsid w:val="000022F2"/>
    <w:rsid w:val="0000459F"/>
    <w:rsid w:val="00004EB4"/>
    <w:rsid w:val="0002196C"/>
    <w:rsid w:val="00021F29"/>
    <w:rsid w:val="00027EED"/>
    <w:rsid w:val="0003041D"/>
    <w:rsid w:val="00033028"/>
    <w:rsid w:val="000360A7"/>
    <w:rsid w:val="00052A1D"/>
    <w:rsid w:val="00055E12"/>
    <w:rsid w:val="00064A59"/>
    <w:rsid w:val="0007040B"/>
    <w:rsid w:val="0007162E"/>
    <w:rsid w:val="00073B9A"/>
    <w:rsid w:val="00090287"/>
    <w:rsid w:val="000908C5"/>
    <w:rsid w:val="00090BA2"/>
    <w:rsid w:val="000911B7"/>
    <w:rsid w:val="000978A3"/>
    <w:rsid w:val="00097D7E"/>
    <w:rsid w:val="000A1D39"/>
    <w:rsid w:val="000A4FA5"/>
    <w:rsid w:val="000B61C8"/>
    <w:rsid w:val="000C767D"/>
    <w:rsid w:val="000D0B76"/>
    <w:rsid w:val="000D2AE5"/>
    <w:rsid w:val="000D3A26"/>
    <w:rsid w:val="000D3D8D"/>
    <w:rsid w:val="000D58E1"/>
    <w:rsid w:val="000E41A3"/>
    <w:rsid w:val="000F37E7"/>
    <w:rsid w:val="00113C68"/>
    <w:rsid w:val="00114663"/>
    <w:rsid w:val="00116AD7"/>
    <w:rsid w:val="001173AD"/>
    <w:rsid w:val="0012057B"/>
    <w:rsid w:val="00126D92"/>
    <w:rsid w:val="001301AC"/>
    <w:rsid w:val="001304DF"/>
    <w:rsid w:val="00134B25"/>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594C"/>
    <w:rsid w:val="002101DA"/>
    <w:rsid w:val="0021583C"/>
    <w:rsid w:val="00217499"/>
    <w:rsid w:val="00224647"/>
    <w:rsid w:val="00237BAB"/>
    <w:rsid w:val="0024023F"/>
    <w:rsid w:val="00240C4E"/>
    <w:rsid w:val="00243DC0"/>
    <w:rsid w:val="00250E16"/>
    <w:rsid w:val="0025686B"/>
    <w:rsid w:val="0025718A"/>
    <w:rsid w:val="00257696"/>
    <w:rsid w:val="0026382E"/>
    <w:rsid w:val="00272786"/>
    <w:rsid w:val="00287AB7"/>
    <w:rsid w:val="00294D00"/>
    <w:rsid w:val="002A213E"/>
    <w:rsid w:val="002A612B"/>
    <w:rsid w:val="002B5C56"/>
    <w:rsid w:val="002B68A4"/>
    <w:rsid w:val="002C571D"/>
    <w:rsid w:val="002C5772"/>
    <w:rsid w:val="002D0374"/>
    <w:rsid w:val="002D2946"/>
    <w:rsid w:val="002D529E"/>
    <w:rsid w:val="002D6BD6"/>
    <w:rsid w:val="002E4DD9"/>
    <w:rsid w:val="002F0314"/>
    <w:rsid w:val="002F7376"/>
    <w:rsid w:val="0031182D"/>
    <w:rsid w:val="00314B9D"/>
    <w:rsid w:val="00315CA2"/>
    <w:rsid w:val="00316FEB"/>
    <w:rsid w:val="00326EEB"/>
    <w:rsid w:val="0033078A"/>
    <w:rsid w:val="00331559"/>
    <w:rsid w:val="00341D6C"/>
    <w:rsid w:val="00344E91"/>
    <w:rsid w:val="00347123"/>
    <w:rsid w:val="0034756E"/>
    <w:rsid w:val="00347E74"/>
    <w:rsid w:val="00350EF5"/>
    <w:rsid w:val="00351D97"/>
    <w:rsid w:val="00354B5B"/>
    <w:rsid w:val="00360F4B"/>
    <w:rsid w:val="003616E8"/>
    <w:rsid w:val="0036330C"/>
    <w:rsid w:val="00383E0A"/>
    <w:rsid w:val="003847C7"/>
    <w:rsid w:val="00385298"/>
    <w:rsid w:val="003852CE"/>
    <w:rsid w:val="00385624"/>
    <w:rsid w:val="00392408"/>
    <w:rsid w:val="00392E92"/>
    <w:rsid w:val="00395C83"/>
    <w:rsid w:val="003A2A3B"/>
    <w:rsid w:val="003A440C"/>
    <w:rsid w:val="003B024E"/>
    <w:rsid w:val="003B0C84"/>
    <w:rsid w:val="003B183E"/>
    <w:rsid w:val="003B2F3E"/>
    <w:rsid w:val="003B55B7"/>
    <w:rsid w:val="003B6224"/>
    <w:rsid w:val="003C756E"/>
    <w:rsid w:val="003D0C31"/>
    <w:rsid w:val="003D2C33"/>
    <w:rsid w:val="003E4831"/>
    <w:rsid w:val="003E48DE"/>
    <w:rsid w:val="003E7E8B"/>
    <w:rsid w:val="003F3030"/>
    <w:rsid w:val="003F47AE"/>
    <w:rsid w:val="00403971"/>
    <w:rsid w:val="00407386"/>
    <w:rsid w:val="00412A1E"/>
    <w:rsid w:val="004138EF"/>
    <w:rsid w:val="004319DE"/>
    <w:rsid w:val="00435232"/>
    <w:rsid w:val="004400EA"/>
    <w:rsid w:val="00445AF2"/>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8E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194D"/>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2848"/>
    <w:rsid w:val="005C6E14"/>
    <w:rsid w:val="005D1156"/>
    <w:rsid w:val="005E0681"/>
    <w:rsid w:val="005E3B08"/>
    <w:rsid w:val="005E3FE4"/>
    <w:rsid w:val="005E5220"/>
    <w:rsid w:val="005E572E"/>
    <w:rsid w:val="005F5576"/>
    <w:rsid w:val="005F75ED"/>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DAB"/>
    <w:rsid w:val="00743059"/>
    <w:rsid w:val="00744F58"/>
    <w:rsid w:val="00750CED"/>
    <w:rsid w:val="00760A29"/>
    <w:rsid w:val="00770A90"/>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8AC"/>
    <w:rsid w:val="007D3012"/>
    <w:rsid w:val="007D65A7"/>
    <w:rsid w:val="007E3F59"/>
    <w:rsid w:val="007E5043"/>
    <w:rsid w:val="007E5183"/>
    <w:rsid w:val="008133F9"/>
    <w:rsid w:val="00823AAC"/>
    <w:rsid w:val="00825C77"/>
    <w:rsid w:val="00843C68"/>
    <w:rsid w:val="00854C66"/>
    <w:rsid w:val="008553E1"/>
    <w:rsid w:val="0087643B"/>
    <w:rsid w:val="00877669"/>
    <w:rsid w:val="00886C3A"/>
    <w:rsid w:val="00897F92"/>
    <w:rsid w:val="008A64C9"/>
    <w:rsid w:val="008B180A"/>
    <w:rsid w:val="008B24B7"/>
    <w:rsid w:val="008C2CD8"/>
    <w:rsid w:val="008C5743"/>
    <w:rsid w:val="008C68EE"/>
    <w:rsid w:val="008C7F44"/>
    <w:rsid w:val="008D4273"/>
    <w:rsid w:val="008D4EF3"/>
    <w:rsid w:val="008E0E4F"/>
    <w:rsid w:val="008E1FD5"/>
    <w:rsid w:val="008E4139"/>
    <w:rsid w:val="008E4DBB"/>
    <w:rsid w:val="008F322F"/>
    <w:rsid w:val="00907DFE"/>
    <w:rsid w:val="00914596"/>
    <w:rsid w:val="009146BF"/>
    <w:rsid w:val="00915AD4"/>
    <w:rsid w:val="00915EF1"/>
    <w:rsid w:val="00924C08"/>
    <w:rsid w:val="00927D88"/>
    <w:rsid w:val="00930D1F"/>
    <w:rsid w:val="00935127"/>
    <w:rsid w:val="0094025E"/>
    <w:rsid w:val="00942151"/>
    <w:rsid w:val="0094256C"/>
    <w:rsid w:val="00953F11"/>
    <w:rsid w:val="009706C1"/>
    <w:rsid w:val="00976675"/>
    <w:rsid w:val="00976FBF"/>
    <w:rsid w:val="00984B38"/>
    <w:rsid w:val="009A0636"/>
    <w:rsid w:val="009A6FF5"/>
    <w:rsid w:val="009B2B47"/>
    <w:rsid w:val="009B35DB"/>
    <w:rsid w:val="009C4298"/>
    <w:rsid w:val="009D318C"/>
    <w:rsid w:val="009E585E"/>
    <w:rsid w:val="00A10B8B"/>
    <w:rsid w:val="00A20D78"/>
    <w:rsid w:val="00A21645"/>
    <w:rsid w:val="00A2174A"/>
    <w:rsid w:val="00A24BF4"/>
    <w:rsid w:val="00A26733"/>
    <w:rsid w:val="00A3595E"/>
    <w:rsid w:val="00A46C7F"/>
    <w:rsid w:val="00A562E8"/>
    <w:rsid w:val="00A66D61"/>
    <w:rsid w:val="00A71A4E"/>
    <w:rsid w:val="00A73245"/>
    <w:rsid w:val="00A77145"/>
    <w:rsid w:val="00A82989"/>
    <w:rsid w:val="00A904FE"/>
    <w:rsid w:val="00A9262C"/>
    <w:rsid w:val="00A966BF"/>
    <w:rsid w:val="00A97761"/>
    <w:rsid w:val="00AB3B76"/>
    <w:rsid w:val="00AB61DD"/>
    <w:rsid w:val="00AC222F"/>
    <w:rsid w:val="00AC2CC7"/>
    <w:rsid w:val="00AC4C76"/>
    <w:rsid w:val="00AC7B3B"/>
    <w:rsid w:val="00AD3CD4"/>
    <w:rsid w:val="00AD3CE6"/>
    <w:rsid w:val="00AE1307"/>
    <w:rsid w:val="00AE7586"/>
    <w:rsid w:val="00AF7A65"/>
    <w:rsid w:val="00B06710"/>
    <w:rsid w:val="00B07EBF"/>
    <w:rsid w:val="00B166CB"/>
    <w:rsid w:val="00B235E1"/>
    <w:rsid w:val="00B272CF"/>
    <w:rsid w:val="00B3145D"/>
    <w:rsid w:val="00B357BA"/>
    <w:rsid w:val="00B446A8"/>
    <w:rsid w:val="00B450D2"/>
    <w:rsid w:val="00B564DB"/>
    <w:rsid w:val="00B70422"/>
    <w:rsid w:val="00B7263E"/>
    <w:rsid w:val="00B768B6"/>
    <w:rsid w:val="00B816A3"/>
    <w:rsid w:val="00B85A22"/>
    <w:rsid w:val="00B908D1"/>
    <w:rsid w:val="00B940D1"/>
    <w:rsid w:val="00BB58BD"/>
    <w:rsid w:val="00BB6A26"/>
    <w:rsid w:val="00BC1034"/>
    <w:rsid w:val="00BC25CB"/>
    <w:rsid w:val="00BE2408"/>
    <w:rsid w:val="00BE3EC6"/>
    <w:rsid w:val="00BE5BEB"/>
    <w:rsid w:val="00BE6528"/>
    <w:rsid w:val="00BE6BBA"/>
    <w:rsid w:val="00C0087A"/>
    <w:rsid w:val="00C05F9D"/>
    <w:rsid w:val="00C23D50"/>
    <w:rsid w:val="00C27212"/>
    <w:rsid w:val="00C34185"/>
    <w:rsid w:val="00C42DD6"/>
    <w:rsid w:val="00C545E7"/>
    <w:rsid w:val="00C66858"/>
    <w:rsid w:val="00C72E69"/>
    <w:rsid w:val="00C7411E"/>
    <w:rsid w:val="00C84988"/>
    <w:rsid w:val="00C951EA"/>
    <w:rsid w:val="00CA4AF6"/>
    <w:rsid w:val="00CA59CA"/>
    <w:rsid w:val="00CB2356"/>
    <w:rsid w:val="00CB4075"/>
    <w:rsid w:val="00CB4E6D"/>
    <w:rsid w:val="00CC23DE"/>
    <w:rsid w:val="00CC323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FD4"/>
    <w:rsid w:val="00D4639E"/>
    <w:rsid w:val="00D51ABF"/>
    <w:rsid w:val="00D5444B"/>
    <w:rsid w:val="00D55302"/>
    <w:rsid w:val="00D57CBF"/>
    <w:rsid w:val="00D62F64"/>
    <w:rsid w:val="00D66ABC"/>
    <w:rsid w:val="00D71CFC"/>
    <w:rsid w:val="00D772DA"/>
    <w:rsid w:val="00D86024"/>
    <w:rsid w:val="00D94CA3"/>
    <w:rsid w:val="00D96595"/>
    <w:rsid w:val="00DA018C"/>
    <w:rsid w:val="00DA3C9D"/>
    <w:rsid w:val="00DB0F7E"/>
    <w:rsid w:val="00DB5489"/>
    <w:rsid w:val="00DB6C98"/>
    <w:rsid w:val="00DC701C"/>
    <w:rsid w:val="00DD7F91"/>
    <w:rsid w:val="00DE23D5"/>
    <w:rsid w:val="00E00376"/>
    <w:rsid w:val="00E01016"/>
    <w:rsid w:val="00E043B1"/>
    <w:rsid w:val="00E1207A"/>
    <w:rsid w:val="00E14EBD"/>
    <w:rsid w:val="00E16734"/>
    <w:rsid w:val="00E23260"/>
    <w:rsid w:val="00E2367A"/>
    <w:rsid w:val="00E25E18"/>
    <w:rsid w:val="00E27BC7"/>
    <w:rsid w:val="00E35FC9"/>
    <w:rsid w:val="00E377A4"/>
    <w:rsid w:val="00E41346"/>
    <w:rsid w:val="00E420E9"/>
    <w:rsid w:val="00E4635D"/>
    <w:rsid w:val="00E61D76"/>
    <w:rsid w:val="00E6489C"/>
    <w:rsid w:val="00E674DB"/>
    <w:rsid w:val="00E70912"/>
    <w:rsid w:val="00E75797"/>
    <w:rsid w:val="00E75F28"/>
    <w:rsid w:val="00E90AA6"/>
    <w:rsid w:val="00E977B8"/>
    <w:rsid w:val="00E97AD1"/>
    <w:rsid w:val="00E97EBC"/>
    <w:rsid w:val="00EA109B"/>
    <w:rsid w:val="00EA15A8"/>
    <w:rsid w:val="00EA2926"/>
    <w:rsid w:val="00EB2CDE"/>
    <w:rsid w:val="00EB79FA"/>
    <w:rsid w:val="00EC1A81"/>
    <w:rsid w:val="00EC7E5C"/>
    <w:rsid w:val="00ED6567"/>
    <w:rsid w:val="00ED78F1"/>
    <w:rsid w:val="00EE2265"/>
    <w:rsid w:val="00EE4DCA"/>
    <w:rsid w:val="00EF0F62"/>
    <w:rsid w:val="00F007E1"/>
    <w:rsid w:val="00F0134E"/>
    <w:rsid w:val="00F057C6"/>
    <w:rsid w:val="00F17D96"/>
    <w:rsid w:val="00F20E57"/>
    <w:rsid w:val="00F22565"/>
    <w:rsid w:val="00F3380E"/>
    <w:rsid w:val="00F36516"/>
    <w:rsid w:val="00F40837"/>
    <w:rsid w:val="00F42F79"/>
    <w:rsid w:val="00F47773"/>
    <w:rsid w:val="00F5019D"/>
    <w:rsid w:val="00F517F5"/>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0A52"/>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11B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911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0911B7"/>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0911B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911B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911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11B7"/>
  </w:style>
  <w:style w:type="character" w:customStyle="1" w:styleId="Heading1Char">
    <w:name w:val="Heading 1 Char"/>
    <w:aliases w:val="Pocket Char"/>
    <w:basedOn w:val="DefaultParagraphFont"/>
    <w:link w:val="Heading1"/>
    <w:uiPriority w:val="1"/>
    <w:rsid w:val="000911B7"/>
    <w:rPr>
      <w:rFonts w:ascii="Calibri" w:eastAsiaTheme="majorEastAsia" w:hAnsi="Calibri" w:cstheme="majorBidi"/>
      <w:b/>
      <w:bCs/>
      <w:sz w:val="52"/>
      <w:szCs w:val="28"/>
    </w:rPr>
  </w:style>
  <w:style w:type="character" w:customStyle="1" w:styleId="Heading2Char">
    <w:name w:val="Heading 2 Char"/>
    <w:aliases w:val="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0911B7"/>
    <w:rPr>
      <w:rFonts w:ascii="Calibri" w:eastAsiaTheme="majorEastAsia" w:hAnsi="Calibri" w:cstheme="majorBidi"/>
      <w:b/>
      <w:bCs/>
      <w:sz w:val="24"/>
      <w:szCs w:val="26"/>
    </w:rPr>
  </w:style>
  <w:style w:type="character" w:styleId="Emphasis">
    <w:name w:val="Emphasis"/>
    <w:aliases w:val="Evidence,Minimized,minimized,Highlighted,tag2,Size 10,emphasis in card,Underlined,CD Card,ED - Tag"/>
    <w:basedOn w:val="DefaultParagraphFont"/>
    <w:uiPriority w:val="7"/>
    <w:qFormat/>
    <w:rsid w:val="000911B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911B7"/>
    <w:rPr>
      <w:b/>
      <w:bCs/>
    </w:rPr>
  </w:style>
  <w:style w:type="character" w:customStyle="1" w:styleId="Heading3Char">
    <w:name w:val="Heading 3 Char"/>
    <w:aliases w:val="Block Char"/>
    <w:basedOn w:val="DefaultParagraphFont"/>
    <w:link w:val="Heading3"/>
    <w:uiPriority w:val="3"/>
    <w:rsid w:val="000911B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cite"/>
    <w:basedOn w:val="DefaultParagraphFont"/>
    <w:uiPriority w:val="6"/>
    <w:qFormat/>
    <w:rsid w:val="000911B7"/>
    <w:rPr>
      <w:b/>
      <w:bCs/>
      <w:sz w:val="22"/>
      <w:u w:val="single"/>
    </w:rPr>
  </w:style>
  <w:style w:type="character" w:customStyle="1" w:styleId="StyleStyleBold12pt">
    <w:name w:val="Style Style Bold + 12 pt"/>
    <w:aliases w:val="Cite,Style Style Bold,Style Style Bold + 12pt"/>
    <w:basedOn w:val="StyleBold"/>
    <w:uiPriority w:val="5"/>
    <w:qFormat/>
    <w:rsid w:val="000911B7"/>
    <w:rPr>
      <w:b/>
      <w:bCs/>
      <w:sz w:val="26"/>
      <w:u w:val="none"/>
    </w:rPr>
  </w:style>
  <w:style w:type="paragraph" w:styleId="Header">
    <w:name w:val="header"/>
    <w:basedOn w:val="Normal"/>
    <w:link w:val="HeaderChar"/>
    <w:uiPriority w:val="99"/>
    <w:semiHidden/>
    <w:rsid w:val="000911B7"/>
    <w:pPr>
      <w:tabs>
        <w:tab w:val="center" w:pos="4680"/>
        <w:tab w:val="right" w:pos="9360"/>
      </w:tabs>
    </w:pPr>
  </w:style>
  <w:style w:type="character" w:customStyle="1" w:styleId="HeaderChar">
    <w:name w:val="Header Char"/>
    <w:basedOn w:val="DefaultParagraphFont"/>
    <w:link w:val="Header"/>
    <w:uiPriority w:val="99"/>
    <w:semiHidden/>
    <w:rsid w:val="000911B7"/>
    <w:rPr>
      <w:rFonts w:ascii="Calibri" w:hAnsi="Calibri" w:cs="Calibri"/>
    </w:rPr>
  </w:style>
  <w:style w:type="paragraph" w:styleId="Footer">
    <w:name w:val="footer"/>
    <w:basedOn w:val="Normal"/>
    <w:link w:val="FooterChar"/>
    <w:uiPriority w:val="99"/>
    <w:semiHidden/>
    <w:rsid w:val="000911B7"/>
    <w:pPr>
      <w:tabs>
        <w:tab w:val="center" w:pos="4680"/>
        <w:tab w:val="right" w:pos="9360"/>
      </w:tabs>
    </w:pPr>
  </w:style>
  <w:style w:type="character" w:customStyle="1" w:styleId="FooterChar">
    <w:name w:val="Footer Char"/>
    <w:basedOn w:val="DefaultParagraphFont"/>
    <w:link w:val="Footer"/>
    <w:uiPriority w:val="99"/>
    <w:semiHidden/>
    <w:rsid w:val="000911B7"/>
    <w:rPr>
      <w:rFonts w:ascii="Calibri" w:hAnsi="Calibri" w:cs="Calibri"/>
    </w:rPr>
  </w:style>
  <w:style w:type="character" w:styleId="Hyperlink">
    <w:name w:val="Hyperlink"/>
    <w:aliases w:val="Read,Important,heading 1 (block title),Card Text"/>
    <w:basedOn w:val="DefaultParagraphFont"/>
    <w:uiPriority w:val="99"/>
    <w:rsid w:val="000911B7"/>
    <w:rPr>
      <w:color w:val="auto"/>
      <w:u w:val="none"/>
    </w:rPr>
  </w:style>
  <w:style w:type="character" w:styleId="FollowedHyperlink">
    <w:name w:val="FollowedHyperlink"/>
    <w:basedOn w:val="DefaultParagraphFont"/>
    <w:uiPriority w:val="99"/>
    <w:semiHidden/>
    <w:rsid w:val="000911B7"/>
    <w:rPr>
      <w:color w:val="auto"/>
      <w:u w:val="none"/>
    </w:rPr>
  </w:style>
  <w:style w:type="character" w:customStyle="1" w:styleId="Heading4Char">
    <w:name w:val="Heading 4 Char"/>
    <w:aliases w:val="Tag Char"/>
    <w:basedOn w:val="DefaultParagraphFont"/>
    <w:link w:val="Heading4"/>
    <w:uiPriority w:val="4"/>
    <w:rsid w:val="000911B7"/>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11B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911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0911B7"/>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0911B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911B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911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11B7"/>
  </w:style>
  <w:style w:type="character" w:customStyle="1" w:styleId="Heading1Char">
    <w:name w:val="Heading 1 Char"/>
    <w:aliases w:val="Pocket Char"/>
    <w:basedOn w:val="DefaultParagraphFont"/>
    <w:link w:val="Heading1"/>
    <w:uiPriority w:val="1"/>
    <w:rsid w:val="000911B7"/>
    <w:rPr>
      <w:rFonts w:ascii="Calibri" w:eastAsiaTheme="majorEastAsia" w:hAnsi="Calibri" w:cstheme="majorBidi"/>
      <w:b/>
      <w:bCs/>
      <w:sz w:val="52"/>
      <w:szCs w:val="28"/>
    </w:rPr>
  </w:style>
  <w:style w:type="character" w:customStyle="1" w:styleId="Heading2Char">
    <w:name w:val="Heading 2 Char"/>
    <w:aliases w:val="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0911B7"/>
    <w:rPr>
      <w:rFonts w:ascii="Calibri" w:eastAsiaTheme="majorEastAsia" w:hAnsi="Calibri" w:cstheme="majorBidi"/>
      <w:b/>
      <w:bCs/>
      <w:sz w:val="24"/>
      <w:szCs w:val="26"/>
    </w:rPr>
  </w:style>
  <w:style w:type="character" w:styleId="Emphasis">
    <w:name w:val="Emphasis"/>
    <w:aliases w:val="Evidence,Minimized,minimized,Highlighted,tag2,Size 10,emphasis in card,Underlined,CD Card,ED - Tag"/>
    <w:basedOn w:val="DefaultParagraphFont"/>
    <w:uiPriority w:val="7"/>
    <w:qFormat/>
    <w:rsid w:val="000911B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911B7"/>
    <w:rPr>
      <w:b/>
      <w:bCs/>
    </w:rPr>
  </w:style>
  <w:style w:type="character" w:customStyle="1" w:styleId="Heading3Char">
    <w:name w:val="Heading 3 Char"/>
    <w:aliases w:val="Block Char"/>
    <w:basedOn w:val="DefaultParagraphFont"/>
    <w:link w:val="Heading3"/>
    <w:uiPriority w:val="3"/>
    <w:rsid w:val="000911B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cite"/>
    <w:basedOn w:val="DefaultParagraphFont"/>
    <w:uiPriority w:val="6"/>
    <w:qFormat/>
    <w:rsid w:val="000911B7"/>
    <w:rPr>
      <w:b/>
      <w:bCs/>
      <w:sz w:val="22"/>
      <w:u w:val="single"/>
    </w:rPr>
  </w:style>
  <w:style w:type="character" w:customStyle="1" w:styleId="StyleStyleBold12pt">
    <w:name w:val="Style Style Bold + 12 pt"/>
    <w:aliases w:val="Cite,Style Style Bold,Style Style Bold + 12pt"/>
    <w:basedOn w:val="StyleBold"/>
    <w:uiPriority w:val="5"/>
    <w:qFormat/>
    <w:rsid w:val="000911B7"/>
    <w:rPr>
      <w:b/>
      <w:bCs/>
      <w:sz w:val="26"/>
      <w:u w:val="none"/>
    </w:rPr>
  </w:style>
  <w:style w:type="paragraph" w:styleId="Header">
    <w:name w:val="header"/>
    <w:basedOn w:val="Normal"/>
    <w:link w:val="HeaderChar"/>
    <w:uiPriority w:val="99"/>
    <w:semiHidden/>
    <w:rsid w:val="000911B7"/>
    <w:pPr>
      <w:tabs>
        <w:tab w:val="center" w:pos="4680"/>
        <w:tab w:val="right" w:pos="9360"/>
      </w:tabs>
    </w:pPr>
  </w:style>
  <w:style w:type="character" w:customStyle="1" w:styleId="HeaderChar">
    <w:name w:val="Header Char"/>
    <w:basedOn w:val="DefaultParagraphFont"/>
    <w:link w:val="Header"/>
    <w:uiPriority w:val="99"/>
    <w:semiHidden/>
    <w:rsid w:val="000911B7"/>
    <w:rPr>
      <w:rFonts w:ascii="Calibri" w:hAnsi="Calibri" w:cs="Calibri"/>
    </w:rPr>
  </w:style>
  <w:style w:type="paragraph" w:styleId="Footer">
    <w:name w:val="footer"/>
    <w:basedOn w:val="Normal"/>
    <w:link w:val="FooterChar"/>
    <w:uiPriority w:val="99"/>
    <w:semiHidden/>
    <w:rsid w:val="000911B7"/>
    <w:pPr>
      <w:tabs>
        <w:tab w:val="center" w:pos="4680"/>
        <w:tab w:val="right" w:pos="9360"/>
      </w:tabs>
    </w:pPr>
  </w:style>
  <w:style w:type="character" w:customStyle="1" w:styleId="FooterChar">
    <w:name w:val="Footer Char"/>
    <w:basedOn w:val="DefaultParagraphFont"/>
    <w:link w:val="Footer"/>
    <w:uiPriority w:val="99"/>
    <w:semiHidden/>
    <w:rsid w:val="000911B7"/>
    <w:rPr>
      <w:rFonts w:ascii="Calibri" w:hAnsi="Calibri" w:cs="Calibri"/>
    </w:rPr>
  </w:style>
  <w:style w:type="character" w:styleId="Hyperlink">
    <w:name w:val="Hyperlink"/>
    <w:aliases w:val="Read,Important,heading 1 (block title),Card Text"/>
    <w:basedOn w:val="DefaultParagraphFont"/>
    <w:uiPriority w:val="99"/>
    <w:rsid w:val="000911B7"/>
    <w:rPr>
      <w:color w:val="auto"/>
      <w:u w:val="none"/>
    </w:rPr>
  </w:style>
  <w:style w:type="character" w:styleId="FollowedHyperlink">
    <w:name w:val="FollowedHyperlink"/>
    <w:basedOn w:val="DefaultParagraphFont"/>
    <w:uiPriority w:val="99"/>
    <w:semiHidden/>
    <w:rsid w:val="000911B7"/>
    <w:rPr>
      <w:color w:val="auto"/>
      <w:u w:val="none"/>
    </w:rPr>
  </w:style>
  <w:style w:type="character" w:customStyle="1" w:styleId="Heading4Char">
    <w:name w:val="Heading 4 Char"/>
    <w:aliases w:val="Tag Char"/>
    <w:basedOn w:val="DefaultParagraphFont"/>
    <w:link w:val="Heading4"/>
    <w:uiPriority w:val="4"/>
    <w:rsid w:val="000911B7"/>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360capital.com.au/investor-information/glossary-of-term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bo.gov/sites/default/files/cbofiles/ftpdocs/85xx/doc8517/08-08-infrastructure.pdf)//DH" TargetMode="External"/><Relationship Id="rId5" Type="http://schemas.microsoft.com/office/2007/relationships/stylesWithEffects" Target="stylesWithEffects.xml"/><Relationship Id="rId10" Type="http://schemas.openxmlformats.org/officeDocument/2006/relationships/hyperlink" Target="http://www.pc.gov.au/__data/assets/pdf_file/0008/86930/public-infrastructure-financing.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2303</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Patel, Team 2012</dc:creator>
  <cp:lastModifiedBy>Alex Patel, Team 2012</cp:lastModifiedBy>
  <cp:revision>12</cp:revision>
  <dcterms:created xsi:type="dcterms:W3CDTF">2012-10-14T02:19:00Z</dcterms:created>
  <dcterms:modified xsi:type="dcterms:W3CDTF">2012-11-29T19:33:00Z</dcterms:modified>
</cp:coreProperties>
</file>