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55" w:rsidRDefault="00964B55" w:rsidP="00964B55">
      <w:pPr>
        <w:pStyle w:val="Heading1"/>
      </w:pPr>
      <w:r>
        <w:t>1AC</w:t>
      </w:r>
    </w:p>
    <w:p w:rsidR="00964B55" w:rsidRDefault="00964B55" w:rsidP="00964B55"/>
    <w:p w:rsidR="00964B55" w:rsidRDefault="00964B55" w:rsidP="00964B55">
      <w:pPr>
        <w:pStyle w:val="Heading2"/>
      </w:pPr>
      <w:r>
        <w:t>1ac</w:t>
      </w:r>
    </w:p>
    <w:p w:rsidR="00964B55" w:rsidRPr="00B45342" w:rsidRDefault="00964B55" w:rsidP="00964B55">
      <w:pPr>
        <w:pStyle w:val="Heading2"/>
      </w:pPr>
      <w:r w:rsidRPr="00B45342">
        <w:t>aid to democracy assistance providers is conditioned on security</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Paul Brumberg. 2010 (Acting Director, Muslim World Initiative, US Institute for Peace, USIP; “In Pursuit of Democracy and Security in the Greater Middle East”, http://www.usip.org/files/resources/Final%20working%20paper%20.pdf, mg)</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2"/>
          <w:szCs w:val="24"/>
        </w:rPr>
        <w:t>Finding 22:</w:t>
      </w:r>
      <w:r w:rsidRPr="00B45342">
        <w:rPr>
          <w:rFonts w:eastAsia="Times New Roman"/>
          <w:sz w:val="24"/>
          <w:szCs w:val="24"/>
        </w:rPr>
        <w:t xml:space="preserve"> </w:t>
      </w:r>
      <w:r w:rsidRPr="00B45342">
        <w:rPr>
          <w:rFonts w:eastAsia="Times New Roman"/>
          <w:sz w:val="24"/>
          <w:szCs w:val="24"/>
          <w:highlight w:val="yellow"/>
        </w:rPr>
        <w:t>Democracy assistance providers </w:t>
      </w:r>
      <w:r w:rsidRPr="00B45342">
        <w:rPr>
          <w:rFonts w:eastAsia="Times New Roman"/>
          <w:sz w:val="24"/>
          <w:szCs w:val="24"/>
        </w:rPr>
        <w:t>…</w:t>
      </w:r>
      <w:r w:rsidRPr="00B45342">
        <w:rPr>
          <w:rFonts w:eastAsia="Times New Roman"/>
          <w:sz w:val="22"/>
          <w:szCs w:val="24"/>
        </w:rPr>
        <w:t>Middle East democracy assistance.</w:t>
      </w:r>
      <w:r w:rsidRPr="00B45342">
        <w:rPr>
          <w:rFonts w:eastAsia="Times New Roman"/>
          <w:sz w:val="24"/>
          <w:szCs w:val="24"/>
        </w:rPr>
        <w:t> </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These conditions take the form of terrorist financing restrictions that categorically group and discursively tie muslim organizations to terrorism introducing networks of surveillance that cause them to become self-disciplining. these efforts are counterproductive and mask AMERICAN IMPERIAL VIOLENCE.</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Mona</w:t>
      </w:r>
      <w:r w:rsidRPr="00B45342">
        <w:rPr>
          <w:rFonts w:eastAsia="Times New Roman"/>
          <w:sz w:val="24"/>
          <w:szCs w:val="24"/>
        </w:rPr>
        <w:t xml:space="preserve"> Atia. 2007</w:t>
      </w:r>
      <w:r w:rsidRPr="00B45342">
        <w:rPr>
          <w:rFonts w:eastAsia="Times New Roman"/>
          <w:szCs w:val="24"/>
        </w:rPr>
        <w:t>. Department of Geography University of Washington, “In whose interest? Financial surveillance and the circuits of exception in the war on tenor,” Environment and Planning D: Society and Space 2007, volume 25, pages 447 —475</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highlight w:val="yellow"/>
        </w:rPr>
        <w:t>The designation of individuals and…</w:t>
      </w:r>
      <w:r w:rsidRPr="00B45342">
        <w:rPr>
          <w:rFonts w:eastAsia="Times New Roman"/>
          <w:sz w:val="24"/>
          <w:szCs w:val="24"/>
        </w:rPr>
        <w:t>while Islamic entities are reregulated.</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financing restrictions act as a capitalist tool for dispossession that legally and discursively produces Islamic institutions as Others whose money is differentiated and placed in a state of exception under a racist and exclusionary imperialist gaze</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Mona </w:t>
      </w:r>
      <w:r w:rsidRPr="00B45342">
        <w:rPr>
          <w:rFonts w:eastAsia="Times New Roman"/>
          <w:sz w:val="24"/>
          <w:szCs w:val="24"/>
        </w:rPr>
        <w:t xml:space="preserve">Atia. 2007. </w:t>
      </w:r>
      <w:r w:rsidRPr="00B45342">
        <w:rPr>
          <w:rFonts w:eastAsia="Times New Roman"/>
          <w:szCs w:val="24"/>
        </w:rPr>
        <w:t>Department of Geography University of Washington, “In whose interest? Financial surveillance and the circuits of exception in the war on tenor,” Environment and Planning D: Society and Space 2007, volume 25, pages 447 —475</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Maintaining the ideal climate for…</w:t>
      </w:r>
      <w:r w:rsidRPr="00B45342">
        <w:rPr>
          <w:rFonts w:eastAsia="Times New Roman"/>
          <w:sz w:val="24"/>
          <w:szCs w:val="24"/>
          <w:highlight w:val="yellow"/>
        </w:rPr>
        <w:t>legacy of the colonial present</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the association of aid with terrorism subjects middle eastern POLITICAL ORGANIZATIONS TO RACIALIZED AND FEMINIZED NORMS OF EXCLUSION AND OTHERIZATION. THIS MASKS THE ONGOING INEQUITIES OF THE GLOBAL FINANCIAL SYSTEM, politicizes the value of life and money, AND disperses SOVEREIGN exceptionalism to bureaucrats.</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Mona</w:t>
      </w:r>
      <w:r w:rsidRPr="00B45342">
        <w:rPr>
          <w:rFonts w:eastAsia="Times New Roman"/>
          <w:sz w:val="24"/>
          <w:szCs w:val="24"/>
        </w:rPr>
        <w:t xml:space="preserve"> Atia. 2007. </w:t>
      </w:r>
      <w:r w:rsidRPr="00B45342">
        <w:rPr>
          <w:rFonts w:eastAsia="Times New Roman"/>
          <w:szCs w:val="24"/>
        </w:rPr>
        <w:t>Department of Geography University of Washington, “In whose interest? Financial surveillance and the circuits of exception in the war on tenor,” Environment and Planning D: Society and Space 2007, volume 25, pages 447 —475</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highlight w:val="yellow"/>
        </w:rPr>
        <w:t>By rendering </w:t>
      </w:r>
      <w:r w:rsidRPr="00B45342">
        <w:rPr>
          <w:rFonts w:eastAsia="Times New Roman"/>
          <w:sz w:val="24"/>
          <w:szCs w:val="24"/>
        </w:rPr>
        <w:t>humanitarian </w:t>
      </w:r>
      <w:r w:rsidRPr="00B45342">
        <w:rPr>
          <w:rFonts w:eastAsia="Times New Roman"/>
          <w:sz w:val="24"/>
          <w:szCs w:val="24"/>
          <w:highlight w:val="yellow"/>
        </w:rPr>
        <w:t>aid and terrorism… which Islamic finance is a part</w:t>
      </w:r>
      <w:r w:rsidRPr="00B45342">
        <w:rPr>
          <w:rFonts w:eastAsia="Times New Roman"/>
          <w:sz w:val="24"/>
          <w:szCs w:val="24"/>
        </w:rPr>
        <w:t>.</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this system ENSURES THAT AID BECOMES AN AVENUE FOR MILITARIZATION, INEQUALITY, AND BIOPOLITICS. THE HUMANITARIAN EXPRESSION OF BIOPOLITICS IN THE WAR ON TERROR ENSURES ENLESS WARFARE AND RADICALLY DEVALUES LIFE.</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Volha</w:t>
      </w:r>
      <w:r w:rsidRPr="00B45342">
        <w:rPr>
          <w:rFonts w:eastAsia="Times New Roman"/>
          <w:sz w:val="24"/>
          <w:szCs w:val="24"/>
        </w:rPr>
        <w:t xml:space="preserve"> Piotukh. 2008. </w:t>
      </w:r>
      <w:r w:rsidRPr="00B45342">
        <w:rPr>
          <w:rFonts w:eastAsia="Times New Roman"/>
          <w:szCs w:val="24"/>
        </w:rPr>
        <w:t>PhD student, School of Politics and International Studies (POLIS), The University of Leeds, ““Humanitarian Action and the War on Terror: Some Preliminary Thoughts on a New Biopolitical Nexus”, Northern PSA Postgraduate Conference, Edinburgh, 6 June 2008, http://www.sps.ed.ac.uk/__data/assets/word_doc/0004/15691/Piotukh_Paper.doc</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Although almost two decades…</w:t>
      </w:r>
      <w:r w:rsidRPr="00B45342">
        <w:rPr>
          <w:rFonts w:eastAsia="Times New Roman"/>
          <w:sz w:val="24"/>
          <w:szCs w:val="24"/>
          <w:highlight w:val="yellow"/>
        </w:rPr>
        <w:t> only through an endless suffering”</w:t>
      </w:r>
      <w:r w:rsidRPr="00B45342">
        <w:rPr>
          <w:rFonts w:eastAsia="Times New Roman"/>
          <w:sz w:val="24"/>
          <w:szCs w:val="24"/>
        </w:rPr>
        <w:t xml:space="preserve"> </w:t>
      </w:r>
      <w:r w:rsidRPr="00B45342">
        <w:rPr>
          <w:rFonts w:eastAsia="Times New Roman"/>
          <w:sz w:val="18"/>
          <w:szCs w:val="24"/>
        </w:rPr>
        <w:t>(Wadiwel, 2003 p. 120).</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critical analysis of the role of the WOT on assistance is critical to delinking security from democracy</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Judith</w:t>
      </w:r>
      <w:r w:rsidRPr="00B45342">
        <w:rPr>
          <w:rFonts w:eastAsia="Times New Roman"/>
          <w:sz w:val="24"/>
          <w:szCs w:val="24"/>
        </w:rPr>
        <w:t xml:space="preserve"> Large. 2005</w:t>
      </w:r>
      <w:r w:rsidRPr="00B45342">
        <w:rPr>
          <w:rFonts w:eastAsia="Times New Roman"/>
          <w:szCs w:val="24"/>
        </w:rPr>
        <w:t>. International IDEA. Democracy and Terrorism. Presented at the Madrid Summit on Democracy, Terrorism and Security. http://www.idea.int/publications/dchs/upload/dchs_vol2_sec4_2.pdf</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Given that events on and subsequent…speciﬁc national democratization processes.</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Default="00964B55" w:rsidP="00964B55">
      <w:pPr>
        <w:pStyle w:val="Heading2"/>
      </w:pPr>
      <w:r>
        <w:t>***The role of the ballot is to investigate the intersection of biopower and democracy assistance.</w:t>
      </w:r>
    </w:p>
    <w:p w:rsidR="00964B55" w:rsidRDefault="00964B55" w:rsidP="00964B55"/>
    <w:p w:rsidR="00964B55" w:rsidRPr="007A61B1" w:rsidRDefault="00964B55" w:rsidP="00964B55"/>
    <w:p w:rsidR="00964B55" w:rsidRPr="00B45342" w:rsidRDefault="00964B55" w:rsidP="00964B55">
      <w:pPr>
        <w:pStyle w:val="Heading2"/>
      </w:pPr>
      <w:r w:rsidRPr="00B45342">
        <w:t>INTELLECTUAL RESISTANCE IS KEY TO UNWORKING THE HISTORICAL RELATIONSHIPS OF TRUTH AND POWER THAT ENSURE DOMINATION.</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Roger Alan</w:t>
      </w:r>
      <w:r w:rsidRPr="00B45342">
        <w:rPr>
          <w:rFonts w:eastAsia="Times New Roman"/>
          <w:sz w:val="24"/>
          <w:szCs w:val="24"/>
        </w:rPr>
        <w:t xml:space="preserve"> Deacon. 2003. </w:t>
      </w:r>
      <w:r w:rsidRPr="00B45342">
        <w:rPr>
          <w:rFonts w:eastAsia="Times New Roman"/>
          <w:szCs w:val="24"/>
        </w:rPr>
        <w:t>Political Science Researcher w/a Doctorate from U of Natal – Durban. Fabricating Foucault: Rationalising the Management of Individuals. P 272-5</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To problematize the Enlightenment…power to individual human subjects</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 </w:t>
      </w:r>
    </w:p>
    <w:p w:rsidR="00964B55" w:rsidRPr="00B45342" w:rsidRDefault="00964B55" w:rsidP="00964B55">
      <w:pPr>
        <w:pStyle w:val="Heading2"/>
      </w:pPr>
      <w:r w:rsidRPr="00B45342">
        <w:t>An aff ballot represents a critical intervention into the regimes of truth embodied by the terrorist finance restriction. Only by this politicization of our critical interrogation into knowledge and power can we create intermediate strategies within this discursive space capable of challenging multiple interlocking networks of political oppression.</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Roger Alan</w:t>
      </w:r>
      <w:r w:rsidRPr="00B45342">
        <w:rPr>
          <w:rFonts w:eastAsia="Times New Roman"/>
          <w:sz w:val="24"/>
          <w:szCs w:val="24"/>
        </w:rPr>
        <w:t xml:space="preserve"> Deacon. 2003. </w:t>
      </w:r>
      <w:r w:rsidRPr="00B45342">
        <w:rPr>
          <w:rFonts w:eastAsia="Times New Roman"/>
          <w:szCs w:val="24"/>
        </w:rPr>
        <w:t>Political Science Researcher w/a Doctorate from U of Natal – Durban. Fabricating Foucault: Rationalising the Management of Individuals. P 102-105</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18"/>
          <w:szCs w:val="24"/>
        </w:rPr>
        <w:t>And in The Order of Things he suggested…</w:t>
      </w:r>
      <w:r w:rsidRPr="00B45342">
        <w:rPr>
          <w:rFonts w:eastAsia="Times New Roman"/>
          <w:sz w:val="24"/>
          <w:szCs w:val="24"/>
          <w:highlight w:val="yellow"/>
        </w:rPr>
        <w:t>the greater their symbolic effectiveness </w:t>
      </w:r>
      <w:r w:rsidRPr="00B45342">
        <w:rPr>
          <w:rFonts w:eastAsia="Times New Roman"/>
          <w:szCs w:val="24"/>
        </w:rPr>
        <w:t>(Bourdieu 1989: 100).</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 </w:t>
      </w:r>
    </w:p>
    <w:p w:rsidR="00964B55" w:rsidRPr="00B45342" w:rsidRDefault="00964B55" w:rsidP="00964B55">
      <w:pPr>
        <w:pStyle w:val="Heading2"/>
      </w:pPr>
      <w:r w:rsidRPr="00B45342">
        <w:t>sole legal focus fails to understand the apparatus of sovereignty as the motor of exceptionalism by limiting Arab politics to administrative problems.</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Hanafi 2k10 </w:t>
      </w:r>
      <w:r w:rsidRPr="00B45342">
        <w:rPr>
          <w:rFonts w:eastAsia="Times New Roman"/>
          <w:szCs w:val="24"/>
        </w:rPr>
        <w:t>[sari, associate professor of sociology at the American U of Beirut. framing arab sociopolitical space: state governmentality, governance, and non-institutional protestation, contemporary arab affairs, vol 3, no 2, 148-162, professor of sociology]</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16"/>
        </w:rPr>
        <w:t>By unpacking the relationship …but rather blur into each other.</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16"/>
        </w:rPr>
        <w:t> </w:t>
      </w:r>
    </w:p>
    <w:p w:rsidR="00964B55" w:rsidRPr="00B45342" w:rsidRDefault="00964B55" w:rsidP="00964B55">
      <w:pPr>
        <w:pStyle w:val="Heading2"/>
      </w:pPr>
      <w:r w:rsidRPr="00B45342">
        <w:t>limiting politics to the law sponsors a binary between and precludes our ability to use the debate space to undo the dominant languages of power</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Alex Murray. 2010. Giorgio Agamben. P 75-6</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Cs w:val="24"/>
        </w:rPr>
        <w:t>The striking nature of Agamben's…the horizon of his work</w:t>
      </w:r>
      <w:r w:rsidRPr="00B45342">
        <w:rPr>
          <w:rFonts w:eastAsia="Times New Roman"/>
          <w:sz w:val="24"/>
          <w:szCs w:val="24"/>
        </w:rPr>
        <w:t>.</w:t>
      </w:r>
    </w:p>
    <w:p w:rsidR="00964B55" w:rsidRPr="007A61B1" w:rsidRDefault="00964B55" w:rsidP="00964B55">
      <w:r w:rsidRPr="00B45342">
        <w:t> </w:t>
      </w:r>
    </w:p>
    <w:p w:rsidR="00964B55" w:rsidRPr="00B45342" w:rsidRDefault="00964B55" w:rsidP="00964B55">
      <w:pPr>
        <w:pStyle w:val="Heading2"/>
      </w:pPr>
      <w:r w:rsidRPr="00B45342">
        <w:t>BY PLACING SUBJECTS INTO AGONISTIC CONTESTATION OVER RELATIONS OF INCLUSION AND EXCLUSION, DEMOCRACY BECOMES LOCKED INTO THE CIVILIZING, US/THEM LOGIC OF THE WAR ON TERROR.</w:t>
      </w:r>
    </w:p>
    <w:p w:rsidR="00964B55" w:rsidRPr="00B45342" w:rsidRDefault="00964B55" w:rsidP="00964B55">
      <w:pPr>
        <w:spacing w:before="100" w:beforeAutospacing="1" w:after="100" w:afterAutospacing="1"/>
        <w:rPr>
          <w:rFonts w:eastAsia="Times New Roman"/>
          <w:sz w:val="24"/>
          <w:szCs w:val="24"/>
        </w:rPr>
      </w:pPr>
      <w:r w:rsidRPr="00B45342">
        <w:rPr>
          <w:rFonts w:eastAsia="Times New Roman"/>
          <w:sz w:val="24"/>
          <w:szCs w:val="24"/>
        </w:rPr>
        <w:t>Ince 2009</w:t>
      </w:r>
      <w:r w:rsidRPr="00B45342">
        <w:rPr>
          <w:rFonts w:eastAsia="Times New Roman"/>
          <w:b/>
          <w:bCs/>
          <w:sz w:val="24"/>
          <w:szCs w:val="24"/>
        </w:rPr>
        <w:t> </w:t>
      </w:r>
      <w:r w:rsidRPr="00B45342">
        <w:rPr>
          <w:rFonts w:eastAsia="Times New Roman"/>
          <w:szCs w:val="24"/>
        </w:rPr>
        <w:t>Onur Ulas Ince, Cornell University - Department of Government, The Return of the Schmittian: Radical Democratic Theory at its Limits, October 7, 2009, http://ssrn.com/abstract=1675583</w:t>
      </w:r>
    </w:p>
    <w:p w:rsidR="00964B55" w:rsidRDefault="00964B55" w:rsidP="00964B55">
      <w:pPr>
        <w:spacing w:before="100" w:beforeAutospacing="1" w:after="100" w:afterAutospacing="1"/>
        <w:rPr>
          <w:rFonts w:eastAsia="Times New Roman"/>
          <w:sz w:val="18"/>
          <w:szCs w:val="24"/>
        </w:rPr>
      </w:pPr>
      <w:r w:rsidRPr="00B45342">
        <w:rPr>
          <w:rFonts w:eastAsia="Times New Roman"/>
          <w:b/>
          <w:bCs/>
          <w:sz w:val="14"/>
          <w:szCs w:val="24"/>
        </w:rPr>
        <w:t>Conclusion </w:t>
      </w:r>
      <w:r w:rsidRPr="00B45342">
        <w:rPr>
          <w:rFonts w:eastAsia="Times New Roman"/>
          <w:sz w:val="14"/>
          <w:szCs w:val="24"/>
        </w:rPr>
        <w:t> If my critical take on Mouffe…</w:t>
      </w:r>
      <w:r w:rsidRPr="00B45342">
        <w:rPr>
          <w:rFonts w:eastAsia="Times New Roman"/>
          <w:sz w:val="18"/>
          <w:szCs w:val="24"/>
        </w:rPr>
        <w:t>the challenge of Schmitt.  </w:t>
      </w:r>
    </w:p>
    <w:p w:rsidR="00964B55" w:rsidRDefault="00964B55" w:rsidP="00964B55"/>
    <w:p w:rsidR="00964B55" w:rsidRDefault="00964B55" w:rsidP="00964B55"/>
    <w:p w:rsidR="00964B55" w:rsidRDefault="00964B55" w:rsidP="00964B55"/>
    <w:p w:rsidR="00964B55" w:rsidRDefault="00964B55" w:rsidP="00964B55">
      <w:pPr>
        <w:pStyle w:val="Heading2"/>
      </w:pPr>
      <w:r>
        <w:t>Formulating community based upon common language produces discardable lives that are denied that fairness promised by democratic pluralism</w:t>
      </w:r>
    </w:p>
    <w:p w:rsidR="00964B55" w:rsidRDefault="00964B55" w:rsidP="00964B55">
      <w:r>
        <w:t>(Brett Levinson, 2004, “Market and Thought: Mediations on the political and biopolitical.” 59-74)</w:t>
      </w:r>
    </w:p>
    <w:p w:rsidR="00964B55" w:rsidRDefault="00964B55" w:rsidP="00964B55"/>
    <w:p w:rsidR="00964B55" w:rsidRDefault="00964B55" w:rsidP="00964B55">
      <w:r>
        <w:t>It is now the moment …and “desacrilegization” of its victims.</w:t>
      </w:r>
    </w:p>
    <w:p w:rsidR="00964B55" w:rsidRDefault="00964B55" w:rsidP="00964B55"/>
    <w:p w:rsidR="00212067" w:rsidRPr="00AB2556" w:rsidRDefault="00212067" w:rsidP="00AB2556"/>
    <w:sectPr w:rsidR="00212067" w:rsidRPr="00AB2556" w:rsidSect="0086416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B55" w:rsidRDefault="00964B55" w:rsidP="00261634">
      <w:r>
        <w:separator/>
      </w:r>
    </w:p>
  </w:endnote>
  <w:endnote w:type="continuationSeparator" w:id="0">
    <w:p w:rsidR="00964B55" w:rsidRDefault="00964B55"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7353FA">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B55" w:rsidRDefault="00964B55" w:rsidP="00261634">
      <w:r>
        <w:separator/>
      </w:r>
    </w:p>
  </w:footnote>
  <w:footnote w:type="continuationSeparator" w:id="0">
    <w:p w:rsidR="00964B55" w:rsidRDefault="00964B55"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7353FA"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3FA"/>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55"/>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4B55"/>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92C08-F883-4D6A-8382-4D852D6B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5019</Characters>
  <Application>Microsoft Office Word</Application>
  <DocSecurity>0</DocSecurity>
  <Lines>119</Lines>
  <Paragraphs>62</Paragraphs>
  <ScaleCrop>false</ScaleCrop>
  <Company>Liberty University</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2012-04-02T00:15:00Z</dcterms:created>
  <dcterms:modified xsi:type="dcterms:W3CDTF">2012-04-02T00:16:00Z</dcterms:modified>
</cp:coreProperties>
</file>