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24" w:rsidRDefault="00674B24" w:rsidP="00443415">
      <w:pPr>
        <w:pStyle w:val="Heading2"/>
      </w:pPr>
      <w:r>
        <w:t>1NC</w:t>
      </w:r>
    </w:p>
    <w:p w:rsidR="00674B24" w:rsidRDefault="00674B24" w:rsidP="00674B24">
      <w:pPr>
        <w:pStyle w:val="Heading3"/>
        <w:numPr>
          <w:ilvl w:val="0"/>
          <w:numId w:val="1"/>
        </w:numPr>
      </w:pPr>
      <w:r>
        <w:t>Interpretation: “Its democracy assistance” means aid is must be provided to recipients directly or through intermediaries under the control of the United States.</w:t>
      </w:r>
      <w:r w:rsidRPr="00C1297C">
        <w:t xml:space="preserve"> </w:t>
      </w:r>
    </w:p>
    <w:p w:rsidR="00674B24" w:rsidRPr="008C39EB" w:rsidRDefault="00674B24" w:rsidP="00674B24">
      <w:pPr>
        <w:pStyle w:val="Heading3"/>
      </w:pPr>
      <w:r>
        <w:t>“</w:t>
      </w:r>
      <w:r w:rsidRPr="002F5C12">
        <w:t>Its</w:t>
      </w:r>
      <w:r>
        <w:t>”</w:t>
      </w:r>
      <w:r w:rsidRPr="002F5C12">
        <w:t xml:space="preserve"> denotes possession</w:t>
      </w:r>
      <w:r>
        <w:rPr>
          <w:rStyle w:val="StyleTimesNewRoman12ptBold"/>
        </w:rPr>
        <w:t xml:space="preserve"> </w:t>
      </w:r>
    </w:p>
    <w:p w:rsidR="00674B24" w:rsidRPr="00036DCA" w:rsidRDefault="00674B24" w:rsidP="00674B24">
      <w:r w:rsidRPr="002F5C12">
        <w:rPr>
          <w:rStyle w:val="StyleDate"/>
        </w:rPr>
        <w:t>Glossary of English 05</w:t>
      </w:r>
      <w:r w:rsidRPr="00036DCA">
        <w:t xml:space="preserve">  </w:t>
      </w:r>
    </w:p>
    <w:p w:rsidR="00674B24" w:rsidRPr="002F5C12" w:rsidRDefault="00674B24" w:rsidP="00674B24">
      <w:pPr>
        <w:rPr>
          <w:b/>
        </w:rPr>
      </w:pPr>
      <w:r w:rsidRPr="002F5C12">
        <w:rPr>
          <w:rStyle w:val="StyleStyleBold12pt"/>
        </w:rPr>
        <w:t>(http://www.usingenglish.com/glossary/possessive-pronoun.html)</w:t>
      </w:r>
    </w:p>
    <w:p w:rsidR="00674B24" w:rsidRDefault="00674B24" w:rsidP="00674B24">
      <w:pPr>
        <w:rPr>
          <w:rStyle w:val="StyleBoldUnderline"/>
        </w:rPr>
      </w:pPr>
      <w:r w:rsidRPr="002D6E6D">
        <w:rPr>
          <w:sz w:val="16"/>
        </w:rPr>
        <w:t xml:space="preserve">Mine, yours, his, hers, </w:t>
      </w:r>
    </w:p>
    <w:p w:rsidR="00674B24" w:rsidRDefault="00674B24" w:rsidP="00674B24">
      <w:pPr>
        <w:rPr>
          <w:sz w:val="16"/>
        </w:rPr>
      </w:pPr>
      <w:r>
        <w:rPr>
          <w:sz w:val="16"/>
        </w:rPr>
        <w:t xml:space="preserve">AND </w:t>
      </w:r>
    </w:p>
    <w:p w:rsidR="00674B24" w:rsidRDefault="00674B24" w:rsidP="00674B24">
      <w:pPr>
        <w:rPr>
          <w:sz w:val="16"/>
        </w:rPr>
      </w:pPr>
      <w:proofErr w:type="gramStart"/>
      <w:r w:rsidRPr="002D6E6D">
        <w:rPr>
          <w:sz w:val="16"/>
        </w:rPr>
        <w:t>disk</w:t>
      </w:r>
      <w:proofErr w:type="gramEnd"/>
      <w:r w:rsidRPr="002D6E6D">
        <w:rPr>
          <w:sz w:val="16"/>
        </w:rPr>
        <w:t xml:space="preserve"> and shows that it belongs to me.)</w:t>
      </w:r>
    </w:p>
    <w:p w:rsidR="00674B24" w:rsidRDefault="00674B24" w:rsidP="00674B24">
      <w:pPr>
        <w:pStyle w:val="Heading3"/>
      </w:pPr>
      <w:r w:rsidRPr="00BB7521">
        <w:t>Possession means control over</w:t>
      </w:r>
    </w:p>
    <w:p w:rsidR="00674B24" w:rsidRPr="007D60DC" w:rsidRDefault="00674B24" w:rsidP="00674B24">
      <w:pPr>
        <w:rPr>
          <w:rStyle w:val="StyleStyleBold12pt"/>
        </w:rPr>
      </w:pPr>
      <w:r w:rsidRPr="007D60DC">
        <w:rPr>
          <w:rStyle w:val="StyleDate"/>
        </w:rPr>
        <w:t>Oxford Dictionaries ‘11</w:t>
      </w:r>
      <w:r w:rsidRPr="007D60DC">
        <w:rPr>
          <w:rStyle w:val="StyleStyleBold12pt"/>
        </w:rPr>
        <w:t>, http://oxforddictionaries.com/definition/possession</w:t>
      </w:r>
    </w:p>
    <w:p w:rsidR="00674B24" w:rsidRDefault="00674B24" w:rsidP="00674B24">
      <w:r>
        <w:t>Possession</w:t>
      </w:r>
    </w:p>
    <w:p w:rsidR="00674B24" w:rsidRDefault="00674B24" w:rsidP="00674B24">
      <w:r>
        <w:t>AND</w:t>
      </w:r>
    </w:p>
    <w:p w:rsidR="00674B24" w:rsidRDefault="00674B24" w:rsidP="00674B24">
      <w:proofErr w:type="gramStart"/>
      <w:r>
        <w:t>he</w:t>
      </w:r>
      <w:proofErr w:type="gramEnd"/>
      <w:r>
        <w:t xml:space="preserve"> remains in full possession of his sanity</w:t>
      </w:r>
    </w:p>
    <w:p w:rsidR="00674B24" w:rsidRPr="00BB7521" w:rsidRDefault="00674B24" w:rsidP="00674B24">
      <w:pPr>
        <w:pStyle w:val="Heading3"/>
        <w:numPr>
          <w:ilvl w:val="0"/>
          <w:numId w:val="1"/>
        </w:numPr>
      </w:pPr>
      <w:r w:rsidRPr="00BB7521">
        <w:t>Violation – The US does not have control over aid routed through multilateral organizations – once it becomes multilateral assistance it is no longer “offered by” the United States</w:t>
      </w:r>
    </w:p>
    <w:p w:rsidR="00674B24" w:rsidRDefault="00674B24" w:rsidP="00674B24">
      <w:pPr>
        <w:rPr>
          <w:rStyle w:val="StyleStyleBold12pt"/>
        </w:rPr>
      </w:pPr>
      <w:r>
        <w:rPr>
          <w:rStyle w:val="StyleStyleBold12pt"/>
        </w:rPr>
        <w:t xml:space="preserve">Martin A. </w:t>
      </w:r>
      <w:r w:rsidRPr="0059515E">
        <w:rPr>
          <w:rStyle w:val="StyleDate"/>
        </w:rPr>
        <w:t>Weiss</w:t>
      </w:r>
      <w:r>
        <w:rPr>
          <w:rStyle w:val="StyleStyleBold12pt"/>
        </w:rPr>
        <w:t xml:space="preserve"> - Analyst in International Trade and Finance Foreign Affairs, Defense, and Trade @ </w:t>
      </w:r>
      <w:r w:rsidRPr="0059515E">
        <w:rPr>
          <w:rStyle w:val="StyleDate"/>
        </w:rPr>
        <w:t>CRS</w:t>
      </w:r>
      <w:r>
        <w:rPr>
          <w:rStyle w:val="StyleStyleBold12pt"/>
        </w:rPr>
        <w:t xml:space="preserve"> – 4/1/</w:t>
      </w:r>
      <w:r w:rsidRPr="0059515E">
        <w:rPr>
          <w:rStyle w:val="StyleDate"/>
        </w:rPr>
        <w:t>08</w:t>
      </w:r>
      <w:r>
        <w:rPr>
          <w:rStyle w:val="StyleStyleBold12pt"/>
        </w:rPr>
        <w:t>, The World Bank’s International Development Association (IDA), http://www.policyarchive.org/handle/10207/bitstreams/3225.pdf</w:t>
      </w:r>
    </w:p>
    <w:p w:rsidR="00674B24" w:rsidRDefault="00674B24" w:rsidP="00674B24">
      <w:r w:rsidRPr="0059515E">
        <w:t xml:space="preserve"> On the other hand, some analysts </w:t>
      </w:r>
    </w:p>
    <w:p w:rsidR="00674B24" w:rsidRDefault="00674B24" w:rsidP="00674B24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674B24" w:rsidRPr="0059515E" w:rsidRDefault="00674B24" w:rsidP="00674B24">
      <w:pPr>
        <w:rPr>
          <w:rStyle w:val="StyleBoldUnderline"/>
        </w:rPr>
      </w:pPr>
      <w:proofErr w:type="gramStart"/>
      <w:r w:rsidRPr="00BB7521">
        <w:rPr>
          <w:rStyle w:val="StyleBoldUnderline"/>
          <w:b/>
          <w:highlight w:val="cyan"/>
        </w:rPr>
        <w:t>offered</w:t>
      </w:r>
      <w:proofErr w:type="gramEnd"/>
      <w:r w:rsidRPr="00BB7521">
        <w:rPr>
          <w:rStyle w:val="StyleBoldUnderline"/>
          <w:b/>
          <w:highlight w:val="cyan"/>
        </w:rPr>
        <w:t xml:space="preserve"> by the U</w:t>
      </w:r>
      <w:r w:rsidRPr="0059515E">
        <w:rPr>
          <w:rStyle w:val="StyleBoldUnderline"/>
          <w:b/>
        </w:rPr>
        <w:t xml:space="preserve">nited </w:t>
      </w:r>
      <w:r w:rsidRPr="00BB7521">
        <w:rPr>
          <w:rStyle w:val="StyleBoldUnderline"/>
          <w:b/>
          <w:highlight w:val="cyan"/>
        </w:rPr>
        <w:t>S</w:t>
      </w:r>
      <w:r w:rsidRPr="0059515E">
        <w:rPr>
          <w:rStyle w:val="StyleBoldUnderline"/>
          <w:b/>
        </w:rPr>
        <w:t>tates</w:t>
      </w:r>
      <w:r w:rsidRPr="0059515E">
        <w:rPr>
          <w:rStyle w:val="StyleBoldUnderline"/>
        </w:rPr>
        <w:t xml:space="preserve"> for domestic political</w:t>
      </w:r>
      <w:r>
        <w:rPr>
          <w:rStyle w:val="StyleBoldUnderline"/>
        </w:rPr>
        <w:t xml:space="preserve"> </w:t>
      </w:r>
      <w:r w:rsidRPr="0059515E">
        <w:rPr>
          <w:rStyle w:val="StyleBoldUnderline"/>
        </w:rPr>
        <w:t>reasons</w:t>
      </w:r>
    </w:p>
    <w:p w:rsidR="00674B24" w:rsidRDefault="00674B24" w:rsidP="00674B24">
      <w:pPr>
        <w:pStyle w:val="Heading3"/>
      </w:pPr>
      <w:r>
        <w:t xml:space="preserve">Vote negative </w:t>
      </w:r>
    </w:p>
    <w:p w:rsidR="00674B24" w:rsidRDefault="00674B24" w:rsidP="00674B24">
      <w:pPr>
        <w:pStyle w:val="Heading3"/>
        <w:numPr>
          <w:ilvl w:val="0"/>
          <w:numId w:val="2"/>
        </w:numPr>
      </w:pPr>
      <w:r>
        <w:t xml:space="preserve">Ground – The best </w:t>
      </w:r>
      <w:proofErr w:type="spellStart"/>
      <w:r>
        <w:t>neg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like backlash and “USAID bad” are based on the </w:t>
      </w:r>
      <w:r w:rsidRPr="00147B76">
        <w:rPr>
          <w:u w:val="single"/>
        </w:rPr>
        <w:t>US-implemented</w:t>
      </w:r>
      <w:r>
        <w:t xml:space="preserve"> democracy assistance – Even if there are lots of different </w:t>
      </w:r>
      <w:proofErr w:type="spellStart"/>
      <w:r>
        <w:t>aff’s</w:t>
      </w:r>
      <w:proofErr w:type="spellEnd"/>
      <w:r>
        <w:t xml:space="preserve">, US implementation guarantees the </w:t>
      </w:r>
      <w:proofErr w:type="spellStart"/>
      <w:r>
        <w:t>neg</w:t>
      </w:r>
      <w:proofErr w:type="spellEnd"/>
      <w:r>
        <w:t xml:space="preserve"> will have something to say</w:t>
      </w:r>
    </w:p>
    <w:p w:rsidR="00674B24" w:rsidRPr="00ED1790" w:rsidRDefault="00674B24" w:rsidP="00674B24">
      <w:pPr>
        <w:pStyle w:val="Heading3"/>
        <w:numPr>
          <w:ilvl w:val="0"/>
          <w:numId w:val="2"/>
        </w:numPr>
      </w:pPr>
      <w:r>
        <w:t xml:space="preserve">Predictable limits – Going through a third party changes how the assistance is </w:t>
      </w:r>
      <w:r w:rsidRPr="00147B76">
        <w:rPr>
          <w:u w:val="single"/>
        </w:rPr>
        <w:t>implemented</w:t>
      </w:r>
      <w:r>
        <w:t xml:space="preserve"> which the negative cannot be prepared for and introduces </w:t>
      </w:r>
      <w:r w:rsidRPr="00147B76">
        <w:rPr>
          <w:u w:val="single"/>
        </w:rPr>
        <w:t>200 new</w:t>
      </w:r>
      <w:r>
        <w:t xml:space="preserve"> unpredictable advantage areas based on relations.</w:t>
      </w:r>
    </w:p>
    <w:p w:rsidR="00674B24" w:rsidRDefault="00674B24" w:rsidP="00383E0A"/>
    <w:p w:rsidR="00674B24" w:rsidRDefault="00674B24" w:rsidP="00443415">
      <w:pPr>
        <w:pStyle w:val="Heading2"/>
      </w:pPr>
      <w:r>
        <w:t>2NC</w:t>
      </w:r>
    </w:p>
    <w:p w:rsidR="00674B24" w:rsidRPr="00404802" w:rsidRDefault="00674B24" w:rsidP="00674B24">
      <w:pPr>
        <w:pStyle w:val="Heading3"/>
      </w:pPr>
      <w:r>
        <w:t xml:space="preserve">Multilateral assistance is only </w:t>
      </w:r>
      <w:r>
        <w:rPr>
          <w:u w:val="single"/>
        </w:rPr>
        <w:t>indirect assistance</w:t>
      </w:r>
      <w:r>
        <w:t xml:space="preserve"> – the US has no control over donations after they are made</w:t>
      </w:r>
    </w:p>
    <w:p w:rsidR="00674B24" w:rsidRPr="004D17DD" w:rsidRDefault="00674B24" w:rsidP="00674B24">
      <w:pPr>
        <w:rPr>
          <w:rStyle w:val="StyleStyleBold12pt"/>
        </w:rPr>
      </w:pPr>
      <w:proofErr w:type="spellStart"/>
      <w:r w:rsidRPr="004D17DD">
        <w:rPr>
          <w:rStyle w:val="StyleDate"/>
        </w:rPr>
        <w:t>Kates</w:t>
      </w:r>
      <w:proofErr w:type="spellEnd"/>
      <w:r w:rsidRPr="004D17DD">
        <w:rPr>
          <w:rStyle w:val="StyleDate"/>
        </w:rPr>
        <w:t xml:space="preserve"> and </w:t>
      </w:r>
      <w:proofErr w:type="spellStart"/>
      <w:r w:rsidRPr="004D17DD">
        <w:rPr>
          <w:rStyle w:val="StyleDate"/>
        </w:rPr>
        <w:t>Lief</w:t>
      </w:r>
      <w:proofErr w:type="spellEnd"/>
      <w:r w:rsidRPr="004D17DD">
        <w:rPr>
          <w:rStyle w:val="StyleStyleBold12pt"/>
        </w:rPr>
        <w:t xml:space="preserve"> – VP HIV Policy @ Kaiser Foundation and Sr. Associate, CSIS – </w:t>
      </w:r>
      <w:r w:rsidRPr="004D17DD">
        <w:rPr>
          <w:rStyle w:val="StyleDate"/>
        </w:rPr>
        <w:t>2006</w:t>
      </w:r>
      <w:r w:rsidRPr="004D17DD">
        <w:rPr>
          <w:rStyle w:val="StyleStyleBold12pt"/>
        </w:rPr>
        <w:t xml:space="preserve"> (last cite), INTERNATIONAL ASSISTANCE FOR HIV/AIDS IN THE DEVELOPING WORLD: TAKING STOCK OF THE G8, OTHER DONOR GOVERNMENTS, AND THE EUROPEAN COMMISSION, (Jennifer </w:t>
      </w:r>
      <w:proofErr w:type="spellStart"/>
      <w:r w:rsidRPr="004D17DD">
        <w:rPr>
          <w:rStyle w:val="StyleStyleBold12pt"/>
        </w:rPr>
        <w:t>Kates</w:t>
      </w:r>
      <w:proofErr w:type="spellEnd"/>
      <w:r w:rsidRPr="004D17DD">
        <w:rPr>
          <w:rStyle w:val="StyleStyleBold12pt"/>
        </w:rPr>
        <w:t xml:space="preserve">, Vice President and Director, HIV Policy, Kaiser Family Foundation and Eric </w:t>
      </w:r>
      <w:proofErr w:type="spellStart"/>
      <w:r w:rsidRPr="004D17DD">
        <w:rPr>
          <w:rStyle w:val="StyleStyleBold12pt"/>
        </w:rPr>
        <w:t>lief</w:t>
      </w:r>
      <w:proofErr w:type="spellEnd"/>
      <w:r w:rsidRPr="004D17DD">
        <w:rPr>
          <w:rStyle w:val="StyleStyleBold12pt"/>
        </w:rPr>
        <w:t>, Senior Associate, Center for Strategic and International Studies; Consultant to UNAIDS), http://data.unaids.org/pub/Report/2006/20060731-kff-international-assistance_en.pdf</w:t>
      </w:r>
    </w:p>
    <w:p w:rsidR="00674B24" w:rsidRDefault="00674B24" w:rsidP="00674B24">
      <w:r>
        <w:t xml:space="preserve">b. Bilateral and Multilateral Channels for Assistance </w:t>
      </w:r>
    </w:p>
    <w:p w:rsidR="00674B24" w:rsidRDefault="00674B24" w:rsidP="00674B24">
      <w:r>
        <w:t>AND</w:t>
      </w:r>
    </w:p>
    <w:p w:rsidR="00674B24" w:rsidRDefault="00674B24" w:rsidP="00674B24">
      <w:proofErr w:type="gramStart"/>
      <w:r>
        <w:t>the</w:t>
      </w:r>
      <w:proofErr w:type="gramEnd"/>
      <w:r>
        <w:t xml:space="preserve"> multilateral organization acts as an implementing agent.</w:t>
      </w:r>
    </w:p>
    <w:p w:rsidR="00674B24" w:rsidRDefault="00674B24" w:rsidP="00674B24">
      <w:pPr>
        <w:pStyle w:val="Heading3"/>
      </w:pPr>
      <w:r>
        <w:t xml:space="preserve">Independently, “for” </w:t>
      </w:r>
      <w:bookmarkStart w:id="0" w:name="_GoBack"/>
      <w:bookmarkEnd w:id="0"/>
      <w:r>
        <w:t xml:space="preserve">means only </w:t>
      </w:r>
      <w:r w:rsidRPr="001404BF">
        <w:rPr>
          <w:u w:val="single"/>
        </w:rPr>
        <w:t>direct assistance</w:t>
      </w:r>
      <w:r>
        <w:t xml:space="preserve"> is topical</w:t>
      </w:r>
    </w:p>
    <w:p w:rsidR="00674B24" w:rsidRDefault="00674B24" w:rsidP="00674B24">
      <w:pPr>
        <w:rPr>
          <w:rFonts w:ascii="Times New Roman" w:hAnsi="Times New Roman"/>
        </w:rPr>
      </w:pPr>
      <w:r w:rsidRPr="002F5C12">
        <w:rPr>
          <w:rStyle w:val="StyleDate"/>
        </w:rPr>
        <w:t xml:space="preserve">WORDS AND PHRASES </w:t>
      </w:r>
      <w:r>
        <w:rPr>
          <w:rStyle w:val="StyleDate"/>
        </w:rPr>
        <w:t>04</w:t>
      </w:r>
      <w:r w:rsidRPr="000D251F">
        <w:rPr>
          <w:rFonts w:ascii="Times New Roman" w:hAnsi="Times New Roman"/>
        </w:rPr>
        <w:t xml:space="preserve"> </w:t>
      </w:r>
    </w:p>
    <w:p w:rsidR="00674B24" w:rsidRPr="002F5C12" w:rsidRDefault="00674B24" w:rsidP="00674B24">
      <w:pPr>
        <w:rPr>
          <w:rStyle w:val="StyleStyleBold12pt"/>
        </w:rPr>
      </w:pPr>
      <w:r w:rsidRPr="002F5C12">
        <w:rPr>
          <w:rStyle w:val="StyleStyleBold12pt"/>
        </w:rPr>
        <w:t>(Words and Phrases Permanent Editio</w:t>
      </w:r>
      <w:r>
        <w:rPr>
          <w:rStyle w:val="StyleStyleBold12pt"/>
        </w:rPr>
        <w:t>n, “For,” Volume 17, p. 338-343)</w:t>
      </w:r>
    </w:p>
    <w:p w:rsidR="00674B24" w:rsidRDefault="00674B24" w:rsidP="00674B24">
      <w:r w:rsidRPr="000D251F">
        <w:t xml:space="preserve"> </w:t>
      </w:r>
      <w:proofErr w:type="spellStart"/>
      <w:proofErr w:type="gramStart"/>
      <w:r w:rsidRPr="000D251F">
        <w:t>W.D.Tenn</w:t>
      </w:r>
      <w:proofErr w:type="spellEnd"/>
      <w:r w:rsidRPr="000D251F">
        <w:t>. 1942</w:t>
      </w:r>
      <w:r w:rsidRPr="002F5C12">
        <w:t>.</w:t>
      </w:r>
      <w:proofErr w:type="gramEnd"/>
      <w:r w:rsidRPr="002F5C12">
        <w:t xml:space="preserve"> </w:t>
      </w:r>
      <w:r w:rsidRPr="002F5C12">
        <w:rPr>
          <w:rStyle w:val="StyleBoldUnderline"/>
        </w:rPr>
        <w:t xml:space="preserve">The </w:t>
      </w:r>
      <w:r w:rsidRPr="002F5C12">
        <w:t xml:space="preserve">Fair Labor </w:t>
      </w:r>
    </w:p>
    <w:p w:rsidR="00674B24" w:rsidRDefault="00674B24" w:rsidP="00674B24">
      <w:r>
        <w:t>AND</w:t>
      </w:r>
    </w:p>
    <w:p w:rsidR="00674B24" w:rsidRPr="002F5C12" w:rsidRDefault="00674B24" w:rsidP="00674B24">
      <w:pPr>
        <w:rPr>
          <w:rStyle w:val="StyleBoldUnderline"/>
        </w:rPr>
      </w:pPr>
      <w:proofErr w:type="gramStart"/>
      <w:r w:rsidRPr="002F5C12">
        <w:rPr>
          <w:rStyle w:val="StyleBoldUnderline"/>
        </w:rPr>
        <w:t>which</w:t>
      </w:r>
      <w:proofErr w:type="gramEnd"/>
      <w:r w:rsidRPr="002F5C12">
        <w:rPr>
          <w:rStyle w:val="StyleBoldUnderline"/>
        </w:rPr>
        <w:t xml:space="preserve"> only “affects” a certain purpose which implies an indirect relation.</w:t>
      </w:r>
    </w:p>
    <w:p w:rsidR="00674B24" w:rsidRPr="00782E72" w:rsidRDefault="00674B24" w:rsidP="00674B24">
      <w:pPr>
        <w:pStyle w:val="Heading3"/>
      </w:pPr>
      <w:r w:rsidRPr="0061352E">
        <w:t xml:space="preserve">2) Intermediaries do meet our interpretation - “Its” democracy assistance can operate through </w:t>
      </w:r>
      <w:r w:rsidRPr="0061352E">
        <w:rPr>
          <w:u w:val="single"/>
        </w:rPr>
        <w:t>contracts</w:t>
      </w:r>
      <w:r w:rsidRPr="0061352E">
        <w:t xml:space="preserve"> – the US retains ultimate control over the assistance</w:t>
      </w:r>
    </w:p>
    <w:p w:rsidR="00674B24" w:rsidRPr="00F13314" w:rsidRDefault="00674B24" w:rsidP="00674B24">
      <w:pPr>
        <w:rPr>
          <w:rStyle w:val="StyleStyleBold12pt"/>
        </w:rPr>
      </w:pPr>
      <w:r w:rsidRPr="00F13314">
        <w:rPr>
          <w:rStyle w:val="StyleStyleBold12pt"/>
        </w:rPr>
        <w:t xml:space="preserve">Lee </w:t>
      </w:r>
      <w:r w:rsidRPr="00F13314">
        <w:rPr>
          <w:rStyle w:val="StyleDate"/>
        </w:rPr>
        <w:t>Marsden</w:t>
      </w:r>
      <w:r w:rsidRPr="00F13314">
        <w:rPr>
          <w:rStyle w:val="StyleStyleBold12pt"/>
        </w:rPr>
        <w:t xml:space="preserve"> – Postdoctoral Fellow in the Department of Political, Social and International Studies, University of East Anglia, Norwich, UK. - </w:t>
      </w:r>
      <w:r w:rsidRPr="00F13314">
        <w:rPr>
          <w:rStyle w:val="StyleDate"/>
        </w:rPr>
        <w:t>2005</w:t>
      </w:r>
      <w:r w:rsidRPr="00F13314">
        <w:rPr>
          <w:rStyle w:val="StyleStyleBold12pt"/>
        </w:rPr>
        <w:t xml:space="preserve">, Lesson From Russia: Clinton and US Democracy Promotion, </w:t>
      </w:r>
      <w:proofErr w:type="spellStart"/>
      <w:r w:rsidRPr="00F13314">
        <w:rPr>
          <w:rStyle w:val="StyleStyleBold12pt"/>
        </w:rPr>
        <w:t>googlebooks</w:t>
      </w:r>
      <w:proofErr w:type="spellEnd"/>
      <w:r w:rsidRPr="00F13314">
        <w:rPr>
          <w:rStyle w:val="StyleStyleBold12pt"/>
        </w:rPr>
        <w:t xml:space="preserve"> </w:t>
      </w:r>
    </w:p>
    <w:p w:rsidR="00674B24" w:rsidRDefault="00674B24" w:rsidP="00674B24">
      <w:pPr>
        <w:rPr>
          <w:rStyle w:val="StyleBoldUnderline"/>
          <w:highlight w:val="cyan"/>
        </w:rPr>
      </w:pPr>
      <w:r w:rsidRPr="0061352E">
        <w:rPr>
          <w:rStyle w:val="StyleBoldUnderline"/>
          <w:highlight w:val="cyan"/>
        </w:rPr>
        <w:t xml:space="preserve">US democracy assistance operates in the interest of </w:t>
      </w:r>
    </w:p>
    <w:p w:rsidR="00674B24" w:rsidRDefault="00674B24" w:rsidP="00674B24">
      <w:r>
        <w:t xml:space="preserve">AND </w:t>
      </w:r>
    </w:p>
    <w:p w:rsidR="00674B24" w:rsidRDefault="00674B24" w:rsidP="00674B24">
      <w:proofErr w:type="gramStart"/>
      <w:r>
        <w:t>their</w:t>
      </w:r>
      <w:proofErr w:type="gramEnd"/>
      <w:r>
        <w:t xml:space="preserve"> tasks providing they could report positive results.</w:t>
      </w:r>
    </w:p>
    <w:p w:rsidR="00674B24" w:rsidRDefault="00674B24" w:rsidP="00674B24"/>
    <w:p w:rsidR="00674B24" w:rsidRDefault="00674B24" w:rsidP="00674B24">
      <w:pPr>
        <w:pStyle w:val="Heading3"/>
      </w:pPr>
      <w:r w:rsidRPr="00474A7B">
        <w:t xml:space="preserve">Each of the 100s of multilateral organizations can have </w:t>
      </w:r>
      <w:r w:rsidRPr="00474A7B">
        <w:rPr>
          <w:u w:val="single"/>
        </w:rPr>
        <w:t>several</w:t>
      </w:r>
      <w:r w:rsidRPr="00474A7B">
        <w:t xml:space="preserve"> democracy assistance programs – here’s a sample:</w:t>
      </w:r>
    </w:p>
    <w:p w:rsidR="00674B24" w:rsidRPr="009935C7" w:rsidRDefault="00674B24" w:rsidP="00674B24">
      <w:pPr>
        <w:rPr>
          <w:rStyle w:val="StyleStyleBold12pt"/>
        </w:rPr>
      </w:pPr>
      <w:r w:rsidRPr="009935C7">
        <w:rPr>
          <w:rStyle w:val="StyleDate"/>
        </w:rPr>
        <w:t>McFaul et al</w:t>
      </w:r>
      <w:r w:rsidRPr="009935C7">
        <w:rPr>
          <w:rStyle w:val="StyleStyleBold12pt"/>
        </w:rPr>
        <w:t xml:space="preserve"> – deputy </w:t>
      </w:r>
      <w:proofErr w:type="spellStart"/>
      <w:r w:rsidRPr="009935C7">
        <w:rPr>
          <w:rStyle w:val="StyleStyleBold12pt"/>
        </w:rPr>
        <w:t>dir</w:t>
      </w:r>
      <w:proofErr w:type="spellEnd"/>
      <w:r w:rsidRPr="009935C7">
        <w:rPr>
          <w:rStyle w:val="StyleStyleBold12pt"/>
        </w:rPr>
        <w:t xml:space="preserve"> Freeman </w:t>
      </w:r>
      <w:proofErr w:type="spellStart"/>
      <w:r w:rsidRPr="009935C7">
        <w:rPr>
          <w:rStyle w:val="StyleStyleBold12pt"/>
        </w:rPr>
        <w:t>Spogli</w:t>
      </w:r>
      <w:proofErr w:type="spellEnd"/>
      <w:r w:rsidRPr="009935C7">
        <w:rPr>
          <w:rStyle w:val="StyleStyleBold12pt"/>
        </w:rPr>
        <w:t xml:space="preserve"> Institute for International Studies, </w:t>
      </w:r>
      <w:proofErr w:type="spellStart"/>
      <w:r w:rsidRPr="009935C7">
        <w:rPr>
          <w:rStyle w:val="StyleStyleBold12pt"/>
        </w:rPr>
        <w:t>poli</w:t>
      </w:r>
      <w:proofErr w:type="spellEnd"/>
      <w:r w:rsidRPr="009935C7">
        <w:rPr>
          <w:rStyle w:val="StyleStyleBold12pt"/>
        </w:rPr>
        <w:t xml:space="preserve"> </w:t>
      </w:r>
      <w:proofErr w:type="spellStart"/>
      <w:r w:rsidRPr="009935C7">
        <w:rPr>
          <w:rStyle w:val="StyleStyleBold12pt"/>
        </w:rPr>
        <w:t>sci</w:t>
      </w:r>
      <w:proofErr w:type="spellEnd"/>
      <w:r w:rsidRPr="009935C7">
        <w:rPr>
          <w:rStyle w:val="StyleStyleBold12pt"/>
        </w:rPr>
        <w:t xml:space="preserve"> prof @ Stanford, Senior Fellow at the Hoover Institution – </w:t>
      </w:r>
      <w:r w:rsidRPr="009935C7">
        <w:rPr>
          <w:rStyle w:val="StyleDate"/>
        </w:rPr>
        <w:t>2006</w:t>
      </w:r>
      <w:r w:rsidRPr="009935C7">
        <w:rPr>
          <w:rStyle w:val="StyleStyleBold12pt"/>
        </w:rPr>
        <w:t xml:space="preserve"> </w:t>
      </w:r>
      <w:r>
        <w:rPr>
          <w:rStyle w:val="StyleStyleBold12pt"/>
        </w:rPr>
        <w:t xml:space="preserve">(last cite), </w:t>
      </w:r>
      <w:r w:rsidRPr="009935C7">
        <w:rPr>
          <w:rStyle w:val="StyleStyleBold12pt"/>
        </w:rPr>
        <w:t xml:space="preserve">EVALUATING INTERNATIONAL INFLUENCES ON DEMOCRATIC  DEVELOPMENT: WORKING PAPER, (Michael McFaul, </w:t>
      </w:r>
      <w:proofErr w:type="spellStart"/>
      <w:r w:rsidRPr="009935C7">
        <w:rPr>
          <w:rStyle w:val="StyleStyleBold12pt"/>
        </w:rPr>
        <w:t>Amichai</w:t>
      </w:r>
      <w:proofErr w:type="spellEnd"/>
      <w:r w:rsidRPr="009935C7">
        <w:rPr>
          <w:rStyle w:val="StyleStyleBold12pt"/>
        </w:rPr>
        <w:t xml:space="preserve"> </w:t>
      </w:r>
      <w:proofErr w:type="spellStart"/>
      <w:r w:rsidRPr="009935C7">
        <w:rPr>
          <w:rStyle w:val="StyleStyleBold12pt"/>
        </w:rPr>
        <w:t>Magen</w:t>
      </w:r>
      <w:proofErr w:type="spellEnd"/>
      <w:r w:rsidRPr="009935C7">
        <w:rPr>
          <w:rStyle w:val="StyleStyleBold12pt"/>
        </w:rPr>
        <w:t xml:space="preserve"> &amp; Kathryn Stoner-Weiss), Center on Democracy, Development, and the Rule of Law, http://iis-db.stanford.edu/res/2278/Evaluating_International_Influences_-_Transitions_-_Concept_Paper.pdf </w:t>
      </w:r>
    </w:p>
    <w:p w:rsidR="00674B24" w:rsidRDefault="00674B24" w:rsidP="00674B24">
      <w:pPr>
        <w:rPr>
          <w:rStyle w:val="StyleBoldUnderline"/>
          <w:highlight w:val="cyan"/>
        </w:rPr>
      </w:pPr>
      <w:r>
        <w:t xml:space="preserve">Second, </w:t>
      </w:r>
      <w:r w:rsidRPr="00474A7B">
        <w:rPr>
          <w:rStyle w:val="StyleBoldUnderline"/>
          <w:highlight w:val="cyan"/>
        </w:rPr>
        <w:t xml:space="preserve">we will examine the role of </w:t>
      </w:r>
    </w:p>
    <w:p w:rsidR="00674B24" w:rsidRDefault="00674B24" w:rsidP="00674B24">
      <w:r>
        <w:t xml:space="preserve">AND </w:t>
      </w:r>
    </w:p>
    <w:p w:rsidR="00674B24" w:rsidRPr="009935C7" w:rsidRDefault="00674B24" w:rsidP="00674B24">
      <w:proofErr w:type="gramStart"/>
      <w:r>
        <w:t>with</w:t>
      </w:r>
      <w:proofErr w:type="gramEnd"/>
      <w:r>
        <w:t xml:space="preserve"> the African and Pacific group of countries.</w:t>
      </w:r>
    </w:p>
    <w:p w:rsidR="00674B24" w:rsidRPr="00F9577B" w:rsidRDefault="00674B24" w:rsidP="00674B24"/>
    <w:p w:rsidR="00674B24" w:rsidRPr="00383E0A" w:rsidRDefault="00674B24" w:rsidP="00383E0A"/>
    <w:sectPr w:rsidR="00674B24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54" w:rsidRDefault="00A31054" w:rsidP="005F5576">
      <w:r>
        <w:separator/>
      </w:r>
    </w:p>
  </w:endnote>
  <w:endnote w:type="continuationSeparator" w:id="0">
    <w:p w:rsidR="00A31054" w:rsidRDefault="00A3105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54" w:rsidRDefault="00A31054" w:rsidP="005F5576">
      <w:r>
        <w:separator/>
      </w:r>
    </w:p>
  </w:footnote>
  <w:footnote w:type="continuationSeparator" w:id="0">
    <w:p w:rsidR="00A31054" w:rsidRDefault="00A3105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0E88"/>
    <w:multiLevelType w:val="hybridMultilevel"/>
    <w:tmpl w:val="C03EA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0005"/>
    <w:multiLevelType w:val="hybridMultilevel"/>
    <w:tmpl w:val="4DDA0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C1D73"/>
    <w:multiLevelType w:val="hybridMultilevel"/>
    <w:tmpl w:val="B83E9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C12DF"/>
    <w:multiLevelType w:val="hybridMultilevel"/>
    <w:tmpl w:val="FD64A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24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43415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74B24"/>
    <w:rsid w:val="00683154"/>
    <w:rsid w:val="00690115"/>
    <w:rsid w:val="00693039"/>
    <w:rsid w:val="006E53F0"/>
    <w:rsid w:val="006F7CDF"/>
    <w:rsid w:val="00700BDB"/>
    <w:rsid w:val="00701E73"/>
    <w:rsid w:val="00732A1C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31054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74B24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">
    <w:name w:val="card"/>
    <w:basedOn w:val="Normal"/>
    <w:next w:val="Normal"/>
    <w:autoRedefine/>
    <w:qFormat/>
    <w:rsid w:val="00674B24"/>
    <w:pPr>
      <w:ind w:left="288" w:right="288"/>
      <w:jc w:val="left"/>
    </w:pPr>
    <w:rPr>
      <w:rFonts w:ascii="Times New Roman" w:eastAsia="Times New Roman" w:hAnsi="Times New Roman"/>
      <w:sz w:val="18"/>
    </w:rPr>
  </w:style>
  <w:style w:type="character" w:customStyle="1" w:styleId="DebateHighlighted">
    <w:name w:val="Debate Highlighted"/>
    <w:rsid w:val="00674B24"/>
    <w:rPr>
      <w:rFonts w:ascii="Times New Roman" w:hAnsi="Times New Roman" w:cs="Times New Roman" w:hint="default"/>
      <w:sz w:val="20"/>
      <w:u w:val="thick"/>
      <w:bdr w:val="none" w:sz="0" w:space="0" w:color="auto" w:frame="1"/>
      <w:shd w:val="clear" w:color="auto" w:fill="00FFFF"/>
    </w:rPr>
  </w:style>
  <w:style w:type="character" w:customStyle="1" w:styleId="UnderlineChar">
    <w:name w:val="Underline Char"/>
    <w:locked/>
    <w:rsid w:val="00674B24"/>
    <w:rPr>
      <w:rFonts w:ascii="Arial Narrow" w:hAnsi="Arial Narrow" w:hint="default"/>
      <w:szCs w:val="22"/>
      <w:u w:val="thick"/>
    </w:rPr>
  </w:style>
  <w:style w:type="character" w:customStyle="1" w:styleId="CiteChar">
    <w:name w:val="Cite Char"/>
    <w:locked/>
    <w:rsid w:val="00674B24"/>
    <w:rPr>
      <w:rFonts w:ascii="Arial Narrow" w:hAnsi="Arial Narrow" w:hint="default"/>
      <w:b/>
      <w:bCs w:val="0"/>
      <w:sz w:val="24"/>
      <w:szCs w:val="22"/>
      <w:u w:val="thick"/>
    </w:rPr>
  </w:style>
  <w:style w:type="character" w:customStyle="1" w:styleId="Style4Char">
    <w:name w:val="Style4 Char"/>
    <w:rsid w:val="00674B24"/>
    <w:rPr>
      <w:rFonts w:ascii="Arial Narrow" w:hAnsi="Arial Narrow" w:hint="default"/>
      <w:sz w:val="24"/>
      <w:szCs w:val="24"/>
      <w:u w:val="single"/>
    </w:rPr>
  </w:style>
  <w:style w:type="character" w:customStyle="1" w:styleId="StyleTimesNewRoman12ptBold">
    <w:name w:val="Style Times New Roman 12 pt Bold"/>
    <w:rsid w:val="00674B24"/>
    <w:rPr>
      <w:rFonts w:ascii="Times New Roman" w:hAnsi="Times New Roman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74B24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">
    <w:name w:val="card"/>
    <w:basedOn w:val="Normal"/>
    <w:next w:val="Normal"/>
    <w:autoRedefine/>
    <w:qFormat/>
    <w:rsid w:val="00674B24"/>
    <w:pPr>
      <w:ind w:left="288" w:right="288"/>
      <w:jc w:val="left"/>
    </w:pPr>
    <w:rPr>
      <w:rFonts w:ascii="Times New Roman" w:eastAsia="Times New Roman" w:hAnsi="Times New Roman"/>
      <w:sz w:val="18"/>
    </w:rPr>
  </w:style>
  <w:style w:type="character" w:customStyle="1" w:styleId="DebateHighlighted">
    <w:name w:val="Debate Highlighted"/>
    <w:rsid w:val="00674B24"/>
    <w:rPr>
      <w:rFonts w:ascii="Times New Roman" w:hAnsi="Times New Roman" w:cs="Times New Roman" w:hint="default"/>
      <w:sz w:val="20"/>
      <w:u w:val="thick"/>
      <w:bdr w:val="none" w:sz="0" w:space="0" w:color="auto" w:frame="1"/>
      <w:shd w:val="clear" w:color="auto" w:fill="00FFFF"/>
    </w:rPr>
  </w:style>
  <w:style w:type="character" w:customStyle="1" w:styleId="UnderlineChar">
    <w:name w:val="Underline Char"/>
    <w:locked/>
    <w:rsid w:val="00674B24"/>
    <w:rPr>
      <w:rFonts w:ascii="Arial Narrow" w:hAnsi="Arial Narrow" w:hint="default"/>
      <w:szCs w:val="22"/>
      <w:u w:val="thick"/>
    </w:rPr>
  </w:style>
  <w:style w:type="character" w:customStyle="1" w:styleId="CiteChar">
    <w:name w:val="Cite Char"/>
    <w:locked/>
    <w:rsid w:val="00674B24"/>
    <w:rPr>
      <w:rFonts w:ascii="Arial Narrow" w:hAnsi="Arial Narrow" w:hint="default"/>
      <w:b/>
      <w:bCs w:val="0"/>
      <w:sz w:val="24"/>
      <w:szCs w:val="22"/>
      <w:u w:val="thick"/>
    </w:rPr>
  </w:style>
  <w:style w:type="character" w:customStyle="1" w:styleId="Style4Char">
    <w:name w:val="Style4 Char"/>
    <w:rsid w:val="00674B24"/>
    <w:rPr>
      <w:rFonts w:ascii="Arial Narrow" w:hAnsi="Arial Narrow" w:hint="default"/>
      <w:sz w:val="24"/>
      <w:szCs w:val="24"/>
      <w:u w:val="single"/>
    </w:rPr>
  </w:style>
  <w:style w:type="character" w:customStyle="1" w:styleId="StyleTimesNewRoman12ptBold">
    <w:name w:val="Style Times New Roman 12 pt Bold"/>
    <w:rsid w:val="00674B24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14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2</cp:revision>
  <dcterms:created xsi:type="dcterms:W3CDTF">2012-01-07T00:50:00Z</dcterms:created>
  <dcterms:modified xsi:type="dcterms:W3CDTF">2012-01-07T01:08:00Z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