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66F" w:rsidRPr="00E2288F" w:rsidRDefault="0014466F" w:rsidP="001446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14466F" w:rsidRPr="00F279CB" w:rsidRDefault="0014466F" w:rsidP="0014466F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 w:frame="1"/>
        </w:rPr>
      </w:pPr>
      <w:proofErr w:type="gramStart"/>
      <w:r w:rsidRPr="00F279CB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 w:frame="1"/>
        </w:rPr>
        <w:t>history</w:t>
      </w:r>
      <w:proofErr w:type="gramEnd"/>
      <w:r w:rsidRPr="00F279CB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 w:frame="1"/>
        </w:rPr>
        <w:t xml:space="preserve"> of </w:t>
      </w:r>
      <w:proofErr w:type="spellStart"/>
      <w:r w:rsidRPr="00F279CB">
        <w:rPr>
          <w:rFonts w:ascii="Times New Roman" w:eastAsia="Times New Roman" w:hAnsi="Times New Roman" w:cs="Times New Roman"/>
          <w:b/>
          <w:sz w:val="20"/>
          <w:szCs w:val="20"/>
          <w:bdr w:val="none" w:sz="0" w:space="0" w:color="auto" w:frame="1"/>
        </w:rPr>
        <w:t>egypt</w:t>
      </w:r>
      <w:proofErr w:type="spellEnd"/>
    </w:p>
    <w:p w:rsidR="0014466F" w:rsidRPr="00F279CB" w:rsidRDefault="0014466F" w:rsidP="0014466F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</w:p>
    <w:p w:rsidR="0014466F" w:rsidRPr="00F279CB" w:rsidRDefault="0014466F" w:rsidP="0014466F">
      <w:pPr>
        <w:spacing w:after="0" w:line="240" w:lineRule="auto"/>
        <w:rPr>
          <w:rStyle w:val="updated-short-citation"/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</w:pPr>
      <w:r w:rsidRPr="00E2288F">
        <w:rPr>
          <w:rFonts w:ascii="Times New Roman" w:eastAsia="Times New Roman" w:hAnsi="Times New Roman" w:cs="Times New Roman"/>
          <w:b/>
          <w:sz w:val="20"/>
          <w:szCs w:val="20"/>
          <w:u w:val="single"/>
          <w:bdr w:val="none" w:sz="0" w:space="0" w:color="auto" w:frame="1"/>
        </w:rPr>
        <w:t xml:space="preserve">Although the </w:t>
      </w:r>
      <w:proofErr w:type="gramStart"/>
      <w:r w:rsidRPr="00E2288F">
        <w:rPr>
          <w:rFonts w:ascii="Times New Roman" w:eastAsia="Times New Roman" w:hAnsi="Times New Roman" w:cs="Times New Roman"/>
          <w:b/>
          <w:sz w:val="20"/>
          <w:szCs w:val="20"/>
          <w:u w:val="single"/>
          <w:bdr w:val="none" w:sz="0" w:space="0" w:color="auto" w:frame="1"/>
        </w:rPr>
        <w:t>world</w:t>
      </w:r>
      <w:r w:rsidRPr="00E2288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, </w:t>
      </w:r>
      <w:r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…</w:t>
      </w:r>
      <w:r w:rsidRPr="00E2288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written</w:t>
      </w:r>
      <w:proofErr w:type="gramEnd"/>
      <w:r w:rsidRPr="00E2288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in their language </w:t>
      </w:r>
      <w:proofErr w:type="spellStart"/>
      <w:r w:rsidRPr="00E2288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>Medu-Neter</w:t>
      </w:r>
      <w:proofErr w:type="spellEnd"/>
      <w:r w:rsidRPr="00E2288F">
        <w:rPr>
          <w:rFonts w:ascii="Times New Roman" w:eastAsia="Times New Roman" w:hAnsi="Times New Roman" w:cs="Times New Roman"/>
          <w:sz w:val="20"/>
          <w:szCs w:val="20"/>
          <w:bdr w:val="none" w:sz="0" w:space="0" w:color="auto" w:frame="1"/>
        </w:rPr>
        <w:t xml:space="preserve"> (or hieroglyphics as a block of wood charred at the ends). (P.1) </w:t>
      </w:r>
      <w:r w:rsidRPr="00E2288F">
        <w:rPr>
          <w:rFonts w:ascii="Times New Roman" w:eastAsia="Times New Roman" w:hAnsi="Times New Roman" w:cs="Times New Roman"/>
          <w:b/>
          <w:bCs/>
          <w:sz w:val="18"/>
          <w:szCs w:val="18"/>
          <w:bdr w:val="none" w:sz="0" w:space="0" w:color="auto" w:frame="1"/>
        </w:rPr>
        <w:t xml:space="preserve"> </w:t>
      </w:r>
      <w:proofErr w:type="spellStart"/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>Khpera</w:t>
      </w:r>
      <w:proofErr w:type="spellEnd"/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2288F">
        <w:rPr>
          <w:rStyle w:val="updated-short-citation"/>
          <w:rFonts w:ascii="Times New Roman" w:hAnsi="Times New Roman" w:cs="Times New Roman"/>
          <w:b/>
          <w:sz w:val="18"/>
          <w:szCs w:val="18"/>
          <w:bdr w:val="none" w:sz="0" w:space="0" w:color="auto" w:frame="1"/>
        </w:rPr>
        <w:t>Saafu</w:t>
      </w:r>
      <w:proofErr w:type="spellEnd"/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E2288F">
        <w:rPr>
          <w:rStyle w:val="updated-short-citation"/>
          <w:rFonts w:ascii="Times New Roman" w:hAnsi="Times New Roman" w:cs="Times New Roman"/>
          <w:b/>
          <w:sz w:val="18"/>
          <w:szCs w:val="18"/>
          <w:bdr w:val="none" w:sz="0" w:space="0" w:color="auto" w:frame="1"/>
        </w:rPr>
        <w:t>2000</w:t>
      </w:r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E2288F"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>Ancient Egypt</w:t>
      </w:r>
      <w:r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 xml:space="preserve"> </w:t>
      </w:r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>New African, 01429345, Oct 2000, Issue 389</w:t>
      </w:r>
    </w:p>
    <w:p w:rsidR="0014466F" w:rsidRPr="00E2288F" w:rsidRDefault="0014466F" w:rsidP="0014466F">
      <w:pPr>
        <w:spacing w:after="0" w:line="240" w:lineRule="auto"/>
        <w:rPr>
          <w:rFonts w:ascii="Times New Roman" w:hAnsi="Times New Roman" w:cs="Times New Roman"/>
        </w:rPr>
      </w:pPr>
    </w:p>
    <w:p w:rsidR="0014466F" w:rsidRPr="00E2288F" w:rsidRDefault="0014466F" w:rsidP="0014466F">
      <w:pPr>
        <w:spacing w:after="0" w:line="240" w:lineRule="auto"/>
        <w:rPr>
          <w:rFonts w:ascii="Times New Roman" w:hAnsi="Times New Roman" w:cs="Times New Roman"/>
        </w:rPr>
      </w:pPr>
    </w:p>
    <w:p w:rsidR="0014466F" w:rsidRPr="00E2288F" w:rsidRDefault="0014466F" w:rsidP="0014466F">
      <w:pPr>
        <w:shd w:val="clear" w:color="auto" w:fill="FFFFFF"/>
        <w:spacing w:after="0" w:line="270" w:lineRule="atLeast"/>
        <w:jc w:val="both"/>
        <w:textAlignment w:val="baseline"/>
        <w:rPr>
          <w:rStyle w:val="updated-short-citation"/>
          <w:rFonts w:ascii="Times New Roman" w:hAnsi="Times New Roman" w:cs="Times New Roman"/>
          <w:b/>
          <w:sz w:val="18"/>
          <w:szCs w:val="18"/>
          <w:bdr w:val="none" w:sz="0" w:space="0" w:color="auto" w:frame="1"/>
        </w:rPr>
      </w:pPr>
      <w:r w:rsidRPr="00E2288F">
        <w:rPr>
          <w:rStyle w:val="updated-short-citation"/>
          <w:rFonts w:ascii="Times New Roman" w:hAnsi="Times New Roman" w:cs="Times New Roman"/>
          <w:b/>
          <w:sz w:val="18"/>
          <w:szCs w:val="18"/>
          <w:bdr w:val="none" w:sz="0" w:space="0" w:color="auto" w:frame="1"/>
        </w:rPr>
        <w:t xml:space="preserve">THE HISTORY OF GREECE </w:t>
      </w:r>
    </w:p>
    <w:p w:rsidR="0014466F" w:rsidRPr="00E2288F" w:rsidRDefault="0014466F" w:rsidP="0014466F">
      <w:pPr>
        <w:shd w:val="clear" w:color="auto" w:fill="FFFFFF"/>
        <w:spacing w:after="0" w:line="270" w:lineRule="atLeast"/>
        <w:jc w:val="both"/>
        <w:textAlignment w:val="baseline"/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</w:pPr>
    </w:p>
    <w:p w:rsidR="0014466F" w:rsidRPr="00E2288F" w:rsidRDefault="0014466F" w:rsidP="0014466F">
      <w:pPr>
        <w:shd w:val="clear" w:color="auto" w:fill="FFFFFF"/>
        <w:spacing w:after="0" w:line="270" w:lineRule="atLeast"/>
        <w:jc w:val="both"/>
        <w:textAlignment w:val="baseline"/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</w:pPr>
      <w:proofErr w:type="spellStart"/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>Khpera</w:t>
      </w:r>
      <w:proofErr w:type="spellEnd"/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E2288F">
        <w:rPr>
          <w:rStyle w:val="updated-short-citation"/>
          <w:rFonts w:ascii="Times New Roman" w:hAnsi="Times New Roman" w:cs="Times New Roman"/>
          <w:b/>
          <w:sz w:val="18"/>
          <w:szCs w:val="18"/>
          <w:bdr w:val="none" w:sz="0" w:space="0" w:color="auto" w:frame="1"/>
        </w:rPr>
        <w:t>Saafu</w:t>
      </w:r>
      <w:proofErr w:type="spellEnd"/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E2288F">
        <w:rPr>
          <w:rStyle w:val="updated-short-citation"/>
          <w:rFonts w:ascii="Times New Roman" w:hAnsi="Times New Roman" w:cs="Times New Roman"/>
          <w:b/>
          <w:sz w:val="18"/>
          <w:szCs w:val="18"/>
          <w:bdr w:val="none" w:sz="0" w:space="0" w:color="auto" w:frame="1"/>
        </w:rPr>
        <w:t>2000</w:t>
      </w:r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 </w:t>
      </w:r>
      <w:r w:rsidRPr="00E2288F"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>Ancient Egypt:</w:t>
      </w:r>
      <w:r w:rsidRPr="00E2288F">
        <w:rPr>
          <w:rStyle w:val="apple-converted-space"/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> </w:t>
      </w:r>
      <w:r w:rsidRPr="00E2288F">
        <w:rPr>
          <w:rFonts w:ascii="Times New Roman" w:hAnsi="Times New Roman" w:cs="Times New Roman"/>
          <w:sz w:val="18"/>
          <w:szCs w:val="18"/>
          <w:bdr w:val="none" w:sz="0" w:space="0" w:color="auto" w:frame="1"/>
          <w:shd w:val="clear" w:color="auto" w:fill="FFFFFF"/>
        </w:rPr>
        <w:t>Africa's stolen legacy.</w:t>
      </w:r>
      <w:r w:rsidRPr="00E2288F">
        <w:rPr>
          <w:rStyle w:val="apple-converted-space"/>
          <w:rFonts w:ascii="Times New Roman" w:hAnsi="Times New Roman" w:cs="Times New Roman"/>
          <w:sz w:val="18"/>
          <w:szCs w:val="18"/>
          <w:bdr w:val="none" w:sz="0" w:space="0" w:color="auto" w:frame="1"/>
        </w:rPr>
        <w:t> </w:t>
      </w:r>
      <w:r w:rsidRPr="00E2288F">
        <w:rPr>
          <w:rStyle w:val="updated-short-citation"/>
          <w:rFonts w:ascii="Times New Roman" w:hAnsi="Times New Roman" w:cs="Times New Roman"/>
          <w:sz w:val="18"/>
          <w:szCs w:val="18"/>
          <w:bdr w:val="none" w:sz="0" w:space="0" w:color="auto" w:frame="1"/>
        </w:rPr>
        <w:t xml:space="preserve"> New African, 01429345, Oct 2000, Issue 389 p.2</w:t>
      </w:r>
    </w:p>
    <w:p w:rsidR="0014466F" w:rsidRPr="00E2288F" w:rsidRDefault="0014466F" w:rsidP="0014466F">
      <w:pPr>
        <w:shd w:val="clear" w:color="auto" w:fill="FFFFFF"/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</w:pPr>
    </w:p>
    <w:p w:rsidR="0014466F" w:rsidRPr="00E2288F" w:rsidRDefault="0014466F" w:rsidP="0014466F">
      <w:pPr>
        <w:shd w:val="clear" w:color="auto" w:fill="FFFFFF"/>
        <w:spacing w:after="0" w:line="270" w:lineRule="atLeast"/>
        <w:jc w:val="both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 w:rsidRPr="00E2288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This principle saturated 18th century European consciousness</w:t>
      </w:r>
      <w:r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…</w:t>
      </w:r>
      <w:r w:rsidRPr="00E2288F">
        <w:rPr>
          <w:rFonts w:ascii="Times New Roman" w:eastAsia="Times New Roman" w:hAnsi="Times New Roman" w:cs="Times New Roman"/>
          <w:b/>
          <w:sz w:val="18"/>
          <w:szCs w:val="18"/>
          <w:u w:val="single"/>
          <w:bdr w:val="none" w:sz="0" w:space="0" w:color="auto" w:frame="1"/>
        </w:rPr>
        <w:t>commodities in the context of human advancement</w:t>
      </w:r>
      <w:r w:rsidRPr="00E2288F">
        <w:rPr>
          <w:rFonts w:ascii="Times New Roman" w:eastAsia="Times New Roman" w:hAnsi="Times New Roman" w:cs="Times New Roman"/>
          <w:sz w:val="18"/>
          <w:szCs w:val="18"/>
          <w:bdr w:val="none" w:sz="0" w:space="0" w:color="auto" w:frame="1"/>
        </w:rPr>
        <w:t>.</w:t>
      </w:r>
    </w:p>
    <w:p w:rsidR="0014466F" w:rsidRPr="00E2288F" w:rsidRDefault="0014466F" w:rsidP="0014466F">
      <w:pPr>
        <w:pStyle w:val="card"/>
        <w:ind w:left="0"/>
        <w:rPr>
          <w:b/>
        </w:rPr>
      </w:pPr>
    </w:p>
    <w:p w:rsidR="0014466F" w:rsidRPr="00E2288F" w:rsidRDefault="0014466F" w:rsidP="0014466F">
      <w:pPr>
        <w:pStyle w:val="NoSpacing"/>
        <w:rPr>
          <w:rStyle w:val="apple-style-span"/>
          <w:rFonts w:ascii="Times New Roman" w:hAnsi="Times New Roman" w:cs="Times New Roman"/>
          <w:sz w:val="20"/>
          <w:szCs w:val="20"/>
        </w:rPr>
      </w:pPr>
      <w:proofErr w:type="spellStart"/>
      <w:r w:rsidRPr="00E2288F">
        <w:rPr>
          <w:rFonts w:ascii="Times New Roman" w:hAnsi="Times New Roman" w:cs="Times New Roman"/>
          <w:b/>
          <w:sz w:val="20"/>
          <w:szCs w:val="20"/>
        </w:rPr>
        <w:t>Vardalos</w:t>
      </w:r>
      <w:proofErr w:type="spellEnd"/>
      <w:r w:rsidRPr="00E2288F">
        <w:rPr>
          <w:rFonts w:ascii="Times New Roman" w:hAnsi="Times New Roman" w:cs="Times New Roman"/>
          <w:b/>
          <w:sz w:val="20"/>
          <w:szCs w:val="20"/>
        </w:rPr>
        <w:t xml:space="preserve"> 09</w:t>
      </w:r>
      <w:r w:rsidRPr="00E2288F">
        <w:rPr>
          <w:rFonts w:ascii="Times New Roman" w:hAnsi="Times New Roman" w:cs="Times New Roman"/>
          <w:sz w:val="20"/>
          <w:szCs w:val="20"/>
        </w:rPr>
        <w:t xml:space="preserve"> (Marianne “</w:t>
      </w:r>
      <w:r w:rsidRPr="00E2288F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>Raising Good global citizens: </w:t>
      </w:r>
      <w:r w:rsidRPr="00E2288F">
        <w:rPr>
          <w:rStyle w:val="apple-converted-space"/>
          <w:rFonts w:ascii="Times New Roman" w:hAnsi="Times New Roman" w:cs="Times New Roman"/>
          <w:sz w:val="20"/>
          <w:szCs w:val="20"/>
          <w:shd w:val="clear" w:color="auto" w:fill="FFFFFF"/>
        </w:rPr>
        <w:t> </w:t>
      </w:r>
      <w:r w:rsidRPr="00E2288F">
        <w:rPr>
          <w:rStyle w:val="apple-style-span"/>
          <w:rFonts w:ascii="Times New Roman" w:hAnsi="Times New Roman" w:cs="Times New Roman"/>
          <w:sz w:val="20"/>
          <w:szCs w:val="20"/>
          <w:shd w:val="clear" w:color="auto" w:fill="FFFFFF"/>
        </w:rPr>
        <w:t>Liberal Humanism as a Philanthropic Rationale for Imperialism”</w:t>
      </w:r>
      <w:r w:rsidRPr="00E2288F">
        <w:rPr>
          <w:rFonts w:ascii="Times New Roman" w:hAnsi="Times New Roman" w:cs="Times New Roman"/>
          <w:sz w:val="20"/>
          <w:szCs w:val="20"/>
        </w:rPr>
        <w:t xml:space="preserve"> in The White Supremacist State: </w:t>
      </w:r>
      <w:proofErr w:type="spellStart"/>
      <w:r w:rsidRPr="00E2288F">
        <w:rPr>
          <w:rFonts w:ascii="Times New Roman" w:hAnsi="Times New Roman" w:cs="Times New Roman"/>
          <w:sz w:val="20"/>
          <w:szCs w:val="20"/>
        </w:rPr>
        <w:t>Eurocentrism</w:t>
      </w:r>
      <w:proofErr w:type="spellEnd"/>
      <w:r w:rsidRPr="00E2288F">
        <w:rPr>
          <w:rFonts w:ascii="Times New Roman" w:hAnsi="Times New Roman" w:cs="Times New Roman"/>
          <w:sz w:val="20"/>
          <w:szCs w:val="20"/>
        </w:rPr>
        <w:t xml:space="preserve">, Imperialism, Colonialism, Racism </w:t>
      </w:r>
      <w:r w:rsidRPr="00E2288F">
        <w:rPr>
          <w:rStyle w:val="apple-style-span"/>
          <w:rFonts w:ascii="Times New Roman" w:hAnsi="Times New Roman" w:cs="Times New Roman"/>
          <w:sz w:val="20"/>
          <w:szCs w:val="20"/>
        </w:rPr>
        <w:t xml:space="preserve">Arnold H. </w:t>
      </w:r>
      <w:proofErr w:type="spellStart"/>
      <w:r w:rsidRPr="00E2288F">
        <w:rPr>
          <w:rStyle w:val="apple-style-span"/>
          <w:rFonts w:ascii="Times New Roman" w:hAnsi="Times New Roman" w:cs="Times New Roman"/>
          <w:sz w:val="20"/>
          <w:szCs w:val="20"/>
        </w:rPr>
        <w:t>Itwaru</w:t>
      </w:r>
      <w:proofErr w:type="spellEnd"/>
      <w:r w:rsidRPr="00E2288F">
        <w:rPr>
          <w:rStyle w:val="apple-style-span"/>
          <w:rFonts w:ascii="Times New Roman" w:hAnsi="Times New Roman" w:cs="Times New Roman"/>
          <w:sz w:val="20"/>
          <w:szCs w:val="20"/>
        </w:rPr>
        <w:t>, ed. 2009 p. 243-260)</w:t>
      </w:r>
    </w:p>
    <w:p w:rsidR="0014466F" w:rsidRPr="00E2288F" w:rsidRDefault="0014466F" w:rsidP="0014466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14466F" w:rsidRPr="00E2288F" w:rsidRDefault="0014466F" w:rsidP="0014466F">
      <w:pPr>
        <w:pStyle w:val="NoSpacing"/>
        <w:rPr>
          <w:rFonts w:ascii="Times New Roman" w:hAnsi="Times New Roman" w:cs="Times New Roman"/>
          <w:b/>
          <w:sz w:val="23"/>
          <w:szCs w:val="23"/>
          <w:u w:val="single"/>
        </w:rPr>
      </w:pPr>
      <w:r w:rsidRPr="00E2288F">
        <w:rPr>
          <w:rFonts w:ascii="Times New Roman" w:hAnsi="Times New Roman" w:cs="Times New Roman"/>
          <w:sz w:val="18"/>
          <w:szCs w:val="18"/>
        </w:rPr>
        <w:t xml:space="preserve">It is within </w:t>
      </w:r>
      <w:proofErr w:type="gramStart"/>
      <w:r w:rsidRPr="00E2288F">
        <w:rPr>
          <w:rFonts w:ascii="Times New Roman" w:hAnsi="Times New Roman" w:cs="Times New Roman"/>
          <w:sz w:val="18"/>
          <w:szCs w:val="18"/>
        </w:rPr>
        <w:t xml:space="preserve">this </w:t>
      </w:r>
      <w:r>
        <w:rPr>
          <w:rFonts w:ascii="Times New Roman" w:hAnsi="Times New Roman" w:cs="Times New Roman"/>
          <w:sz w:val="18"/>
          <w:szCs w:val="18"/>
        </w:rPr>
        <w:t>.</w:t>
      </w:r>
      <w:proofErr w:type="gramEnd"/>
      <w:r w:rsidRPr="00E2288F">
        <w:rPr>
          <w:rFonts w:ascii="Times New Roman" w:hAnsi="Times New Roman" w:cs="Times New Roman"/>
          <w:b/>
          <w:sz w:val="23"/>
          <w:szCs w:val="23"/>
          <w:u w:val="single"/>
        </w:rPr>
        <w:t xml:space="preserve"> </w:t>
      </w:r>
      <w:proofErr w:type="gramStart"/>
      <w:r w:rsidRPr="00E2288F">
        <w:rPr>
          <w:rFonts w:ascii="Times New Roman" w:hAnsi="Times New Roman" w:cs="Times New Roman"/>
          <w:b/>
          <w:sz w:val="23"/>
          <w:szCs w:val="23"/>
          <w:u w:val="single"/>
        </w:rPr>
        <w:t>resistance</w:t>
      </w:r>
      <w:proofErr w:type="gramEnd"/>
      <w:r w:rsidRPr="00E2288F">
        <w:rPr>
          <w:rFonts w:ascii="Times New Roman" w:hAnsi="Times New Roman" w:cs="Times New Roman"/>
          <w:b/>
          <w:sz w:val="23"/>
          <w:szCs w:val="23"/>
          <w:u w:val="single"/>
        </w:rPr>
        <w:t xml:space="preserve"> from either side.</w:t>
      </w:r>
    </w:p>
    <w:p w:rsidR="0014466F" w:rsidRPr="00E2288F" w:rsidRDefault="0014466F" w:rsidP="0014466F">
      <w:pPr>
        <w:pStyle w:val="NoSpacing"/>
        <w:rPr>
          <w:rFonts w:ascii="Times New Roman" w:hAnsi="Times New Roman" w:cs="Times New Roman"/>
          <w:b/>
          <w:sz w:val="23"/>
          <w:szCs w:val="23"/>
          <w:u w:val="single"/>
        </w:rPr>
      </w:pPr>
    </w:p>
    <w:p w:rsidR="0014466F" w:rsidRPr="00E2288F" w:rsidRDefault="0014466F" w:rsidP="0014466F">
      <w:pPr>
        <w:rPr>
          <w:rFonts w:ascii="Times New Roman" w:hAnsi="Times New Roman" w:cs="Times New Roman"/>
          <w:b/>
        </w:rPr>
      </w:pPr>
      <w:r w:rsidRPr="00E2288F">
        <w:rPr>
          <w:rFonts w:ascii="Times New Roman" w:hAnsi="Times New Roman" w:cs="Times New Roman"/>
          <w:b/>
        </w:rPr>
        <w:t xml:space="preserve">DEMOCRACY ASSISTANCE WILL ONLY DECULTURALIZE PEOPLES FURTHER </w:t>
      </w:r>
    </w:p>
    <w:p w:rsidR="0014466F" w:rsidRPr="00E2288F" w:rsidRDefault="0014466F" w:rsidP="0014466F">
      <w:pPr>
        <w:rPr>
          <w:rFonts w:ascii="Times New Roman" w:hAnsi="Times New Roman" w:cs="Times New Roman"/>
        </w:rPr>
      </w:pPr>
      <w:r w:rsidRPr="00E2288F">
        <w:rPr>
          <w:rFonts w:ascii="Times New Roman" w:hAnsi="Times New Roman" w:cs="Times New Roman"/>
          <w:b/>
        </w:rPr>
        <w:t>New African</w:t>
      </w:r>
      <w:r w:rsidRPr="00E2288F">
        <w:rPr>
          <w:rFonts w:ascii="Times New Roman" w:hAnsi="Times New Roman" w:cs="Times New Roman"/>
        </w:rPr>
        <w:t xml:space="preserve"> Black History Month October </w:t>
      </w:r>
      <w:r w:rsidRPr="00E2288F">
        <w:rPr>
          <w:rFonts w:ascii="Times New Roman" w:hAnsi="Times New Roman" w:cs="Times New Roman"/>
          <w:b/>
        </w:rPr>
        <w:t>2009</w:t>
      </w:r>
      <w:r w:rsidRPr="00E2288F">
        <w:rPr>
          <w:rFonts w:ascii="Times New Roman" w:hAnsi="Times New Roman" w:cs="Times New Roman"/>
        </w:rPr>
        <w:t xml:space="preserve"> p.16-17</w:t>
      </w:r>
    </w:p>
    <w:p w:rsidR="0014466F" w:rsidRPr="00E2288F" w:rsidRDefault="0014466F" w:rsidP="0014466F">
      <w:pPr>
        <w:rPr>
          <w:rFonts w:ascii="Times New Roman" w:hAnsi="Times New Roman" w:cs="Times New Roman"/>
          <w:b/>
          <w:u w:val="single"/>
        </w:rPr>
      </w:pPr>
      <w:proofErr w:type="gramStart"/>
      <w:r w:rsidRPr="00E2288F">
        <w:rPr>
          <w:rFonts w:ascii="Times New Roman" w:hAnsi="Times New Roman" w:cs="Times New Roman"/>
          <w:b/>
          <w:u w:val="single"/>
        </w:rPr>
        <w:t xml:space="preserve">The Western and Arab worlds </w:t>
      </w:r>
      <w:r>
        <w:rPr>
          <w:rFonts w:ascii="Times New Roman" w:hAnsi="Times New Roman" w:cs="Times New Roman"/>
          <w:b/>
          <w:u w:val="single"/>
        </w:rPr>
        <w:t>…</w:t>
      </w:r>
      <w:r w:rsidRPr="00E2288F">
        <w:rPr>
          <w:rFonts w:ascii="Times New Roman" w:hAnsi="Times New Roman" w:cs="Times New Roman"/>
          <w:b/>
          <w:u w:val="single"/>
        </w:rPr>
        <w:t xml:space="preserve"> by withholding of resources</w:t>
      </w:r>
      <w:r w:rsidRPr="00E2288F">
        <w:rPr>
          <w:rFonts w:ascii="Times New Roman" w:hAnsi="Times New Roman" w:cs="Times New Roman"/>
        </w:rPr>
        <w:t>.</w:t>
      </w:r>
      <w:proofErr w:type="gramEnd"/>
      <w:r w:rsidRPr="00E2288F">
        <w:rPr>
          <w:rFonts w:ascii="Times New Roman" w:hAnsi="Times New Roman" w:cs="Times New Roman"/>
        </w:rPr>
        <w:t xml:space="preserve">  </w:t>
      </w:r>
    </w:p>
    <w:p w:rsidR="0014466F" w:rsidRDefault="0014466F" w:rsidP="0014466F">
      <w:pPr>
        <w:pStyle w:val="NormalWeb"/>
        <w:spacing w:before="0" w:beforeAutospacing="0" w:after="0" w:afterAutospacing="0"/>
        <w:rPr>
          <w:b/>
          <w:sz w:val="20"/>
          <w:szCs w:val="20"/>
        </w:rPr>
      </w:pPr>
      <w:r w:rsidRPr="00E2288F">
        <w:rPr>
          <w:b/>
          <w:sz w:val="20"/>
          <w:szCs w:val="20"/>
        </w:rPr>
        <w:t xml:space="preserve">THE REVOLUTIONARY </w:t>
      </w:r>
      <w:r>
        <w:rPr>
          <w:b/>
          <w:sz w:val="20"/>
          <w:szCs w:val="20"/>
        </w:rPr>
        <w:t xml:space="preserve">PEDAGOGY </w:t>
      </w:r>
    </w:p>
    <w:p w:rsidR="0014466F" w:rsidRPr="00E2288F" w:rsidRDefault="0014466F" w:rsidP="0014466F">
      <w:pPr>
        <w:pStyle w:val="NormalWeb"/>
        <w:spacing w:before="0" w:beforeAutospacing="0" w:after="0" w:afterAutospacing="0"/>
        <w:rPr>
          <w:sz w:val="20"/>
          <w:szCs w:val="20"/>
        </w:rPr>
      </w:pPr>
      <w:r w:rsidRPr="00E2288F">
        <w:rPr>
          <w:sz w:val="20"/>
          <w:szCs w:val="20"/>
        </w:rPr>
        <w:br/>
        <w:t xml:space="preserve">Stephen </w:t>
      </w:r>
      <w:proofErr w:type="spellStart"/>
      <w:r w:rsidRPr="00E2288F">
        <w:rPr>
          <w:b/>
          <w:sz w:val="20"/>
          <w:szCs w:val="20"/>
        </w:rPr>
        <w:t>Sheehi</w:t>
      </w:r>
      <w:proofErr w:type="spellEnd"/>
      <w:r w:rsidRPr="00E2288F">
        <w:rPr>
          <w:sz w:val="20"/>
          <w:szCs w:val="20"/>
        </w:rPr>
        <w:t xml:space="preserve"> May </w:t>
      </w:r>
      <w:r w:rsidRPr="00E2288F">
        <w:rPr>
          <w:b/>
          <w:sz w:val="20"/>
          <w:szCs w:val="20"/>
        </w:rPr>
        <w:t>2011</w:t>
      </w:r>
      <w:r w:rsidRPr="00E2288F">
        <w:rPr>
          <w:sz w:val="20"/>
          <w:szCs w:val="20"/>
        </w:rPr>
        <w:t xml:space="preserve"> </w:t>
      </w:r>
      <w:proofErr w:type="gramStart"/>
      <w:r w:rsidRPr="00E2288F">
        <w:rPr>
          <w:sz w:val="20"/>
          <w:szCs w:val="20"/>
        </w:rPr>
        <w:t>The</w:t>
      </w:r>
      <w:proofErr w:type="gramEnd"/>
      <w:r w:rsidRPr="00E2288F">
        <w:rPr>
          <w:sz w:val="20"/>
          <w:szCs w:val="20"/>
        </w:rPr>
        <w:t xml:space="preserve"> Social Relations of </w:t>
      </w:r>
      <w:proofErr w:type="spellStart"/>
      <w:r w:rsidRPr="00E2288F">
        <w:rPr>
          <w:sz w:val="20"/>
          <w:szCs w:val="20"/>
        </w:rPr>
        <w:t>Islamophobia</w:t>
      </w:r>
      <w:proofErr w:type="spellEnd"/>
      <w:r w:rsidRPr="00E2288F">
        <w:rPr>
          <w:sz w:val="20"/>
          <w:szCs w:val="20"/>
        </w:rPr>
        <w:t xml:space="preserve"> and the Role of the Academic </w:t>
      </w:r>
    </w:p>
    <w:p w:rsidR="0014466F" w:rsidRPr="00E2288F" w:rsidRDefault="0014466F" w:rsidP="0014466F">
      <w:pPr>
        <w:pStyle w:val="NormalWeb"/>
        <w:spacing w:before="0" w:beforeAutospacing="0" w:after="0" w:afterAutospacing="0"/>
        <w:rPr>
          <w:sz w:val="20"/>
          <w:szCs w:val="20"/>
        </w:rPr>
      </w:pPr>
      <w:hyperlink r:id="rId5" w:history="1">
        <w:r w:rsidRPr="00E2288F">
          <w:rPr>
            <w:rFonts w:eastAsia="Calibri"/>
            <w:sz w:val="20"/>
            <w:szCs w:val="20"/>
            <w:u w:val="single"/>
          </w:rPr>
          <w:t>http://www.jadaliyya.com/pages/TME1/1413/the-social-relations-of-islamophobia-and-the-role-)</w:t>
        </w:r>
      </w:hyperlink>
    </w:p>
    <w:p w:rsidR="0014466F" w:rsidRPr="00E2288F" w:rsidRDefault="0014466F" w:rsidP="0014466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14466F" w:rsidRPr="00E2288F" w:rsidRDefault="0014466F" w:rsidP="0014466F">
      <w:pPr>
        <w:pStyle w:val="NormalWeb"/>
        <w:spacing w:before="0" w:beforeAutospacing="0" w:after="0" w:afterAutospacing="0"/>
        <w:jc w:val="both"/>
        <w:rPr>
          <w:sz w:val="20"/>
          <w:szCs w:val="20"/>
        </w:rPr>
      </w:pPr>
    </w:p>
    <w:p w:rsidR="0014466F" w:rsidRPr="00E2288F" w:rsidRDefault="0014466F" w:rsidP="0014466F">
      <w:pPr>
        <w:pStyle w:val="NormalWeb"/>
        <w:spacing w:before="0" w:beforeAutospacing="0" w:after="0" w:afterAutospacing="0"/>
        <w:jc w:val="both"/>
        <w:rPr>
          <w:b/>
          <w:sz w:val="20"/>
          <w:szCs w:val="20"/>
          <w:u w:val="single"/>
        </w:rPr>
      </w:pPr>
      <w:r w:rsidRPr="00E2288F">
        <w:rPr>
          <w:sz w:val="20"/>
          <w:szCs w:val="20"/>
        </w:rPr>
        <w:t xml:space="preserve">The popular uprisings should help re-set what is relevant in </w:t>
      </w:r>
      <w:r>
        <w:rPr>
          <w:sz w:val="20"/>
          <w:szCs w:val="20"/>
        </w:rPr>
        <w:t>…</w:t>
      </w:r>
      <w:r w:rsidRPr="00E2288F">
        <w:rPr>
          <w:b/>
          <w:sz w:val="20"/>
          <w:szCs w:val="20"/>
          <w:u w:val="single"/>
        </w:rPr>
        <w:t xml:space="preserve"> transformative intelligentsia who can serve change both home and abroad.</w:t>
      </w:r>
    </w:p>
    <w:p w:rsidR="0014466F" w:rsidRPr="00E2288F" w:rsidRDefault="0014466F" w:rsidP="0014466F">
      <w:pPr>
        <w:spacing w:after="0" w:line="240" w:lineRule="auto"/>
        <w:rPr>
          <w:rFonts w:ascii="Times New Roman" w:eastAsia="Times New Roman" w:hAnsi="Times New Roman" w:cs="Times New Roman"/>
          <w:bCs/>
          <w:sz w:val="16"/>
          <w:szCs w:val="16"/>
          <w:shd w:val="clear" w:color="auto" w:fill="FFFFFF"/>
        </w:rPr>
      </w:pPr>
    </w:p>
    <w:p w:rsidR="0014466F" w:rsidRPr="00E2288F" w:rsidRDefault="0014466F" w:rsidP="001446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FFFFFF"/>
        </w:rPr>
      </w:pPr>
    </w:p>
    <w:p w:rsidR="0014466F" w:rsidRPr="00E2288F" w:rsidRDefault="0014466F" w:rsidP="0014466F">
      <w:pPr>
        <w:rPr>
          <w:rFonts w:ascii="Times New Roman" w:hAnsi="Times New Roman" w:cs="Times New Roman"/>
          <w:sz w:val="18"/>
        </w:rPr>
      </w:pPr>
      <w:r w:rsidRPr="00E2288F">
        <w:rPr>
          <w:rFonts w:ascii="Times New Roman" w:hAnsi="Times New Roman" w:cs="Times New Roman"/>
          <w:b/>
        </w:rPr>
        <w:t>New African Continues in 2009…</w:t>
      </w:r>
      <w:r w:rsidRPr="00E2288F">
        <w:rPr>
          <w:rFonts w:ascii="Times New Roman" w:hAnsi="Times New Roman" w:cs="Times New Roman"/>
        </w:rPr>
        <w:t xml:space="preserve"> </w:t>
      </w:r>
      <w:r w:rsidRPr="00E2288F">
        <w:rPr>
          <w:rFonts w:ascii="Times New Roman" w:hAnsi="Times New Roman" w:cs="Times New Roman"/>
          <w:sz w:val="18"/>
        </w:rPr>
        <w:t>Black History Month October 2009 p.14</w:t>
      </w:r>
    </w:p>
    <w:p w:rsidR="0014466F" w:rsidRPr="00E2288F" w:rsidRDefault="0014466F" w:rsidP="0014466F">
      <w:pPr>
        <w:rPr>
          <w:rFonts w:ascii="Times New Roman" w:hAnsi="Times New Roman" w:cs="Times New Roman"/>
          <w:b/>
          <w:u w:val="single"/>
        </w:rPr>
      </w:pPr>
      <w:r w:rsidRPr="00E2288F">
        <w:rPr>
          <w:rFonts w:ascii="Times New Roman" w:hAnsi="Times New Roman" w:cs="Times New Roman"/>
          <w:b/>
          <w:u w:val="single"/>
        </w:rPr>
        <w:t>Evidence proves conclusively that modern nation states</w:t>
      </w:r>
      <w:bookmarkStart w:id="0" w:name="_GoBack"/>
      <w:bookmarkEnd w:id="0"/>
      <w:r>
        <w:rPr>
          <w:rFonts w:ascii="Times New Roman" w:hAnsi="Times New Roman" w:cs="Times New Roman"/>
          <w:b/>
          <w:u w:val="single"/>
        </w:rPr>
        <w:t>…</w:t>
      </w:r>
      <w:r w:rsidRPr="00E2288F">
        <w:rPr>
          <w:rFonts w:ascii="Times New Roman" w:hAnsi="Times New Roman" w:cs="Times New Roman"/>
          <w:b/>
          <w:u w:val="single"/>
        </w:rPr>
        <w:t xml:space="preserve"> accommodate the needs of present day Africa and her people</w:t>
      </w:r>
    </w:p>
    <w:p w:rsidR="003E53AE" w:rsidRDefault="0014466F"/>
    <w:sectPr w:rsidR="003E53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66F"/>
    <w:rsid w:val="0014466F"/>
    <w:rsid w:val="00405D06"/>
    <w:rsid w:val="00570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466F"/>
  </w:style>
  <w:style w:type="character" w:customStyle="1" w:styleId="updated-short-citation">
    <w:name w:val="updated-short-citation"/>
    <w:basedOn w:val="DefaultParagraphFont"/>
    <w:rsid w:val="0014466F"/>
  </w:style>
  <w:style w:type="paragraph" w:customStyle="1" w:styleId="card">
    <w:name w:val="card"/>
    <w:basedOn w:val="Normal"/>
    <w:next w:val="Normal"/>
    <w:link w:val="cardChar"/>
    <w:rsid w:val="0014466F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14466F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14466F"/>
  </w:style>
  <w:style w:type="paragraph" w:styleId="NoSpacing">
    <w:name w:val="No Spacing"/>
    <w:uiPriority w:val="1"/>
    <w:qFormat/>
    <w:rsid w:val="0014466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4466F"/>
  </w:style>
  <w:style w:type="character" w:customStyle="1" w:styleId="updated-short-citation">
    <w:name w:val="updated-short-citation"/>
    <w:basedOn w:val="DefaultParagraphFont"/>
    <w:rsid w:val="0014466F"/>
  </w:style>
  <w:style w:type="paragraph" w:customStyle="1" w:styleId="card">
    <w:name w:val="card"/>
    <w:basedOn w:val="Normal"/>
    <w:next w:val="Normal"/>
    <w:link w:val="cardChar"/>
    <w:rsid w:val="0014466F"/>
    <w:pPr>
      <w:ind w:left="288" w:right="288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rdChar">
    <w:name w:val="card Char"/>
    <w:link w:val="card"/>
    <w:rsid w:val="0014466F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14466F"/>
  </w:style>
  <w:style w:type="paragraph" w:styleId="NoSpacing">
    <w:name w:val="No Spacing"/>
    <w:uiPriority w:val="1"/>
    <w:qFormat/>
    <w:rsid w:val="0014466F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44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jadaliyya.com/pages/TME1/1413/the-social-relations-of-islamophobia-and-the-role-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1</cp:revision>
  <dcterms:created xsi:type="dcterms:W3CDTF">2012-03-07T22:00:00Z</dcterms:created>
  <dcterms:modified xsi:type="dcterms:W3CDTF">2012-03-07T22:00:00Z</dcterms:modified>
</cp:coreProperties>
</file>