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6DF" w:rsidRDefault="002B16DF" w:rsidP="002B16DF">
      <w:pPr>
        <w:pStyle w:val="Heading2"/>
        <w:rPr>
          <w:rFonts w:eastAsiaTheme="minorHAnsi"/>
        </w:rPr>
      </w:pPr>
      <w:r>
        <w:rPr>
          <w:rFonts w:eastAsiaTheme="minorHAnsi"/>
        </w:rPr>
        <w:t xml:space="preserve">CP Cards </w:t>
      </w:r>
    </w:p>
    <w:p w:rsidR="002B16DF" w:rsidRPr="00792F4E" w:rsidRDefault="002B16DF" w:rsidP="002B16DF"/>
    <w:p w:rsidR="002B16DF" w:rsidRPr="006265AB" w:rsidRDefault="002B16DF" w:rsidP="002B16DF">
      <w:pPr>
        <w:pStyle w:val="Heading3"/>
      </w:pPr>
      <w:r>
        <w:t>CP – Solvency – 2NC</w:t>
      </w:r>
    </w:p>
    <w:p w:rsidR="002B16DF" w:rsidRPr="00733D23" w:rsidRDefault="002B16DF" w:rsidP="002B16DF">
      <w:pPr>
        <w:pStyle w:val="Heading4"/>
      </w:pPr>
      <w:r>
        <w:t xml:space="preserve">Carothers is the best </w:t>
      </w:r>
      <w:proofErr w:type="gramStart"/>
      <w:r>
        <w:t>ev</w:t>
      </w:r>
      <w:proofErr w:type="gramEnd"/>
      <w:r>
        <w:t>.</w:t>
      </w:r>
    </w:p>
    <w:p w:rsidR="002B16DF" w:rsidRPr="001434C4" w:rsidRDefault="002B16DF" w:rsidP="002B16DF">
      <w:r w:rsidRPr="001434C4">
        <w:rPr>
          <w:b/>
        </w:rPr>
        <w:t>Burnell 10</w:t>
      </w:r>
      <w:r w:rsidRPr="001434C4">
        <w:t xml:space="preserve"> (Peter, Professor in the Department of Politics and International Studies at the University of Warwick,</w:t>
      </w:r>
    </w:p>
    <w:p w:rsidR="002B16DF" w:rsidRPr="001434C4" w:rsidRDefault="002B16DF" w:rsidP="002B16DF">
      <w:r w:rsidRPr="001434C4">
        <w:t xml:space="preserve"> “Promoting Democracy and Promoting Autocracy: Towards A Comparative Evaluation,” Journal of Politics and Law Vol. 3, No. 2; September 2</w:t>
      </w:r>
      <w:r>
        <w:t>010)</w:t>
      </w:r>
    </w:p>
    <w:p w:rsidR="002B16DF" w:rsidRDefault="002B16DF" w:rsidP="002B16DF">
      <w:pPr>
        <w:rPr>
          <w:sz w:val="16"/>
        </w:rPr>
      </w:pPr>
      <w:r w:rsidRPr="00733D23">
        <w:rPr>
          <w:sz w:val="16"/>
        </w:rPr>
        <w:t xml:space="preserve">Most democracy promoters foreswear the use of highly </w:t>
      </w:r>
    </w:p>
    <w:p w:rsidR="002B16DF" w:rsidRDefault="002B16DF" w:rsidP="002B16DF">
      <w:pPr>
        <w:rPr>
          <w:sz w:val="16"/>
        </w:rPr>
      </w:pPr>
      <w:r>
        <w:rPr>
          <w:sz w:val="16"/>
        </w:rPr>
        <w:t xml:space="preserve">AND </w:t>
      </w:r>
    </w:p>
    <w:p w:rsidR="002B16DF" w:rsidRPr="00733D23" w:rsidRDefault="002B16DF" w:rsidP="002B16DF">
      <w:pPr>
        <w:rPr>
          <w:sz w:val="16"/>
        </w:rPr>
      </w:pPr>
      <w:r w:rsidRPr="00733D23">
        <w:rPr>
          <w:sz w:val="16"/>
        </w:rPr>
        <w:t>(</w:t>
      </w:r>
      <w:proofErr w:type="gramStart"/>
      <w:r w:rsidRPr="00733D23">
        <w:rPr>
          <w:sz w:val="16"/>
        </w:rPr>
        <w:t>see</w:t>
      </w:r>
      <w:proofErr w:type="gramEnd"/>
      <w:r w:rsidRPr="00733D23">
        <w:rPr>
          <w:sz w:val="16"/>
        </w:rPr>
        <w:t xml:space="preserve"> for example Carothers 1999 and 2004). </w:t>
      </w:r>
    </w:p>
    <w:p w:rsidR="002B16DF" w:rsidRDefault="002B16DF" w:rsidP="002B16DF">
      <w:pPr>
        <w:pStyle w:val="Heading4"/>
      </w:pPr>
      <w:r>
        <w:t>The CP solves expertise and credibility while avoiding backlash.</w:t>
      </w:r>
    </w:p>
    <w:p w:rsidR="002B16DF" w:rsidRDefault="002B16DF" w:rsidP="002B16DF">
      <w:r w:rsidRPr="00AC3D77">
        <w:rPr>
          <w:b/>
        </w:rPr>
        <w:t>Carothers</w:t>
      </w:r>
      <w:r>
        <w:t xml:space="preserve">, February </w:t>
      </w:r>
      <w:r w:rsidRPr="00AC3D77">
        <w:rPr>
          <w:b/>
        </w:rPr>
        <w:t>2005</w:t>
      </w:r>
      <w:r>
        <w:t xml:space="preserve"> (Thomas – senior associate at the Carnegie Endowment for International Peace, A Better Way to Support Middle East Reform, Carnegie Endowment for International Peace Policy Brief, p. 7)</w:t>
      </w:r>
    </w:p>
    <w:p w:rsidR="002B16DF" w:rsidRDefault="002B16DF" w:rsidP="002B16DF">
      <w:pPr>
        <w:rPr>
          <w:sz w:val="16"/>
        </w:rPr>
      </w:pPr>
      <w:r w:rsidRPr="002624E9">
        <w:rPr>
          <w:sz w:val="16"/>
        </w:rPr>
        <w:t xml:space="preserve">Whether by itself or as part of a </w:t>
      </w:r>
    </w:p>
    <w:p w:rsidR="002B16DF" w:rsidRDefault="002B16DF" w:rsidP="002B16DF">
      <w:pPr>
        <w:rPr>
          <w:sz w:val="16"/>
        </w:rPr>
      </w:pPr>
      <w:r>
        <w:rPr>
          <w:sz w:val="16"/>
        </w:rPr>
        <w:t xml:space="preserve">AND </w:t>
      </w:r>
    </w:p>
    <w:p w:rsidR="002B16DF" w:rsidRDefault="002B16DF" w:rsidP="002B16DF">
      <w:proofErr w:type="gramStart"/>
      <w:r w:rsidRPr="002624E9">
        <w:rPr>
          <w:sz w:val="16"/>
        </w:rPr>
        <w:t>increase</w:t>
      </w:r>
      <w:proofErr w:type="gramEnd"/>
      <w:r w:rsidRPr="002624E9">
        <w:rPr>
          <w:sz w:val="16"/>
        </w:rPr>
        <w:t xml:space="preserve"> the chance for progress in this domain of </w:t>
      </w:r>
    </w:p>
    <w:p w:rsidR="002B16DF" w:rsidRPr="00733D23" w:rsidRDefault="002B16DF" w:rsidP="002B16DF">
      <w:pPr>
        <w:pStyle w:val="Heading4"/>
      </w:pPr>
      <w:r>
        <w:t xml:space="preserve">Only the CP creates </w:t>
      </w:r>
      <w:r>
        <w:rPr>
          <w:u w:val="single"/>
        </w:rPr>
        <w:t>sustainable</w:t>
      </w:r>
      <w:r>
        <w:t xml:space="preserve"> expertise.</w:t>
      </w:r>
    </w:p>
    <w:p w:rsidR="002B16DF" w:rsidRDefault="002B16DF" w:rsidP="002B16DF">
      <w:r w:rsidRPr="007E7C48">
        <w:rPr>
          <w:b/>
        </w:rPr>
        <w:t>Carothers</w:t>
      </w:r>
      <w:r>
        <w:t xml:space="preserve">, February </w:t>
      </w:r>
      <w:r w:rsidRPr="007E7C48">
        <w:rPr>
          <w:b/>
        </w:rPr>
        <w:t>2005</w:t>
      </w:r>
      <w:r>
        <w:t xml:space="preserve"> (Thomas – senior associate at the Carnegie Endowment for International Peace, A Better Way to Support Middle East Reform, Carnegie Endowment for International Peace Policy Brief, p. 2-3)</w:t>
      </w:r>
    </w:p>
    <w:p w:rsidR="002B16DF" w:rsidRDefault="002B16DF" w:rsidP="002B16DF">
      <w:pPr>
        <w:rPr>
          <w:sz w:val="16"/>
        </w:rPr>
      </w:pPr>
      <w:r w:rsidRPr="00733D23">
        <w:rPr>
          <w:sz w:val="16"/>
        </w:rPr>
        <w:t xml:space="preserve">Setting up MEPI within the State Department probably </w:t>
      </w:r>
    </w:p>
    <w:p w:rsidR="002B16DF" w:rsidRDefault="002B16DF" w:rsidP="002B16DF">
      <w:pPr>
        <w:rPr>
          <w:sz w:val="16"/>
        </w:rPr>
      </w:pPr>
      <w:r>
        <w:rPr>
          <w:sz w:val="16"/>
        </w:rPr>
        <w:t xml:space="preserve">AND </w:t>
      </w:r>
    </w:p>
    <w:p w:rsidR="002B16DF" w:rsidRPr="00733D23" w:rsidRDefault="002B16DF" w:rsidP="002B16DF">
      <w:pPr>
        <w:rPr>
          <w:sz w:val="16"/>
        </w:rPr>
      </w:pPr>
      <w:proofErr w:type="gramStart"/>
      <w:r w:rsidRPr="00733D23">
        <w:rPr>
          <w:sz w:val="16"/>
        </w:rPr>
        <w:t>it</w:t>
      </w:r>
      <w:proofErr w:type="gramEnd"/>
      <w:r w:rsidRPr="00733D23">
        <w:rPr>
          <w:sz w:val="16"/>
        </w:rPr>
        <w:t xml:space="preserve"> </w:t>
      </w:r>
      <w:r w:rsidRPr="001B61DC">
        <w:rPr>
          <w:rStyle w:val="TitleChar"/>
          <w:highlight w:val="yellow"/>
        </w:rPr>
        <w:t>is</w:t>
      </w:r>
      <w:r w:rsidRPr="00733D23">
        <w:rPr>
          <w:rStyle w:val="TitleChar"/>
        </w:rPr>
        <w:t xml:space="preserve"> going strong </w:t>
      </w:r>
      <w:r w:rsidRPr="001B61DC">
        <w:rPr>
          <w:rStyle w:val="TitleChar"/>
          <w:highlight w:val="yellow"/>
        </w:rPr>
        <w:t>in its second decade</w:t>
      </w:r>
      <w:r w:rsidRPr="00733D23">
        <w:rPr>
          <w:sz w:val="16"/>
        </w:rPr>
        <w:t>.</w:t>
      </w:r>
    </w:p>
    <w:p w:rsidR="002B16DF" w:rsidRDefault="002B16DF" w:rsidP="002B16DF">
      <w:pPr>
        <w:pStyle w:val="Heading4"/>
      </w:pPr>
      <w:r>
        <w:t>Expertise is a myth – no tangible solvency deficit.</w:t>
      </w:r>
    </w:p>
    <w:p w:rsidR="002B16DF" w:rsidRPr="00B63DBD" w:rsidRDefault="002B16DF" w:rsidP="002B16DF">
      <w:r w:rsidRPr="00BC54DD">
        <w:rPr>
          <w:b/>
        </w:rPr>
        <w:t>Carothers and Ottaway</w:t>
      </w:r>
      <w:r>
        <w:t xml:space="preserve"> </w:t>
      </w:r>
      <w:r w:rsidRPr="00BC54DD">
        <w:rPr>
          <w:b/>
        </w:rPr>
        <w:t>2005</w:t>
      </w:r>
      <w:r>
        <w:t xml:space="preserve"> (Thomas – director of the Democracy and Rule of Law Project at the Carnegie Endowment, and Marina – senior associate in the Democracy and the Rule of Law Project at the Carnegie Endowment, Uncharted Journey, The New Democracy Imperative, p. 10)</w:t>
      </w:r>
    </w:p>
    <w:p w:rsidR="002B16DF" w:rsidRDefault="002B16DF" w:rsidP="002B16DF">
      <w:pPr>
        <w:rPr>
          <w:sz w:val="16"/>
        </w:rPr>
      </w:pPr>
      <w:r w:rsidRPr="00BC54DD">
        <w:rPr>
          <w:sz w:val="16"/>
        </w:rPr>
        <w:t xml:space="preserve">A second problematic element of the debates and </w:t>
      </w:r>
    </w:p>
    <w:p w:rsidR="002B16DF" w:rsidRDefault="002B16DF" w:rsidP="002B16DF">
      <w:pPr>
        <w:rPr>
          <w:rStyle w:val="Emphasis"/>
          <w:highlight w:val="yellow"/>
        </w:rPr>
      </w:pPr>
      <w:r>
        <w:rPr>
          <w:rStyle w:val="Emphasis"/>
          <w:highlight w:val="yellow"/>
        </w:rPr>
        <w:t xml:space="preserve">AND </w:t>
      </w:r>
    </w:p>
    <w:p w:rsidR="002B16DF" w:rsidRPr="00BC54DD" w:rsidRDefault="002B16DF" w:rsidP="002B16DF">
      <w:pPr>
        <w:rPr>
          <w:sz w:val="16"/>
        </w:rPr>
      </w:pPr>
      <w:proofErr w:type="gramStart"/>
      <w:r w:rsidRPr="0073040E">
        <w:rPr>
          <w:rStyle w:val="Emphasis"/>
          <w:highlight w:val="yellow"/>
        </w:rPr>
        <w:t>impact</w:t>
      </w:r>
      <w:proofErr w:type="gramEnd"/>
      <w:r w:rsidRPr="00716356">
        <w:rPr>
          <w:rStyle w:val="TitleChar"/>
        </w:rPr>
        <w:t xml:space="preserve"> on the political direction of other societies</w:t>
      </w:r>
      <w:r w:rsidRPr="00BC54DD">
        <w:rPr>
          <w:sz w:val="16"/>
        </w:rPr>
        <w:t>.</w:t>
      </w:r>
    </w:p>
    <w:p w:rsidR="002B16DF" w:rsidRDefault="002B16DF" w:rsidP="002B16DF">
      <w:pPr>
        <w:pStyle w:val="Heading4"/>
      </w:pPr>
      <w:r>
        <w:t>CP generates expertise and private funding.</w:t>
      </w:r>
    </w:p>
    <w:p w:rsidR="002B16DF" w:rsidRDefault="002B16DF" w:rsidP="002B16DF">
      <w:r w:rsidRPr="00B95C62">
        <w:rPr>
          <w:b/>
        </w:rPr>
        <w:t>Diamond</w:t>
      </w:r>
      <w:r>
        <w:t xml:space="preserve"> </w:t>
      </w:r>
      <w:proofErr w:type="gramStart"/>
      <w:r>
        <w:t>et</w:t>
      </w:r>
      <w:proofErr w:type="gramEnd"/>
      <w:r>
        <w:t xml:space="preserve">. al, May 8-9, </w:t>
      </w:r>
      <w:r w:rsidRPr="00B95C62">
        <w:rPr>
          <w:b/>
        </w:rPr>
        <w:t>2008</w:t>
      </w:r>
      <w:r>
        <w:t xml:space="preserve"> (Larry – fellow at the Hoover Institution, Reorganizing U.S. Government Democracy Promotion Efforts, Report of a Conference Held at Stanford University, Gordon Adams, Tom Bruneau, Tom Carothers, Scott Carpenter, David Denehy, Jean Geran, Carl Gershman, Desha Girod, Richard Hoffman, Jerry Hyman, Erik Jensen, Jim Kolbe, Steve Krasner, Sally Kux, Michael McFaul, Thomas Melia, Abbas Milani, Richard Morningstar, Eric Morris, Jessica Piombo, Maria Rendon, Smita Singh, Alex Sokolowski, Chris Starling, Kathryn Stoner-Weiss, Alexander Their, Harold Trinkunas, Jeremy Weinstein, New Middle East Foundation Jennifer Windsor, Ken Wollack,p. 5-6)</w:t>
      </w:r>
    </w:p>
    <w:p w:rsidR="002B16DF" w:rsidRDefault="002B16DF" w:rsidP="002B16DF">
      <w:pPr>
        <w:rPr>
          <w:sz w:val="16"/>
        </w:rPr>
      </w:pPr>
      <w:r w:rsidRPr="00B95C62">
        <w:rPr>
          <w:sz w:val="16"/>
        </w:rPr>
        <w:t xml:space="preserve">1. </w:t>
      </w:r>
      <w:r w:rsidRPr="00B95C62">
        <w:rPr>
          <w:rStyle w:val="TitleChar"/>
          <w:highlight w:val="yellow"/>
        </w:rPr>
        <w:t>Create a</w:t>
      </w:r>
      <w:r w:rsidRPr="00B95C62">
        <w:rPr>
          <w:rStyle w:val="TitleChar"/>
        </w:rPr>
        <w:t xml:space="preserve"> New </w:t>
      </w:r>
      <w:r w:rsidRPr="00B95C62">
        <w:rPr>
          <w:rStyle w:val="TitleChar"/>
          <w:highlight w:val="yellow"/>
        </w:rPr>
        <w:t>M</w:t>
      </w:r>
      <w:r w:rsidRPr="00B95C62">
        <w:rPr>
          <w:rStyle w:val="TitleChar"/>
        </w:rPr>
        <w:t xml:space="preserve">iddle </w:t>
      </w:r>
      <w:r w:rsidRPr="00B95C62">
        <w:rPr>
          <w:rStyle w:val="TitleChar"/>
          <w:highlight w:val="yellow"/>
        </w:rPr>
        <w:t>E</w:t>
      </w:r>
      <w:r w:rsidRPr="00B95C62">
        <w:rPr>
          <w:rStyle w:val="TitleChar"/>
        </w:rPr>
        <w:t xml:space="preserve">ast </w:t>
      </w:r>
      <w:r w:rsidRPr="00B95C62">
        <w:rPr>
          <w:rStyle w:val="TitleChar"/>
          <w:highlight w:val="yellow"/>
        </w:rPr>
        <w:t>F</w:t>
      </w:r>
      <w:r w:rsidRPr="00B95C62">
        <w:rPr>
          <w:rStyle w:val="TitleChar"/>
        </w:rPr>
        <w:t>oundation</w:t>
      </w:r>
    </w:p>
    <w:p w:rsidR="002B16DF" w:rsidRDefault="002B16DF" w:rsidP="002B16DF">
      <w:pPr>
        <w:rPr>
          <w:rStyle w:val="Emphasis"/>
          <w:highlight w:val="yellow"/>
        </w:rPr>
      </w:pPr>
      <w:r>
        <w:rPr>
          <w:rStyle w:val="Emphasis"/>
          <w:highlight w:val="yellow"/>
        </w:rPr>
        <w:t xml:space="preserve">AND </w:t>
      </w:r>
    </w:p>
    <w:p w:rsidR="002B16DF" w:rsidRPr="00B95C62" w:rsidRDefault="002B16DF" w:rsidP="002B16DF">
      <w:pPr>
        <w:rPr>
          <w:sz w:val="16"/>
        </w:rPr>
      </w:pPr>
      <w:proofErr w:type="gramStart"/>
      <w:r w:rsidRPr="00B95C62">
        <w:rPr>
          <w:rStyle w:val="Emphasis"/>
          <w:highlight w:val="yellow"/>
        </w:rPr>
        <w:t>funds</w:t>
      </w:r>
      <w:proofErr w:type="gramEnd"/>
      <w:r w:rsidRPr="00B95C62">
        <w:rPr>
          <w:sz w:val="16"/>
        </w:rPr>
        <w:t xml:space="preserve"> as well as support from other democratic government</w:t>
      </w:r>
    </w:p>
    <w:p w:rsidR="002B16DF" w:rsidRPr="00A21799" w:rsidRDefault="002B16DF" w:rsidP="002B16DF">
      <w:pPr>
        <w:pStyle w:val="Heading4"/>
      </w:pPr>
      <w:r>
        <w:t xml:space="preserve">Local ownership DA – the CP fosters local ownership which is </w:t>
      </w:r>
      <w:proofErr w:type="gramStart"/>
      <w:r>
        <w:t>key</w:t>
      </w:r>
      <w:proofErr w:type="gramEnd"/>
      <w:r>
        <w:t xml:space="preserve"> to </w:t>
      </w:r>
      <w:r>
        <w:rPr>
          <w:u w:val="single"/>
        </w:rPr>
        <w:t>sustainable</w:t>
      </w:r>
      <w:r>
        <w:t xml:space="preserve"> solvency.</w:t>
      </w:r>
    </w:p>
    <w:p w:rsidR="002B16DF" w:rsidRDefault="002B16DF" w:rsidP="002B16DF">
      <w:r w:rsidRPr="00A21799">
        <w:rPr>
          <w:b/>
        </w:rPr>
        <w:t>Adelman</w:t>
      </w:r>
      <w:r>
        <w:t xml:space="preserve">, Spring/Summer </w:t>
      </w:r>
      <w:r w:rsidRPr="00A21799">
        <w:rPr>
          <w:b/>
        </w:rPr>
        <w:t>2009</w:t>
      </w:r>
      <w:r>
        <w:t xml:space="preserve"> (Carol – director of the Center for Global Prosperity at the Hudson Institute, Global Philanthropy and Remittances, Brown Journal of World Affairs, p. 30)</w:t>
      </w:r>
    </w:p>
    <w:p w:rsidR="002B16DF" w:rsidRDefault="002B16DF" w:rsidP="002B16DF">
      <w:pPr>
        <w:rPr>
          <w:sz w:val="16"/>
        </w:rPr>
      </w:pPr>
      <w:r w:rsidRPr="00A21799">
        <w:rPr>
          <w:sz w:val="16"/>
        </w:rPr>
        <w:t>In order to help people in sustainable ways</w:t>
      </w:r>
    </w:p>
    <w:p w:rsidR="002B16DF" w:rsidRDefault="002B16DF" w:rsidP="002B16DF">
      <w:pPr>
        <w:rPr>
          <w:sz w:val="16"/>
        </w:rPr>
      </w:pPr>
      <w:r>
        <w:rPr>
          <w:sz w:val="16"/>
        </w:rPr>
        <w:t xml:space="preserve">AND </w:t>
      </w:r>
    </w:p>
    <w:p w:rsidR="002B16DF" w:rsidRPr="00A21799" w:rsidRDefault="002B16DF" w:rsidP="002B16DF">
      <w:pPr>
        <w:rPr>
          <w:sz w:val="16"/>
        </w:rPr>
      </w:pPr>
      <w:proofErr w:type="gramStart"/>
      <w:r w:rsidRPr="00A21799">
        <w:rPr>
          <w:sz w:val="16"/>
        </w:rPr>
        <w:t>project</w:t>
      </w:r>
      <w:proofErr w:type="gramEnd"/>
      <w:r w:rsidRPr="00A21799">
        <w:rPr>
          <w:sz w:val="16"/>
        </w:rPr>
        <w:t xml:space="preserve"> through their time and co-funding.</w:t>
      </w:r>
    </w:p>
    <w:p w:rsidR="002B16DF" w:rsidRPr="00061208" w:rsidRDefault="002B16DF" w:rsidP="002B16DF">
      <w:pPr>
        <w:pStyle w:val="Heading4"/>
      </w:pPr>
      <w:r>
        <w:t xml:space="preserve">This turn </w:t>
      </w:r>
      <w:r>
        <w:rPr>
          <w:u w:val="single"/>
        </w:rPr>
        <w:t>outweighs</w:t>
      </w:r>
      <w:r>
        <w:t xml:space="preserve"> aff solvency.</w:t>
      </w:r>
    </w:p>
    <w:p w:rsidR="002B16DF" w:rsidRDefault="002B16DF" w:rsidP="002B16DF">
      <w:r w:rsidRPr="0002785D">
        <w:rPr>
          <w:b/>
        </w:rPr>
        <w:t>Carothers</w:t>
      </w:r>
      <w:r>
        <w:t xml:space="preserve"> </w:t>
      </w:r>
      <w:r w:rsidRPr="0002785D">
        <w:rPr>
          <w:b/>
        </w:rPr>
        <w:t>2009</w:t>
      </w:r>
      <w:r>
        <w:t xml:space="preserve"> (Thomas – vice president for studies at the Carnegie Endowment for International Peace, Revitalizing U.S. Democracy Assistance, p. 26)</w:t>
      </w:r>
    </w:p>
    <w:p w:rsidR="002B16DF" w:rsidRDefault="002B16DF" w:rsidP="002B16DF">
      <w:pPr>
        <w:rPr>
          <w:rStyle w:val="Emphasis"/>
        </w:rPr>
      </w:pPr>
      <w:r w:rsidRPr="00061208">
        <w:rPr>
          <w:rStyle w:val="TitleChar"/>
          <w:highlight w:val="yellow"/>
        </w:rPr>
        <w:t>This</w:t>
      </w:r>
      <w:r w:rsidRPr="0002785D">
        <w:rPr>
          <w:sz w:val="16"/>
        </w:rPr>
        <w:t xml:space="preserve"> systematic </w:t>
      </w:r>
      <w:r w:rsidRPr="0002785D">
        <w:rPr>
          <w:rStyle w:val="TitleChar"/>
        </w:rPr>
        <w:t xml:space="preserve">externality of the </w:t>
      </w:r>
      <w:r w:rsidRPr="00061208">
        <w:rPr>
          <w:rStyle w:val="TitleChar"/>
          <w:highlight w:val="yellow"/>
        </w:rPr>
        <w:t>assistance</w:t>
      </w:r>
      <w:r w:rsidRPr="0002785D">
        <w:rPr>
          <w:rStyle w:val="TitleChar"/>
        </w:rPr>
        <w:t xml:space="preserve"> process </w:t>
      </w:r>
      <w:r w:rsidRPr="00061208">
        <w:rPr>
          <w:rStyle w:val="TitleChar"/>
          <w:highlight w:val="yellow"/>
        </w:rPr>
        <w:t>creates</w:t>
      </w:r>
      <w:r w:rsidRPr="0002785D">
        <w:rPr>
          <w:rStyle w:val="TitleChar"/>
        </w:rPr>
        <w:t xml:space="preserve"> </w:t>
      </w:r>
    </w:p>
    <w:p w:rsidR="002B16DF" w:rsidRDefault="002B16DF" w:rsidP="002B16DF">
      <w:pPr>
        <w:rPr>
          <w:rStyle w:val="TitleChar"/>
          <w:highlight w:val="yellow"/>
        </w:rPr>
      </w:pPr>
      <w:r>
        <w:rPr>
          <w:rStyle w:val="TitleChar"/>
          <w:highlight w:val="yellow"/>
        </w:rPr>
        <w:t xml:space="preserve">AND </w:t>
      </w:r>
    </w:p>
    <w:p w:rsidR="002B16DF" w:rsidRDefault="002B16DF" w:rsidP="002B16DF">
      <w:pPr>
        <w:rPr>
          <w:sz w:val="16"/>
        </w:rPr>
      </w:pPr>
      <w:proofErr w:type="gramStart"/>
      <w:r w:rsidRPr="00061208">
        <w:rPr>
          <w:rStyle w:val="TitleChar"/>
          <w:highlight w:val="yellow"/>
        </w:rPr>
        <w:t>the</w:t>
      </w:r>
      <w:proofErr w:type="gramEnd"/>
      <w:r w:rsidRPr="00061208">
        <w:rPr>
          <w:rStyle w:val="TitleChar"/>
          <w:highlight w:val="yellow"/>
        </w:rPr>
        <w:t xml:space="preserve"> </w:t>
      </w:r>
      <w:r w:rsidRPr="00061208">
        <w:rPr>
          <w:rStyle w:val="Emphasis"/>
          <w:highlight w:val="yellow"/>
        </w:rPr>
        <w:t>legitimacy</w:t>
      </w:r>
      <w:r w:rsidRPr="0002785D">
        <w:rPr>
          <w:rStyle w:val="TitleChar"/>
        </w:rPr>
        <w:t xml:space="preserve"> of such efforts </w:t>
      </w:r>
      <w:r w:rsidRPr="00061208">
        <w:rPr>
          <w:rStyle w:val="TitleChar"/>
          <w:highlight w:val="yellow"/>
        </w:rPr>
        <w:t xml:space="preserve">will be </w:t>
      </w:r>
      <w:r w:rsidRPr="00061208">
        <w:rPr>
          <w:rStyle w:val="TitleChar"/>
          <w:b/>
          <w:highlight w:val="yellow"/>
        </w:rPr>
        <w:t>questioned</w:t>
      </w:r>
      <w:r w:rsidRPr="0002785D">
        <w:rPr>
          <w:sz w:val="16"/>
        </w:rPr>
        <w:t>.</w:t>
      </w:r>
    </w:p>
    <w:p w:rsidR="002B16DF" w:rsidRPr="004F1641" w:rsidRDefault="002B16DF" w:rsidP="002B16DF">
      <w:pPr>
        <w:pStyle w:val="Heading4"/>
      </w:pPr>
      <w:r>
        <w:t xml:space="preserve">Only the counterplan creates a </w:t>
      </w:r>
      <w:r>
        <w:rPr>
          <w:u w:val="single"/>
        </w:rPr>
        <w:t>vested interest</w:t>
      </w:r>
      <w:r>
        <w:t xml:space="preserve"> by businesses to expand development beyond the democracy.</w:t>
      </w:r>
    </w:p>
    <w:p w:rsidR="002B16DF" w:rsidRDefault="002B16DF" w:rsidP="002B16DF">
      <w:r w:rsidRPr="00C0223F">
        <w:rPr>
          <w:b/>
        </w:rPr>
        <w:t>Muzinich</w:t>
      </w:r>
      <w:r>
        <w:t xml:space="preserve"> </w:t>
      </w:r>
      <w:r w:rsidRPr="00C0223F">
        <w:rPr>
          <w:b/>
        </w:rPr>
        <w:t>and Werker</w:t>
      </w:r>
      <w:r>
        <w:t>, 6/2/</w:t>
      </w:r>
      <w:r w:rsidRPr="00C0223F">
        <w:rPr>
          <w:b/>
        </w:rPr>
        <w:t>2008</w:t>
      </w:r>
      <w:r>
        <w:t xml:space="preserve"> (Justin – works for a hedge fund, and Eric – assistant professor in the Business, Government &amp; International economy unit at Harvard Business School, A Better Approach to Foreign Aid, Hoover Institution Policy Review, p. http://www.hoover.org/publications/policy-review/article/5767)</w:t>
      </w:r>
    </w:p>
    <w:p w:rsidR="002B16DF" w:rsidRDefault="002B16DF" w:rsidP="002B16DF">
      <w:pPr>
        <w:rPr>
          <w:rStyle w:val="TitleChar"/>
          <w:highlight w:val="yellow"/>
        </w:rPr>
      </w:pPr>
      <w:r w:rsidRPr="0024019A">
        <w:rPr>
          <w:sz w:val="16"/>
        </w:rPr>
        <w:t xml:space="preserve">A third important advantage of </w:t>
      </w:r>
      <w:r w:rsidRPr="0024019A">
        <w:rPr>
          <w:rStyle w:val="TitleChar"/>
          <w:highlight w:val="yellow"/>
        </w:rPr>
        <w:t xml:space="preserve">involving the private </w:t>
      </w:r>
    </w:p>
    <w:p w:rsidR="002B16DF" w:rsidRDefault="002B16DF" w:rsidP="002B16DF">
      <w:pPr>
        <w:rPr>
          <w:sz w:val="16"/>
        </w:rPr>
      </w:pPr>
      <w:r>
        <w:rPr>
          <w:sz w:val="16"/>
        </w:rPr>
        <w:t xml:space="preserve">AND </w:t>
      </w:r>
    </w:p>
    <w:p w:rsidR="002B16DF" w:rsidRDefault="002B16DF" w:rsidP="002B16DF">
      <w:pPr>
        <w:rPr>
          <w:sz w:val="16"/>
        </w:rPr>
      </w:pPr>
      <w:proofErr w:type="gramStart"/>
      <w:r w:rsidRPr="0024019A">
        <w:rPr>
          <w:sz w:val="16"/>
        </w:rPr>
        <w:t>the</w:t>
      </w:r>
      <w:proofErr w:type="gramEnd"/>
      <w:r w:rsidRPr="0024019A">
        <w:rPr>
          <w:sz w:val="16"/>
        </w:rPr>
        <w:t xml:space="preserve"> total size of the program should be.</w:t>
      </w:r>
    </w:p>
    <w:p w:rsidR="002B16DF" w:rsidRPr="00B131B0" w:rsidRDefault="002B16DF" w:rsidP="002B16DF">
      <w:pPr>
        <w:pStyle w:val="Heading4"/>
      </w:pPr>
      <w:r>
        <w:t>That prevents program rollback and instability.</w:t>
      </w:r>
    </w:p>
    <w:p w:rsidR="002B16DF" w:rsidRDefault="002B16DF" w:rsidP="002B16DF">
      <w:r w:rsidRPr="00B131B0">
        <w:rPr>
          <w:b/>
        </w:rPr>
        <w:t>Ben-Meir</w:t>
      </w:r>
      <w:r>
        <w:t>, 11/1/</w:t>
      </w:r>
      <w:r w:rsidRPr="00B131B0">
        <w:rPr>
          <w:b/>
        </w:rPr>
        <w:t>2011</w:t>
      </w:r>
      <w:r>
        <w:t xml:space="preserve"> (Alon – senior fellow at the New York University’s Center for Global Affairs, The Arab Spring: Political Reforms Must Be Accompanied by Economic Developments, The Huffington Post, </w:t>
      </w:r>
      <w:proofErr w:type="gramStart"/>
      <w:r>
        <w:t xml:space="preserve">p. </w:t>
      </w:r>
      <w:hyperlink r:id="rId7" w:history="1">
        <w:r w:rsidRPr="007D6EDB">
          <w:rPr>
            <w:rStyle w:val="Hyperlink"/>
          </w:rPr>
          <w:t>www.huffingtonpost.com/alon-benmeir/the-arab-springpolitical_b_1069665.html</w:t>
        </w:r>
        <w:proofErr w:type="gramEnd"/>
      </w:hyperlink>
      <w:r>
        <w:t>)</w:t>
      </w:r>
    </w:p>
    <w:p w:rsidR="002B16DF" w:rsidRDefault="002B16DF" w:rsidP="002B16DF">
      <w:pPr>
        <w:rPr>
          <w:rStyle w:val="Emphasis"/>
          <w:highlight w:val="yellow"/>
        </w:rPr>
      </w:pPr>
      <w:r w:rsidRPr="00B131B0">
        <w:rPr>
          <w:sz w:val="16"/>
        </w:rPr>
        <w:t xml:space="preserve">Whereas political reforms are needed and necessary, </w:t>
      </w:r>
    </w:p>
    <w:p w:rsidR="002B16DF" w:rsidRDefault="002B16DF" w:rsidP="002B16DF">
      <w:pPr>
        <w:rPr>
          <w:sz w:val="16"/>
        </w:rPr>
      </w:pPr>
      <w:r>
        <w:rPr>
          <w:sz w:val="16"/>
        </w:rPr>
        <w:t xml:space="preserve">AND </w:t>
      </w:r>
    </w:p>
    <w:p w:rsidR="002B16DF" w:rsidRDefault="002B16DF" w:rsidP="002B16DF">
      <w:pPr>
        <w:rPr>
          <w:sz w:val="16"/>
        </w:rPr>
      </w:pPr>
      <w:r w:rsidRPr="00B131B0">
        <w:rPr>
          <w:sz w:val="16"/>
        </w:rPr>
        <w:t xml:space="preserve">-- </w:t>
      </w:r>
      <w:proofErr w:type="gramStart"/>
      <w:r w:rsidRPr="00B131B0">
        <w:rPr>
          <w:sz w:val="16"/>
        </w:rPr>
        <w:t>who</w:t>
      </w:r>
      <w:proofErr w:type="gramEnd"/>
      <w:r w:rsidRPr="00B131B0">
        <w:rPr>
          <w:sz w:val="16"/>
        </w:rPr>
        <w:t xml:space="preserve"> themselves became targets of public discontent.</w:t>
      </w:r>
    </w:p>
    <w:p w:rsidR="00212067" w:rsidRPr="00AB2556" w:rsidRDefault="00212067" w:rsidP="00AB2556"/>
    <w:sectPr w:rsidR="00212067" w:rsidRPr="00AB2556" w:rsidSect="008641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6DF" w:rsidRDefault="002B16DF" w:rsidP="00261634">
      <w:r>
        <w:separator/>
      </w:r>
    </w:p>
  </w:endnote>
  <w:endnote w:type="continuationSeparator" w:id="0">
    <w:p w:rsidR="002B16DF" w:rsidRDefault="002B16DF"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743568">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6DF" w:rsidRDefault="002B16DF" w:rsidP="00261634">
      <w:r>
        <w:separator/>
      </w:r>
    </w:p>
  </w:footnote>
  <w:footnote w:type="continuationSeparator" w:id="0">
    <w:p w:rsidR="002B16DF" w:rsidRDefault="002B16DF"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743568"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grammar="clean"/>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16DF"/>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568"/>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16DF"/>
    <w:rPr>
      <w:rFonts w:ascii="Times New Roman" w:eastAsiaTheme="minorHAnsi" w:hAnsi="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at"/>
    <w:basedOn w:val="Normal"/>
    <w:next w:val="Normal"/>
    <w:link w:val="Heading2Char"/>
    <w:uiPriority w:val="2"/>
    <w:unhideWhenUsed/>
    <w:qFormat/>
    <w:rsid w:val="00236E21"/>
    <w:pPr>
      <w:outlineLvl w:val="1"/>
    </w:pPr>
    <w:rPr>
      <w:rFonts w:eastAsia="Calibri" w:cs="Times New Roman"/>
      <w:b/>
      <w:sz w:val="24"/>
      <w:szCs w:val="26"/>
    </w:rPr>
  </w:style>
  <w:style w:type="paragraph" w:styleId="Heading3">
    <w:name w:val="heading 3"/>
    <w:aliases w:val="Block,Heading 3 Char Char, Char"/>
    <w:basedOn w:val="Normal"/>
    <w:next w:val="Normal"/>
    <w:link w:val="Heading3Char"/>
    <w:qFormat/>
    <w:rsid w:val="002B16D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2B16D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236E21"/>
    <w:rPr>
      <w:rFonts w:ascii="Times New Roman" w:hAnsi="Times New Roman" w:cs="Times New Roman"/>
      <w:b/>
      <w:sz w:val="24"/>
      <w:szCs w:val="26"/>
    </w:rPr>
  </w:style>
  <w:style w:type="character" w:styleId="Hyperlink">
    <w:name w:val="Hyper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cs="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cs="Times New Roman"/>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cs="Times New Roman"/>
    </w:rPr>
  </w:style>
  <w:style w:type="paragraph" w:customStyle="1" w:styleId="LanguageEditing">
    <w:name w:val="Language Editing"/>
    <w:basedOn w:val="Normal"/>
    <w:link w:val="LanguageEditingChar"/>
    <w:qFormat/>
    <w:rsid w:val="00236E21"/>
    <w:rPr>
      <w:rFonts w:eastAsia="Times New Roman" w:cs="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cs="Times New Roman"/>
    </w:rPr>
  </w:style>
  <w:style w:type="paragraph" w:styleId="TOC4">
    <w:name w:val="toc 4"/>
    <w:basedOn w:val="Normal"/>
    <w:next w:val="Normal"/>
    <w:autoRedefine/>
    <w:uiPriority w:val="39"/>
    <w:semiHidden/>
    <w:unhideWhenUsed/>
    <w:rsid w:val="00212067"/>
    <w:pPr>
      <w:spacing w:before="240"/>
    </w:pPr>
    <w:rPr>
      <w:rFonts w:eastAsia="Calibri" w:cs="Times New Roman"/>
      <w:b/>
      <w:u w:val="single"/>
    </w:rPr>
  </w:style>
  <w:style w:type="paragraph" w:customStyle="1" w:styleId="Citation">
    <w:name w:val="Citation"/>
    <w:basedOn w:val="Normal"/>
    <w:link w:val="CitationChar"/>
    <w:qFormat/>
    <w:rsid w:val="00AB2556"/>
    <w:rPr>
      <w:rFonts w:eastAsia="Calibri" w:cs="Times New Roman"/>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character" w:customStyle="1" w:styleId="Heading3Char">
    <w:name w:val="Heading 3 Char"/>
    <w:aliases w:val="Block Char,Heading 3 Char Char Char, Char Char1"/>
    <w:basedOn w:val="DefaultParagraphFont"/>
    <w:link w:val="Heading3"/>
    <w:qFormat/>
    <w:rsid w:val="002B16DF"/>
    <w:rPr>
      <w:rFonts w:ascii="Times New Roman" w:eastAsiaTheme="majorEastAsia" w:hAnsi="Times New Roman" w:cstheme="majorBidi"/>
      <w:b/>
      <w:bCs/>
      <w:sz w:val="20"/>
    </w:rPr>
  </w:style>
  <w:style w:type="character" w:customStyle="1" w:styleId="Heading4Char">
    <w:name w:val="Heading 4 Char"/>
    <w:aliases w:val="Tag Char"/>
    <w:basedOn w:val="DefaultParagraphFont"/>
    <w:link w:val="Heading4"/>
    <w:rsid w:val="002B16DF"/>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
    <w:basedOn w:val="DefaultParagraphFont"/>
    <w:uiPriority w:val="6"/>
    <w:qFormat/>
    <w:rsid w:val="002B16DF"/>
    <w:rPr>
      <w:rFonts w:ascii="Times New Roman" w:hAnsi="Times New Roman"/>
      <w:b/>
      <w:i w:val="0"/>
      <w:iCs/>
      <w:sz w:val="20"/>
      <w:u w:val="single"/>
      <w:bdr w:val="single" w:sz="4" w:space="0" w:color="auto"/>
    </w:rPr>
  </w:style>
  <w:style w:type="character" w:customStyle="1" w:styleId="TitleChar">
    <w:name w:val="Title Char"/>
    <w:basedOn w:val="DefaultParagraphFont"/>
    <w:link w:val="Title"/>
    <w:uiPriority w:val="1"/>
    <w:qFormat/>
    <w:rsid w:val="002B16DF"/>
    <w:rPr>
      <w:rFonts w:ascii="Times New Roman" w:hAnsi="Times New Roman"/>
      <w:bCs/>
      <w:sz w:val="20"/>
      <w:u w:val="single"/>
    </w:rPr>
  </w:style>
  <w:style w:type="paragraph" w:styleId="Title">
    <w:name w:val="Title"/>
    <w:basedOn w:val="Normal"/>
    <w:next w:val="Normal"/>
    <w:link w:val="TitleChar"/>
    <w:uiPriority w:val="1"/>
    <w:qFormat/>
    <w:rsid w:val="002B16DF"/>
    <w:pPr>
      <w:pBdr>
        <w:bottom w:val="single" w:sz="8" w:space="4" w:color="4F81BD"/>
      </w:pBdr>
      <w:spacing w:after="300"/>
      <w:contextualSpacing/>
    </w:pPr>
    <w:rPr>
      <w:rFonts w:eastAsia="Calibri"/>
      <w:bCs/>
      <w:u w:val="single"/>
    </w:rPr>
  </w:style>
  <w:style w:type="character" w:customStyle="1" w:styleId="TitleChar1">
    <w:name w:val="Title Char1"/>
    <w:basedOn w:val="DefaultParagraphFont"/>
    <w:link w:val="Title"/>
    <w:uiPriority w:val="10"/>
    <w:rsid w:val="002B16D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uffingtonpost.com/alon-benmeir/the-arab-springpolitical_b_106966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9D2A-6F9C-49A9-ADCF-07445076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3557</Characters>
  <Application>Microsoft Office Word</Application>
  <DocSecurity>0</DocSecurity>
  <Lines>86</Lines>
  <Paragraphs>69</Paragraphs>
  <ScaleCrop>false</ScaleCrop>
  <Company>Liberty University</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2012-04-01T15:15:00Z</dcterms:created>
  <dcterms:modified xsi:type="dcterms:W3CDTF">2012-04-01T15:19:00Z</dcterms:modified>
</cp:coreProperties>
</file>