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FCF" w:rsidRDefault="00D14FCF" w:rsidP="00D14FCF">
      <w:pPr>
        <w:pStyle w:val="Heading1"/>
      </w:pPr>
      <w:r>
        <w:t>Case</w:t>
      </w:r>
    </w:p>
    <w:p w:rsidR="00D14FCF" w:rsidRPr="00D14FCF" w:rsidRDefault="00D14FCF" w:rsidP="00D14FCF"/>
    <w:p w:rsidR="00D14FCF" w:rsidRDefault="00D14FCF" w:rsidP="00D14FCF">
      <w:pPr>
        <w:pStyle w:val="Heading2"/>
      </w:pPr>
      <w:proofErr w:type="spellStart"/>
      <w:r>
        <w:t>Neoliberalism</w:t>
      </w:r>
      <w:proofErr w:type="spellEnd"/>
      <w:r>
        <w:t xml:space="preserve"> is dead – that’s Schreiner – the only choice is between the authoritarian market ethic of the Tea Party and Occupy</w:t>
      </w:r>
    </w:p>
    <w:p w:rsidR="00D14FCF" w:rsidRDefault="00D14FCF" w:rsidP="00D14FCF"/>
    <w:p w:rsidR="00D14FCF" w:rsidRDefault="00D14FCF" w:rsidP="00D14FCF">
      <w:pPr>
        <w:pStyle w:val="Heading2"/>
      </w:pPr>
      <w:r>
        <w:t>Occupy movement aims to restore basic capitalist functioning</w:t>
      </w:r>
    </w:p>
    <w:p w:rsidR="00D14FCF" w:rsidRDefault="00D14FCF" w:rsidP="00D14FCF">
      <w:proofErr w:type="spellStart"/>
      <w:r>
        <w:t>Kristof</w:t>
      </w:r>
      <w:proofErr w:type="spellEnd"/>
      <w:r>
        <w:t xml:space="preserve"> 11 (Nicholas D. </w:t>
      </w:r>
      <w:proofErr w:type="spellStart"/>
      <w:r>
        <w:t>Kristof</w:t>
      </w:r>
      <w:proofErr w:type="spellEnd"/>
      <w:r>
        <w:t>, a two-time Pulitzer Prize winner and New York Times columnist, October 26, 2011, “Crony Capitalism Comes Home”, http://www.nytimes.com/2011/10/27/opinion/kristof-crony-capitalism-comes-homes.html?_r=1)</w:t>
      </w:r>
    </w:p>
    <w:p w:rsidR="00D14FCF" w:rsidRDefault="00D14FCF" w:rsidP="00D14FCF"/>
    <w:p w:rsidR="00D14FCF" w:rsidRDefault="00D14FCF" w:rsidP="00D14FCF">
      <w:proofErr w:type="gramStart"/>
      <w:r>
        <w:t>answer</w:t>
      </w:r>
      <w:proofErr w:type="gramEnd"/>
      <w:r>
        <w:t xml:space="preserve"> is no. </w:t>
      </w:r>
      <w:proofErr w:type="gramStart"/>
      <w:r>
        <w:t>That alarmist view of . . . out of capitalism, right here at home.</w:t>
      </w:r>
      <w:proofErr w:type="gramEnd"/>
    </w:p>
    <w:p w:rsidR="00D14FCF" w:rsidRDefault="00D14FCF" w:rsidP="00D14FCF"/>
    <w:p w:rsidR="00D14FCF" w:rsidRDefault="00D14FCF" w:rsidP="00D14FCF">
      <w:pPr>
        <w:pStyle w:val="Heading2"/>
      </w:pPr>
      <w:r>
        <w:t>Income equity key to economic strength – Occupy can galvanize change for growth</w:t>
      </w:r>
    </w:p>
    <w:p w:rsidR="00D14FCF" w:rsidRDefault="00D14FCF" w:rsidP="00D14FCF">
      <w:r>
        <w:t>Kenny 11 (Charles Kenny, senior fellow at the Center for Global Development, a Schwartz fellow at the New America Foundation, NOVEMBER 14, 2011, “The Accidental Capitalists”, http://www.foreignpolicy.com/articles/2011/11/14/the_accidental_capitalists)</w:t>
      </w:r>
    </w:p>
    <w:p w:rsidR="00D14FCF" w:rsidRDefault="00D14FCF" w:rsidP="00D14FCF"/>
    <w:p w:rsidR="00D14FCF" w:rsidRDefault="00D14FCF" w:rsidP="00D14FCF">
      <w:r>
        <w:t>As the Occupy Wall Street protests drag on . . . and, however paradoxically, a wealthier America.</w:t>
      </w:r>
    </w:p>
    <w:p w:rsidR="00D14FCF" w:rsidRDefault="00D14FCF" w:rsidP="00D14FCF"/>
    <w:p w:rsidR="00D14FCF" w:rsidRDefault="00D14FCF" w:rsidP="00D14FCF"/>
    <w:p w:rsidR="00D14FCF" w:rsidRDefault="00D14FCF" w:rsidP="00D14FCF">
      <w:pPr>
        <w:pStyle w:val="Heading1"/>
      </w:pPr>
      <w:r>
        <w:t>2AC Framework</w:t>
      </w:r>
    </w:p>
    <w:p w:rsidR="00D14FCF" w:rsidRDefault="00D14FCF" w:rsidP="00D14FCF">
      <w:pPr>
        <w:pStyle w:val="Heading2"/>
      </w:pPr>
      <w:r>
        <w:t>Traditional debate ignores that we’re debating on the enemy’s turf – occupation is key</w:t>
      </w:r>
    </w:p>
    <w:p w:rsidR="00D14FCF" w:rsidRDefault="00D14FCF" w:rsidP="00D14FCF">
      <w:proofErr w:type="spellStart"/>
      <w:proofErr w:type="gramStart"/>
      <w:r>
        <w:t>Žižek</w:t>
      </w:r>
      <w:proofErr w:type="spellEnd"/>
      <w:r>
        <w:t xml:space="preserve"> 11 (</w:t>
      </w:r>
      <w:proofErr w:type="spellStart"/>
      <w:r>
        <w:t>Slavoj</w:t>
      </w:r>
      <w:proofErr w:type="spellEnd"/>
      <w:r>
        <w:t xml:space="preserve"> </w:t>
      </w:r>
      <w:proofErr w:type="spellStart"/>
      <w:r>
        <w:t>Žižek</w:t>
      </w:r>
      <w:proofErr w:type="spellEnd"/>
      <w:r>
        <w:t>, 26 October 2011, “Occupy first.</w:t>
      </w:r>
      <w:proofErr w:type="gramEnd"/>
      <w:r>
        <w:t xml:space="preserve"> Demands come later”, http://www.guardian.co.uk/commentisfree/2011/oct/26/occupy-protesters-bill-clinton)</w:t>
      </w:r>
    </w:p>
    <w:p w:rsidR="00D14FCF" w:rsidRDefault="00D14FCF" w:rsidP="00D14FCF"/>
    <w:p w:rsidR="00D14FCF" w:rsidRDefault="00D14FCF" w:rsidP="00D14FCF">
      <w:r>
        <w:t xml:space="preserve">What one should resist at this stage is . . . </w:t>
      </w:r>
      <w:proofErr w:type="gramStart"/>
      <w:r>
        <w:t>",</w:t>
      </w:r>
      <w:proofErr w:type="gramEnd"/>
      <w:r>
        <w:t xml:space="preserve"> ominous and threatening as it should be.</w:t>
      </w:r>
    </w:p>
    <w:p w:rsidR="00D14FCF" w:rsidRDefault="00D14FCF" w:rsidP="00D14FCF"/>
    <w:p w:rsidR="00D14FCF" w:rsidRDefault="00D14FCF" w:rsidP="00D14FCF">
      <w:pPr>
        <w:pStyle w:val="Heading2"/>
      </w:pPr>
      <w:r>
        <w:t>Limits are impossible</w:t>
      </w:r>
    </w:p>
    <w:p w:rsidR="00D14FCF" w:rsidRDefault="00D14FCF" w:rsidP="00D14FCF">
      <w:r>
        <w:t xml:space="preserve">De Cock 1 (Christian De Cock, Professor of Organizational </w:t>
      </w:r>
      <w:proofErr w:type="spellStart"/>
      <w:r>
        <w:t>behaviour</w:t>
      </w:r>
      <w:proofErr w:type="spellEnd"/>
      <w:r>
        <w:t>, change management, creative problem solving, 2001, “Of Philip K. Dick, reflexivity and shifting realities Organizing (writing) in our post-industrial society” in the book “Science Fiction and Organization”)</w:t>
      </w:r>
    </w:p>
    <w:p w:rsidR="00D14FCF" w:rsidRDefault="00D14FCF" w:rsidP="00D14FCF">
      <w:r>
        <w:tab/>
      </w:r>
    </w:p>
    <w:p w:rsidR="00D14FCF" w:rsidRDefault="00D14FCF" w:rsidP="00D14FCF">
      <w:r>
        <w:t xml:space="preserve">'As Marx might have said more </w:t>
      </w:r>
      <w:proofErr w:type="gramStart"/>
      <w:r>
        <w:t>generally, . . .</w:t>
      </w:r>
      <w:proofErr w:type="gramEnd"/>
      <w:r>
        <w:t xml:space="preserve"> (McCloskey, 1994, p. 166). </w:t>
      </w:r>
    </w:p>
    <w:p w:rsidR="00D14FCF" w:rsidRDefault="00D14FCF" w:rsidP="00D14FCF"/>
    <w:p w:rsidR="00D14FCF" w:rsidRDefault="00D14FCF" w:rsidP="00D14FCF"/>
    <w:p w:rsidR="00D14FCF" w:rsidRDefault="00D14FCF" w:rsidP="00D14FCF">
      <w:pPr>
        <w:pStyle w:val="Heading1"/>
      </w:pPr>
      <w:r>
        <w:t>2AC Decolonize</w:t>
      </w:r>
    </w:p>
    <w:p w:rsidR="00D14FCF" w:rsidRDefault="00D14FCF" w:rsidP="00D14FCF">
      <w:pPr>
        <w:pStyle w:val="Heading2"/>
      </w:pPr>
      <w:r>
        <w:t xml:space="preserve">Perm – expand the </w:t>
      </w:r>
      <w:proofErr w:type="spellStart"/>
      <w:r>
        <w:t>aff’s</w:t>
      </w:r>
      <w:proofErr w:type="spellEnd"/>
      <w:r>
        <w:t xml:space="preserve"> solidarity to the struggles of indigenous peoples – rejecting the notion of occupation wholesale cedes the movement</w:t>
      </w:r>
    </w:p>
    <w:p w:rsidR="00D14FCF" w:rsidRDefault="00D14FCF" w:rsidP="00D14FCF">
      <w:r>
        <w:t>Scott 11 (About Scott, contributor to The Occupy Oakland Tribune, November 27, 2011, “Decolonize the Americas–but Occupy Oakland”, http://occupiedoaktrib.org/2011/11/27/decolonize-the-americas-but-occupy-oakland/)</w:t>
      </w:r>
    </w:p>
    <w:p w:rsidR="00D14FCF" w:rsidRDefault="00D14FCF" w:rsidP="00D14FCF">
      <w:r>
        <w:tab/>
      </w:r>
      <w:r>
        <w:tab/>
      </w:r>
    </w:p>
    <w:p w:rsidR="00D14FCF" w:rsidRDefault="00D14FCF" w:rsidP="00D14FCF">
      <w:r>
        <w:t>In an attempt to further raise awareness around . . . should not continue and expand under Occupy Oakland.</w:t>
      </w:r>
    </w:p>
    <w:p w:rsidR="00D14FCF" w:rsidRDefault="00D14FCF" w:rsidP="00D14FCF"/>
    <w:p w:rsidR="00D14FCF" w:rsidRDefault="00D14FCF" w:rsidP="00D14FCF">
      <w:pPr>
        <w:pStyle w:val="Heading2"/>
      </w:pPr>
      <w:r>
        <w:t>The totalizing logic of first priority shatters the movement and flips the operations of oppression – Occupy must remain open to multiple views</w:t>
      </w:r>
    </w:p>
    <w:p w:rsidR="00D14FCF" w:rsidRDefault="00D14FCF" w:rsidP="00D14FCF">
      <w:proofErr w:type="spellStart"/>
      <w:r>
        <w:t>Yassin</w:t>
      </w:r>
      <w:proofErr w:type="spellEnd"/>
      <w:r>
        <w:t xml:space="preserve"> 11 (Jaime Omar </w:t>
      </w:r>
      <w:proofErr w:type="spellStart"/>
      <w:r>
        <w:t>Yassin</w:t>
      </w:r>
      <w:proofErr w:type="spellEnd"/>
      <w:r>
        <w:t>, activist and member of Occupy Oakland, December 5, 2011, “Word versus Action”, http://hyphenatedrepublic.wordpress.com/2011/12/05/word-versus-action/)</w:t>
      </w:r>
    </w:p>
    <w:p w:rsidR="00D14FCF" w:rsidRDefault="00D14FCF" w:rsidP="00D14FCF"/>
    <w:p w:rsidR="00D14FCF" w:rsidRDefault="00D14FCF" w:rsidP="00D14FCF">
      <w:r>
        <w:t>The rage to me, then, is . . . when we talk about opening up the movement.</w:t>
      </w:r>
    </w:p>
    <w:p w:rsidR="00D14FCF" w:rsidRDefault="00D14FCF" w:rsidP="00D14FCF"/>
    <w:p w:rsidR="00D14FCF" w:rsidRDefault="00D14FCF" w:rsidP="00D14FCF">
      <w:pPr>
        <w:pStyle w:val="Heading2"/>
      </w:pPr>
      <w:proofErr w:type="spellStart"/>
      <w:r>
        <w:t>Hierarchizing</w:t>
      </w:r>
      <w:proofErr w:type="spellEnd"/>
      <w:r>
        <w:t xml:space="preserve"> oppression crushes coalitional solidarity and obscures the complex </w:t>
      </w:r>
      <w:proofErr w:type="spellStart"/>
      <w:r>
        <w:t>overdetermination</w:t>
      </w:r>
      <w:proofErr w:type="spellEnd"/>
      <w:r>
        <w:t xml:space="preserve"> of social exploitation </w:t>
      </w:r>
      <w:proofErr w:type="gramStart"/>
      <w:r>
        <w:t>-  This</w:t>
      </w:r>
      <w:proofErr w:type="gramEnd"/>
      <w:r>
        <w:t xml:space="preserve"> approach devolves into political </w:t>
      </w:r>
      <w:proofErr w:type="spellStart"/>
      <w:r>
        <w:t>moralism</w:t>
      </w:r>
      <w:proofErr w:type="spellEnd"/>
      <w:r>
        <w:t>, fragmenting progressive politics</w:t>
      </w:r>
    </w:p>
    <w:p w:rsidR="00D14FCF" w:rsidRDefault="00D14FCF" w:rsidP="00D14FCF">
      <w:proofErr w:type="spellStart"/>
      <w:r>
        <w:t>Briskin</w:t>
      </w:r>
      <w:proofErr w:type="spellEnd"/>
      <w:r>
        <w:t xml:space="preserve"> 90 women's studies at York University</w:t>
      </w:r>
      <w:proofErr w:type="gramStart"/>
      <w:r>
        <w:t>, . . . ,</w:t>
      </w:r>
      <w:proofErr w:type="gramEnd"/>
      <w:r>
        <w:t xml:space="preserve"> No. 35 (Summer, 1990)]</w:t>
      </w:r>
    </w:p>
    <w:p w:rsidR="00D14FCF" w:rsidRDefault="00D14FCF" w:rsidP="00D14FCF"/>
    <w:p w:rsidR="00D14FCF" w:rsidRDefault="00D14FCF" w:rsidP="00D14FCF">
      <w:r>
        <w:t xml:space="preserve">The recognition of the class-gender link . . . the women's movement as a movement for change. </w:t>
      </w:r>
    </w:p>
    <w:p w:rsidR="00D14FCF" w:rsidRDefault="00D14FCF" w:rsidP="00D14FCF"/>
    <w:p w:rsidR="00D14FCF" w:rsidRDefault="00D14FCF" w:rsidP="00D14FCF">
      <w:pPr>
        <w:pStyle w:val="Heading2"/>
      </w:pPr>
      <w:r>
        <w:t>Perm do both</w:t>
      </w:r>
    </w:p>
    <w:p w:rsidR="00D14FCF" w:rsidRDefault="00D14FCF" w:rsidP="00D14FCF">
      <w:proofErr w:type="spellStart"/>
      <w:r>
        <w:t>Maharawal</w:t>
      </w:r>
      <w:proofErr w:type="spellEnd"/>
      <w:r>
        <w:t xml:space="preserve"> 12 (</w:t>
      </w:r>
      <w:proofErr w:type="spellStart"/>
      <w:r>
        <w:t>Manissa</w:t>
      </w:r>
      <w:proofErr w:type="spellEnd"/>
      <w:r>
        <w:t xml:space="preserve"> </w:t>
      </w:r>
      <w:proofErr w:type="spellStart"/>
      <w:r>
        <w:t>McCleave</w:t>
      </w:r>
      <w:proofErr w:type="spellEnd"/>
      <w:r>
        <w:t xml:space="preserve"> </w:t>
      </w:r>
      <w:proofErr w:type="spellStart"/>
      <w:r>
        <w:t>Maharawal</w:t>
      </w:r>
      <w:proofErr w:type="spellEnd"/>
      <w:r>
        <w:t>, contributor to In Front and Center, January 5, 2012, “Why Occupy Wall Street Matters to Me and How It Can Continue to Matter”, http://infrontandcenter.wordpress.com/2012/01/05/why-occupy-wall-street-matters-to-me-and-how-it-can-continue-to-matter/)</w:t>
      </w:r>
    </w:p>
    <w:p w:rsidR="00D14FCF" w:rsidRDefault="00D14FCF" w:rsidP="00D14FCF"/>
    <w:p w:rsidR="00D14FCF" w:rsidRDefault="00D14FCF" w:rsidP="00D14FCF">
      <w:r>
        <w:t>We need to have a critique of the . . . good piece on this is here and here).</w:t>
      </w:r>
    </w:p>
    <w:p w:rsidR="00D14FCF" w:rsidRDefault="00D14FCF" w:rsidP="00D14FCF"/>
    <w:p w:rsidR="00D14FCF" w:rsidRDefault="00D14FCF" w:rsidP="00D14FCF">
      <w:pPr>
        <w:pStyle w:val="Heading1"/>
      </w:pPr>
      <w:r>
        <w:t>2AC Orientalism</w:t>
      </w:r>
    </w:p>
    <w:p w:rsidR="00D14FCF" w:rsidRDefault="00D14FCF" w:rsidP="00D14FCF">
      <w:pPr>
        <w:pStyle w:val="Heading2"/>
      </w:pPr>
      <w:r>
        <w:t xml:space="preserve">We </w:t>
      </w:r>
      <w:proofErr w:type="spellStart"/>
      <w:r>
        <w:t>problematize</w:t>
      </w:r>
      <w:proofErr w:type="spellEnd"/>
      <w:r>
        <w:t xml:space="preserve"> democracy</w:t>
      </w:r>
    </w:p>
    <w:p w:rsidR="00D14FCF" w:rsidRDefault="00D14FCF" w:rsidP="00D14FCF">
      <w:proofErr w:type="spellStart"/>
      <w:proofErr w:type="gramStart"/>
      <w:r>
        <w:t>Graeber</w:t>
      </w:r>
      <w:proofErr w:type="spellEnd"/>
      <w:r>
        <w:t xml:space="preserve"> 11 (David </w:t>
      </w:r>
      <w:proofErr w:type="spellStart"/>
      <w:r>
        <w:t>Graeber</w:t>
      </w:r>
      <w:proofErr w:type="spellEnd"/>
      <w:r>
        <w:t>, Reader in Social Anthropology at Goldsmiths, University of London.</w:t>
      </w:r>
      <w:proofErr w:type="gramEnd"/>
      <w:r>
        <w:t xml:space="preserve"> He was an associate professor of anthropology at Yale University, 15 November 2011, “Occupy and anarchism's gift of democracy”, http://www.guardian.co.uk/commentisfree/cifamerica/2011/nov/15/occupy-anarchism-gift-democracy)</w:t>
      </w:r>
    </w:p>
    <w:p w:rsidR="00D14FCF" w:rsidRDefault="00D14FCF" w:rsidP="00D14FCF"/>
    <w:p w:rsidR="00D14FCF" w:rsidRDefault="00D14FCF" w:rsidP="00D14FCF">
      <w:r>
        <w:t>This is not the first time a movement . . . has changed that: democracy has broken out.</w:t>
      </w:r>
    </w:p>
    <w:p w:rsidR="00D14FCF" w:rsidRDefault="00D14FCF" w:rsidP="00D14FCF"/>
    <w:p w:rsidR="00D14FCF" w:rsidRDefault="00D14FCF" w:rsidP="00D14FCF"/>
    <w:p w:rsidR="00D14FCF" w:rsidRDefault="00D14FCF" w:rsidP="00D14FCF">
      <w:pPr>
        <w:pStyle w:val="Heading2"/>
      </w:pPr>
      <w:r>
        <w:t>Their essentialism of democracy misses its radical social potential, plays back into neoliberal consensus, causes more violence</w:t>
      </w:r>
    </w:p>
    <w:p w:rsidR="00D14FCF" w:rsidRDefault="00D14FCF" w:rsidP="00D14FCF">
      <w:proofErr w:type="spellStart"/>
      <w:r>
        <w:t>Rancière</w:t>
      </w:r>
      <w:proofErr w:type="spellEnd"/>
      <w:r>
        <w:t xml:space="preserve"> ‘6 (Jacques, Professor of Aesthetics at the University of Paris VIII, “Hatred of democracy,” p. 91-93)</w:t>
      </w:r>
    </w:p>
    <w:p w:rsidR="00D14FCF" w:rsidRDefault="00D14FCF" w:rsidP="00D14FCF"/>
    <w:p w:rsidR="00D14FCF" w:rsidRDefault="00D14FCF" w:rsidP="00D14FCF">
      <w:r>
        <w:t>It is true that denouncing democracy as the . . . democracy, because democracy is tantamount to totalitarianism.</w:t>
      </w:r>
    </w:p>
    <w:p w:rsidR="00D14FCF" w:rsidRDefault="00D14FCF" w:rsidP="00D14FCF"/>
    <w:p w:rsidR="00D14FCF" w:rsidRDefault="00D14FCF" w:rsidP="00D14FCF">
      <w:pPr>
        <w:pStyle w:val="Heading1"/>
      </w:pPr>
      <w:r>
        <w:t>2AC Gender</w:t>
      </w:r>
    </w:p>
    <w:p w:rsidR="00D14FCF" w:rsidRDefault="00D14FCF" w:rsidP="00D14FCF"/>
    <w:p w:rsidR="00D14FCF" w:rsidRDefault="00D14FCF" w:rsidP="00D14FCF">
      <w:pPr>
        <w:pStyle w:val="Heading2"/>
      </w:pPr>
      <w:r>
        <w:t>Confrontation with a material conditions that structure</w:t>
      </w:r>
    </w:p>
    <w:p w:rsidR="00D14FCF" w:rsidRDefault="00D14FCF" w:rsidP="00D14FCF">
      <w:proofErr w:type="spellStart"/>
      <w:r>
        <w:t>Žižek</w:t>
      </w:r>
      <w:proofErr w:type="spellEnd"/>
      <w:r>
        <w:t xml:space="preserve"> ‘10 (</w:t>
      </w:r>
      <w:proofErr w:type="spellStart"/>
      <w:r>
        <w:t>Slavoj</w:t>
      </w:r>
      <w:proofErr w:type="spellEnd"/>
      <w:r>
        <w:t xml:space="preserve">, Prof. of European Graduate School, Intl. Director of the </w:t>
      </w:r>
      <w:proofErr w:type="spellStart"/>
      <w:r>
        <w:t>Birkbeck</w:t>
      </w:r>
      <w:proofErr w:type="spellEnd"/>
      <w:r>
        <w:t xml:space="preserve"> Inst. for Humanities, U. of London, and Senior Researcher @ Inst. of Sociology, U. of </w:t>
      </w:r>
      <w:proofErr w:type="spellStart"/>
      <w:r>
        <w:t>Ljubljiana</w:t>
      </w:r>
      <w:proofErr w:type="spellEnd"/>
      <w:r>
        <w:t>, Living in the End Times, http://www.lacan.com/essays/?page_id=454#_ftn3 BB)</w:t>
      </w:r>
    </w:p>
    <w:p w:rsidR="00D14FCF" w:rsidRDefault="00D14FCF" w:rsidP="00D14FCF">
      <w:r>
        <w:t>I totally agree with the general principle that . . . of the hedonist permissiveness which is effectively hegemonic.</w:t>
      </w:r>
    </w:p>
    <w:p w:rsidR="00D14FCF" w:rsidRDefault="00D14FCF" w:rsidP="00D14FCF"/>
    <w:p w:rsidR="00D14FCF" w:rsidRDefault="00D14FCF" w:rsidP="00D14FCF">
      <w:pPr>
        <w:pStyle w:val="Heading2"/>
      </w:pPr>
      <w:r>
        <w:t xml:space="preserve">Their critique misunderstands the dynamic nature of the movement – true criticism must be </w:t>
      </w:r>
      <w:proofErr w:type="spellStart"/>
      <w:r>
        <w:t>immanent</w:t>
      </w:r>
      <w:proofErr w:type="spellEnd"/>
      <w:r>
        <w:t xml:space="preserve"> and involved</w:t>
      </w:r>
    </w:p>
    <w:p w:rsidR="00D14FCF" w:rsidRDefault="00D14FCF" w:rsidP="00D14FCF">
      <w:r>
        <w:t xml:space="preserve">Ely 11 (Mike Ely, veteran revolutionary who works with </w:t>
      </w:r>
      <w:proofErr w:type="spellStart"/>
      <w:r>
        <w:t>Kasama's</w:t>
      </w:r>
      <w:proofErr w:type="spellEnd"/>
      <w:r>
        <w:t xml:space="preserve"> project for </w:t>
      </w:r>
      <w:proofErr w:type="spellStart"/>
      <w:r>
        <w:t>reconceiving</w:t>
      </w:r>
      <w:proofErr w:type="spellEnd"/>
      <w:r>
        <w:t xml:space="preserve"> the communist movement, October 4, 2011, “Occupy critiques: How did I get here? By know-it-all subtraction?</w:t>
      </w:r>
      <w:proofErr w:type="gramStart"/>
      <w:r>
        <w:t>”,</w:t>
      </w:r>
      <w:proofErr w:type="gramEnd"/>
      <w:r>
        <w:t xml:space="preserve"> http://kasamaproject.org/2011/10/04/how-did-i-get-here-a-problem-of-know-it-all-subtraction/)</w:t>
      </w:r>
    </w:p>
    <w:p w:rsidR="00D14FCF" w:rsidRDefault="00D14FCF" w:rsidP="00D14FCF"/>
    <w:p w:rsidR="00212067" w:rsidRPr="00AB2556" w:rsidRDefault="00D14FCF" w:rsidP="00D14FCF">
      <w:r>
        <w:t>There is a method swirling around: Where . . . course, thinking we know what they need).</w:t>
      </w:r>
    </w:p>
    <w:sectPr w:rsidR="00212067" w:rsidRPr="00AB2556" w:rsidSect="008641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FCF" w:rsidRDefault="00D14FCF" w:rsidP="00261634">
      <w:r>
        <w:separator/>
      </w:r>
    </w:p>
  </w:endnote>
  <w:endnote w:type="continuationSeparator" w:id="0">
    <w:p w:rsidR="00D14FCF" w:rsidRDefault="00D14FCF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F32163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FCF" w:rsidRDefault="00D14FCF" w:rsidP="00261634">
      <w:r>
        <w:separator/>
      </w:r>
    </w:p>
  </w:footnote>
  <w:footnote w:type="continuationSeparator" w:id="0">
    <w:p w:rsidR="00D14FCF" w:rsidRDefault="00D14FCF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F32163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4FCF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2163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21"/>
    <w:rPr>
      <w:rFonts w:ascii="Times New Roman" w:hAnsi="Times New Roman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basedOn w:val="DefaultParagraphFont"/>
    <w:link w:val="Citation"/>
    <w:rsid w:val="00AB2556"/>
    <w:rPr>
      <w:rFonts w:ascii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FECDC-AA25-40E0-AC3B-284DD2409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691</Words>
  <Characters>4381</Characters>
  <Application>Microsoft Office Word</Application>
  <DocSecurity>0</DocSecurity>
  <Lines>109</Lines>
  <Paragraphs>48</Paragraphs>
  <ScaleCrop>false</ScaleCrop>
  <Company>Liberty University</Company>
  <LinksUpToDate>false</LinksUpToDate>
  <CharactersWithSpaces>5024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2012-03-31T20:41:00Z</dcterms:created>
  <dcterms:modified xsi:type="dcterms:W3CDTF">2012-03-31T20:43:00Z</dcterms:modified>
</cp:coreProperties>
</file>