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B7" w:rsidRPr="006354EE" w:rsidRDefault="001E16B7" w:rsidP="001E16B7">
      <w:pPr>
        <w:pStyle w:val="hat"/>
      </w:pPr>
      <w:r>
        <w:t>***1nc***</w:t>
      </w:r>
    </w:p>
    <w:p w:rsidR="001E16B7" w:rsidRDefault="001E16B7" w:rsidP="001E16B7">
      <w:pPr>
        <w:pStyle w:val="BlockTitle"/>
      </w:pPr>
      <w:r>
        <w:br w:type="page"/>
        <w:t>Topicality</w:t>
      </w:r>
    </w:p>
    <w:p w:rsidR="001E16B7" w:rsidRDefault="001E16B7" w:rsidP="001E16B7">
      <w:pPr>
        <w:rPr>
          <w:rStyle w:val="CitationChar"/>
        </w:rPr>
      </w:pPr>
      <w:r>
        <w:rPr>
          <w:rStyle w:val="CitationChar"/>
        </w:rPr>
        <w:t>A. Definition – the “United States Federal Government” is the legislative, judicial, and executive branches.</w:t>
      </w:r>
    </w:p>
    <w:p w:rsidR="001E16B7" w:rsidRDefault="001E16B7" w:rsidP="001E16B7">
      <w:pPr>
        <w:rPr>
          <w:rStyle w:val="CitationChar"/>
        </w:rPr>
      </w:pPr>
      <w:r>
        <w:rPr>
          <w:rStyle w:val="CitationChar"/>
        </w:rPr>
        <w:t>USA.gov, the U.S. government's official web portal, 9</w:t>
      </w:r>
    </w:p>
    <w:p w:rsidR="001E16B7" w:rsidRDefault="001E16B7" w:rsidP="001E16B7">
      <w:r>
        <w:t xml:space="preserve">(“U.S. Federal Government”, </w:t>
      </w:r>
      <w:hyperlink r:id="rId7" w:history="1">
        <w:r>
          <w:rPr>
            <w:rStyle w:val="Hyperlink"/>
          </w:rPr>
          <w:t>http://www.usa.gov/Agencies/federal.shtml</w:t>
        </w:r>
      </w:hyperlink>
      <w:r>
        <w:t>, accessed 7-29-9)</w:t>
      </w:r>
    </w:p>
    <w:p w:rsidR="001E16B7" w:rsidRDefault="001E16B7" w:rsidP="001E16B7"/>
    <w:p w:rsidR="001E16B7" w:rsidRDefault="001E16B7" w:rsidP="001E16B7">
      <w:pPr>
        <w:pStyle w:val="card"/>
      </w:pPr>
      <w:r w:rsidRPr="004B3A32">
        <w:rPr>
          <w:rStyle w:val="underline0"/>
          <w:highlight w:val="yellow"/>
        </w:rPr>
        <w:t>U.S. Federal Government</w:t>
      </w:r>
      <w:r>
        <w:rPr>
          <w:rStyle w:val="underline0"/>
          <w:highlight w:val="yellow"/>
        </w:rPr>
        <w:t xml:space="preserve"> </w:t>
      </w:r>
      <w:r>
        <w:t>AND U.S. government's branches.</w:t>
      </w:r>
    </w:p>
    <w:p w:rsidR="001E16B7" w:rsidRDefault="001E16B7" w:rsidP="001E16B7"/>
    <w:p w:rsidR="001E16B7" w:rsidRDefault="001E16B7" w:rsidP="001E16B7">
      <w:pPr>
        <w:rPr>
          <w:rStyle w:val="CitationChar"/>
        </w:rPr>
      </w:pPr>
      <w:r>
        <w:rPr>
          <w:rStyle w:val="CitationChar"/>
        </w:rPr>
        <w:t>And, “Its” is a possessive determiner – they indicate possession of the noun they modify – in this case, the democracy assistance that is possessed by the United States Federal Government</w:t>
      </w:r>
    </w:p>
    <w:p w:rsidR="001E16B7" w:rsidRDefault="001E16B7" w:rsidP="001E16B7">
      <w:pPr>
        <w:rPr>
          <w:rStyle w:val="CitationChar"/>
        </w:rPr>
      </w:pPr>
      <w:r>
        <w:rPr>
          <w:rStyle w:val="CitationChar"/>
        </w:rPr>
        <w:t>Kosur, Language Learning Channel contributing editor &amp; Illinois State University Milner Library conservation technician, 9</w:t>
      </w:r>
    </w:p>
    <w:p w:rsidR="001E16B7" w:rsidRDefault="001E16B7" w:rsidP="001E16B7">
      <w:r>
        <w:t xml:space="preserve">(Heather Marie, 6-16-9, “The Forms and Function of Determiners in English”, </w:t>
      </w:r>
    </w:p>
    <w:p w:rsidR="001E16B7" w:rsidRDefault="001E16B7" w:rsidP="001E16B7">
      <w:hyperlink r:id="rId8" w:history="1">
        <w:r>
          <w:rPr>
            <w:rStyle w:val="Hyperlink"/>
          </w:rPr>
          <w:t>http://www.brighthub.com/education/languages/articles/36828.aspx</w:t>
        </w:r>
      </w:hyperlink>
      <w:r>
        <w:t>, accessed 9-7-9)</w:t>
      </w:r>
    </w:p>
    <w:p w:rsidR="001E16B7" w:rsidRDefault="001E16B7" w:rsidP="001E16B7"/>
    <w:p w:rsidR="001E16B7" w:rsidRDefault="001E16B7" w:rsidP="001E16B7">
      <w:pPr>
        <w:pStyle w:val="card"/>
        <w:rPr>
          <w:rStyle w:val="CitationChar"/>
          <w:u w:val="single"/>
        </w:rPr>
      </w:pPr>
      <w:r>
        <w:t xml:space="preserve">Possessive Determiners The second grammatical form AND </w:t>
      </w:r>
      <w:r>
        <w:rPr>
          <w:rStyle w:val="underline0"/>
        </w:rPr>
        <w:t>and sometimes</w:t>
      </w:r>
      <w:r>
        <w:t xml:space="preserve"> incorrectly </w:t>
      </w:r>
      <w:r>
        <w:rPr>
          <w:rStyle w:val="underline0"/>
        </w:rPr>
        <w:t>called possessive pronouns.</w:t>
      </w:r>
    </w:p>
    <w:p w:rsidR="001E16B7" w:rsidRDefault="001E16B7" w:rsidP="001E16B7"/>
    <w:p w:rsidR="001E16B7" w:rsidRDefault="001E16B7" w:rsidP="001E16B7">
      <w:pPr>
        <w:rPr>
          <w:b/>
          <w:sz w:val="24"/>
        </w:rPr>
      </w:pPr>
      <w:r>
        <w:rPr>
          <w:rStyle w:val="CitationChar"/>
        </w:rPr>
        <w:t>And, “should” implies a call to action</w:t>
      </w:r>
    </w:p>
    <w:p w:rsidR="001E16B7" w:rsidRDefault="001E16B7" w:rsidP="001E16B7">
      <w:pPr>
        <w:rPr>
          <w:rStyle w:val="CitationChar"/>
        </w:rPr>
      </w:pPr>
      <w:r>
        <w:rPr>
          <w:rStyle w:val="CitationChar"/>
        </w:rPr>
        <w:t>Dictionary.com</w:t>
      </w:r>
    </w:p>
    <w:p w:rsidR="001E16B7" w:rsidRDefault="001E16B7" w:rsidP="001E16B7">
      <w:r>
        <w:t xml:space="preserve">("should." Dictionary.com Unabridged (v 1.1). Random House, </w:t>
      </w:r>
    </w:p>
    <w:p w:rsidR="001E16B7" w:rsidRDefault="001E16B7" w:rsidP="001E16B7">
      <w:hyperlink r:id="rId9" w:history="1">
        <w:r>
          <w:rPr>
            <w:rStyle w:val="Hyperlink"/>
          </w:rPr>
          <w:t>http://dictionary.reference.com/browse/should</w:t>
        </w:r>
      </w:hyperlink>
      <w:r>
        <w:t>, accessed 9-9-9)</w:t>
      </w:r>
    </w:p>
    <w:p w:rsidR="001E16B7" w:rsidRDefault="001E16B7" w:rsidP="001E16B7"/>
    <w:p w:rsidR="001E16B7" w:rsidRDefault="001E16B7" w:rsidP="001E16B7">
      <w:pPr>
        <w:pStyle w:val="card"/>
      </w:pPr>
      <w:r>
        <w:t xml:space="preserve">3. </w:t>
      </w:r>
      <w:r>
        <w:rPr>
          <w:rStyle w:val="underline0"/>
        </w:rPr>
        <w:t>must; ought</w:t>
      </w:r>
      <w:r>
        <w:t xml:space="preserve"> (AND ): You should not do that.</w:t>
      </w:r>
    </w:p>
    <w:p w:rsidR="001E16B7" w:rsidRDefault="001E16B7" w:rsidP="001E16B7"/>
    <w:p w:rsidR="001E16B7" w:rsidRDefault="001E16B7" w:rsidP="001E16B7">
      <w:pPr>
        <w:rPr>
          <w:rStyle w:val="CitationChar"/>
        </w:rPr>
      </w:pPr>
      <w:r>
        <w:rPr>
          <w:rStyle w:val="CitationChar"/>
        </w:rPr>
        <w:t xml:space="preserve">And “substantial” is quantitative </w:t>
      </w:r>
    </w:p>
    <w:p w:rsidR="001E16B7" w:rsidRDefault="001E16B7" w:rsidP="001E16B7">
      <w:pPr>
        <w:rPr>
          <w:rStyle w:val="CitationChar"/>
        </w:rPr>
      </w:pPr>
      <w:r>
        <w:rPr>
          <w:rStyle w:val="CitationChar"/>
        </w:rPr>
        <w:t>Merriam-Webster 9</w:t>
      </w:r>
    </w:p>
    <w:p w:rsidR="001E16B7" w:rsidRDefault="001E16B7" w:rsidP="001E16B7">
      <w:r>
        <w:t>(</w:t>
      </w:r>
      <w:hyperlink r:id="rId10" w:history="1">
        <w:r>
          <w:rPr>
            <w:rStyle w:val="Hyperlink"/>
          </w:rPr>
          <w:t>http://www.merriam-webster.com/dictionary/substantially</w:t>
        </w:r>
      </w:hyperlink>
      <w:r>
        <w:t>, accessed 9-9-9)</w:t>
      </w:r>
    </w:p>
    <w:p w:rsidR="001E16B7" w:rsidRDefault="001E16B7" w:rsidP="001E16B7"/>
    <w:p w:rsidR="001E16B7" w:rsidRDefault="001E16B7" w:rsidP="001E16B7">
      <w:pPr>
        <w:pStyle w:val="card"/>
      </w:pPr>
      <w:r>
        <w:t xml:space="preserve">Main Entry: </w:t>
      </w:r>
      <w:r>
        <w:rPr>
          <w:rStyle w:val="underline0"/>
        </w:rPr>
        <w:t xml:space="preserve">sub•stanAND </w:t>
      </w:r>
      <w:r w:rsidRPr="007A23DB">
        <w:rPr>
          <w:rStyle w:val="underline0"/>
          <w:highlight w:val="yellow"/>
        </w:rPr>
        <w:t>great</w:t>
      </w:r>
      <w:r>
        <w:rPr>
          <w:rStyle w:val="underline0"/>
        </w:rPr>
        <w:t xml:space="preserve"> &lt;earned a substantial wage&gt;</w:t>
      </w:r>
    </w:p>
    <w:p w:rsidR="001E16B7" w:rsidRDefault="001E16B7" w:rsidP="001E16B7"/>
    <w:p w:rsidR="001E16B7" w:rsidRDefault="001E16B7" w:rsidP="001E16B7">
      <w:pPr>
        <w:pStyle w:val="tag"/>
      </w:pPr>
      <w:r>
        <w:t>And, “Increase” means to make greater and requires a pre-existing baseline.</w:t>
      </w:r>
    </w:p>
    <w:p w:rsidR="001E16B7" w:rsidRPr="001321DC" w:rsidRDefault="001E16B7" w:rsidP="001E16B7">
      <w:pPr>
        <w:pStyle w:val="tag"/>
        <w:rPr>
          <w:lang w:val="es-ES"/>
        </w:rPr>
      </w:pPr>
      <w:r w:rsidRPr="001321DC">
        <w:rPr>
          <w:lang w:val="es-ES"/>
        </w:rPr>
        <w:t xml:space="preserve">Buckley, et al, Kolar LLP, 2006 </w:t>
      </w:r>
    </w:p>
    <w:p w:rsidR="001E16B7" w:rsidRDefault="001E16B7" w:rsidP="001E16B7">
      <w:r>
        <w:t xml:space="preserve">[Jeremiah, Joseph Kolar, Matthew Previn, Thomas, counsel of record Kolar LLP, Thomas Hefferon, Richard Wyner, and Joseph Yenouskas, Goodwin Procter LLP, “Brief of Amici Curiae mortgage insurance companies of America and consumer mortgage coalition in support of petitioners” </w:t>
      </w:r>
      <w:hyperlink r:id="rId11" w:history="1">
        <w:r>
          <w:rPr>
            <w:rStyle w:val="Hyperlink"/>
          </w:rPr>
          <w:t>http://supreme.lp.findlaw.com/supreme_court/briefs/06-84/06-84.mer.ami.mica.pdf</w:t>
        </w:r>
      </w:hyperlink>
      <w:r>
        <w:t>, p.25-6, accessed 9-2-10, TP]</w:t>
      </w:r>
    </w:p>
    <w:p w:rsidR="001E16B7" w:rsidRDefault="001E16B7" w:rsidP="001E16B7">
      <w:pPr>
        <w:pStyle w:val="card"/>
      </w:pPr>
    </w:p>
    <w:p w:rsidR="001E16B7" w:rsidRDefault="001E16B7" w:rsidP="001E16B7">
      <w:pPr>
        <w:pStyle w:val="card"/>
      </w:pPr>
      <w:r>
        <w:t xml:space="preserve">First, the court said that AND </w:t>
      </w:r>
      <w:r w:rsidRPr="007A23DB">
        <w:rPr>
          <w:rStyle w:val="underline0"/>
          <w:highlight w:val="yellow"/>
        </w:rPr>
        <w:t>of an already-existing policy</w:t>
      </w:r>
      <w:r>
        <w:t xml:space="preserve">. </w:t>
      </w:r>
    </w:p>
    <w:p w:rsidR="001E16B7" w:rsidRDefault="001E16B7" w:rsidP="001E16B7"/>
    <w:p w:rsidR="001E16B7" w:rsidRDefault="001E16B7" w:rsidP="001E16B7">
      <w:pPr>
        <w:rPr>
          <w:rStyle w:val="CitationChar"/>
        </w:rPr>
      </w:pPr>
      <w:r>
        <w:rPr>
          <w:rStyle w:val="CitationChar"/>
        </w:rPr>
        <w:t xml:space="preserve">And “democracy assistance” is technical assistance focused exclusively on fostering democracy. </w:t>
      </w:r>
    </w:p>
    <w:p w:rsidR="001E16B7" w:rsidRDefault="001E16B7" w:rsidP="001E16B7">
      <w:pPr>
        <w:rPr>
          <w:rStyle w:val="CitationChar"/>
          <w:b w:val="0"/>
        </w:rPr>
      </w:pPr>
      <w:r>
        <w:rPr>
          <w:rStyle w:val="CitationChar"/>
          <w:highlight w:val="yellow"/>
        </w:rPr>
        <w:t>Huber</w:t>
      </w:r>
      <w:r>
        <w:rPr>
          <w:rStyle w:val="CitationChar"/>
        </w:rPr>
        <w:t xml:space="preserve">, Hebrew University of Jerusalem Department of International Relations, </w:t>
      </w:r>
      <w:r>
        <w:rPr>
          <w:rStyle w:val="CitationChar"/>
          <w:highlight w:val="yellow"/>
        </w:rPr>
        <w:t>8</w:t>
      </w:r>
    </w:p>
    <w:p w:rsidR="001E16B7" w:rsidRDefault="001E16B7" w:rsidP="001E16B7">
      <w:r>
        <w:t xml:space="preserve">[Daniela, Mediterranean Politics, Vol. 13, No. 1, 43–62,  March 2008, “Democracy Assistance in the Middle East and North Africa: A Comparison of US and EU Policies”, p. 45-6, </w:t>
      </w:r>
      <w:hyperlink r:id="rId12" w:history="1">
        <w:r>
          <w:rPr>
            <w:rStyle w:val="Hyperlink"/>
          </w:rPr>
          <w:t>http://pdfserve.informaworld.com/69109__790479070.pdf</w:t>
        </w:r>
      </w:hyperlink>
      <w:r>
        <w:t>, accessed 6-3-11]</w:t>
      </w:r>
    </w:p>
    <w:p w:rsidR="001E16B7" w:rsidRDefault="001E16B7" w:rsidP="001E16B7"/>
    <w:p w:rsidR="001E16B7" w:rsidRDefault="001E16B7" w:rsidP="001E16B7">
      <w:pPr>
        <w:pStyle w:val="card"/>
        <w:rPr>
          <w:rStyle w:val="underline0"/>
        </w:rPr>
      </w:pPr>
      <w:r>
        <w:rPr>
          <w:rStyle w:val="underline0"/>
        </w:rPr>
        <w:t xml:space="preserve">What is </w:t>
      </w:r>
      <w:r w:rsidRPr="007A23DB">
        <w:rPr>
          <w:rStyle w:val="underline0"/>
          <w:highlight w:val="yellow"/>
        </w:rPr>
        <w:t>Democracy Assistance</w:t>
      </w:r>
      <w:r>
        <w:rPr>
          <w:rStyle w:val="underline0"/>
        </w:rPr>
        <w:t xml:space="preserve">? </w:t>
      </w:r>
      <w:r>
        <w:t xml:space="preserve">The AND </w:t>
      </w:r>
      <w:r>
        <w:rPr>
          <w:rStyle w:val="underline0"/>
        </w:rPr>
        <w:t>DA is more than electoral assistance.</w:t>
      </w:r>
    </w:p>
    <w:p w:rsidR="001E16B7" w:rsidRDefault="001E16B7" w:rsidP="001E16B7"/>
    <w:p w:rsidR="001E16B7" w:rsidRDefault="001E16B7" w:rsidP="001E16B7"/>
    <w:p w:rsidR="001E16B7" w:rsidRDefault="001E16B7" w:rsidP="001E16B7">
      <w:pPr>
        <w:rPr>
          <w:rStyle w:val="CitationChar"/>
        </w:rPr>
      </w:pPr>
      <w:r>
        <w:rPr>
          <w:rStyle w:val="CitationChar"/>
        </w:rPr>
        <w:t>B. Violation – the aff doesn’t defend an increase in US federal government’s democracy assistance. EVEN if DA is conditioned on security, they don’t advocate an increase</w:t>
      </w:r>
    </w:p>
    <w:p w:rsidR="001E16B7" w:rsidRDefault="001E16B7" w:rsidP="001E16B7">
      <w:pPr>
        <w:rPr>
          <w:rStyle w:val="CitationChar"/>
        </w:rPr>
      </w:pPr>
    </w:p>
    <w:p w:rsidR="001E16B7" w:rsidRDefault="001E16B7" w:rsidP="001E16B7">
      <w:pPr>
        <w:rPr>
          <w:rStyle w:val="CitationChar"/>
        </w:rPr>
      </w:pPr>
      <w:r>
        <w:rPr>
          <w:rStyle w:val="CitationChar"/>
        </w:rPr>
        <w:t xml:space="preserve">C. Fairness– </w:t>
      </w:r>
    </w:p>
    <w:p w:rsidR="001E16B7" w:rsidRDefault="001E16B7" w:rsidP="001E16B7"/>
    <w:p w:rsidR="001E16B7" w:rsidRDefault="001E16B7" w:rsidP="001E16B7">
      <w:pPr>
        <w:rPr>
          <w:rStyle w:val="CitationChar"/>
        </w:rPr>
      </w:pPr>
      <w:r>
        <w:rPr>
          <w:rStyle w:val="CitationChar"/>
        </w:rPr>
        <w:t xml:space="preserve">1. Predictable ground and limits – USFG action and provision of democracy assistance are critical to all negative strategies – </w:t>
      </w:r>
      <w:r w:rsidRPr="0033671B">
        <w:rPr>
          <w:rStyle w:val="CitationChar"/>
        </w:rPr>
        <w:t>there are an infinite amount of non-policy advocacies that are impossible to predict</w:t>
      </w:r>
      <w:r>
        <w:rPr>
          <w:rStyle w:val="CitationChar"/>
        </w:rPr>
        <w:t xml:space="preserve"> – that’s key to all negative arguments. </w:t>
      </w:r>
    </w:p>
    <w:p w:rsidR="001E16B7" w:rsidRDefault="001E16B7" w:rsidP="001E16B7">
      <w:pPr>
        <w:rPr>
          <w:rStyle w:val="CitationChar"/>
        </w:rPr>
      </w:pPr>
    </w:p>
    <w:p w:rsidR="001E16B7" w:rsidRPr="008B3DA6" w:rsidRDefault="001E16B7" w:rsidP="001E16B7">
      <w:r>
        <w:rPr>
          <w:rStyle w:val="CitationChar"/>
        </w:rPr>
        <w:t xml:space="preserve">1. </w:t>
      </w:r>
      <w:r w:rsidRPr="0033671B">
        <w:rPr>
          <w:rStyle w:val="CitationChar"/>
        </w:rPr>
        <w:t>Aff conditionality- only a resolutionally-based plan prevents shifting advocacies- their framework allows aff vagueness, allowing the aff to become a moving target which destroys discussion, advocacy skills and fair ground</w:t>
      </w:r>
      <w:r>
        <w:rPr>
          <w:rStyle w:val="CitationChar"/>
        </w:rPr>
        <w:t>.</w:t>
      </w:r>
    </w:p>
    <w:p w:rsidR="001E16B7" w:rsidRDefault="001E16B7" w:rsidP="001E16B7"/>
    <w:p w:rsidR="001E16B7" w:rsidRDefault="001E16B7" w:rsidP="001E16B7">
      <w:pPr>
        <w:rPr>
          <w:rStyle w:val="CitationChar"/>
        </w:rPr>
      </w:pPr>
      <w:r>
        <w:rPr>
          <w:rStyle w:val="CitationChar"/>
        </w:rPr>
        <w:t xml:space="preserve">D. Impacts – </w:t>
      </w:r>
    </w:p>
    <w:p w:rsidR="001E16B7" w:rsidRPr="008B3DA6" w:rsidRDefault="001E16B7" w:rsidP="001E16B7">
      <w:pPr>
        <w:rPr>
          <w:rStyle w:val="CitationChar"/>
        </w:rPr>
      </w:pPr>
    </w:p>
    <w:p w:rsidR="001E16B7" w:rsidRPr="008B3DA6" w:rsidRDefault="001E16B7" w:rsidP="001E16B7">
      <w:pPr>
        <w:rPr>
          <w:rStyle w:val="CitationChar"/>
        </w:rPr>
      </w:pPr>
      <w:r>
        <w:rPr>
          <w:rStyle w:val="CitationChar"/>
        </w:rPr>
        <w:t>1. U</w:t>
      </w:r>
      <w:r w:rsidRPr="008B3DA6">
        <w:rPr>
          <w:rStyle w:val="CitationChar"/>
        </w:rPr>
        <w:t>npredictable or unfair debates preclude an informed discussion that rigorously tests the efficacy of their approach- this collapses civic deliberation because it prevents informed clash. This outweighs all other impacts - fairness is a prerequisite for voting for one team’s arguments or advocacy over the other’s - because we can’t test the truth-value of an argument or advocacy without rigorously testing it.</w:t>
      </w:r>
    </w:p>
    <w:p w:rsidR="001E16B7" w:rsidRPr="008B3DA6" w:rsidRDefault="001E16B7" w:rsidP="001E16B7"/>
    <w:p w:rsidR="001E16B7" w:rsidRDefault="001E16B7" w:rsidP="001E16B7">
      <w:pPr>
        <w:pStyle w:val="tag"/>
      </w:pPr>
      <w:r>
        <w:t>2. Predictability is the key starting point for discussion</w:t>
      </w:r>
    </w:p>
    <w:p w:rsidR="001E16B7" w:rsidRDefault="001E16B7" w:rsidP="001E16B7">
      <w:pPr>
        <w:rPr>
          <w:rStyle w:val="CitationChar"/>
        </w:rPr>
      </w:pPr>
      <w:r w:rsidRPr="00CB77CC">
        <w:rPr>
          <w:rStyle w:val="CitationChar"/>
          <w:highlight w:val="yellow"/>
        </w:rPr>
        <w:t>Shively</w:t>
      </w:r>
      <w:r>
        <w:rPr>
          <w:rStyle w:val="CitationChar"/>
        </w:rPr>
        <w:t xml:space="preserve">, former Texas A&amp;M political science assistant professor, </w:t>
      </w:r>
      <w:r w:rsidRPr="00CB77CC">
        <w:rPr>
          <w:rStyle w:val="CitationChar"/>
          <w:highlight w:val="yellow"/>
        </w:rPr>
        <w:t>2000</w:t>
      </w:r>
    </w:p>
    <w:p w:rsidR="001E16B7" w:rsidRDefault="001E16B7" w:rsidP="001E16B7">
      <w:r>
        <w:t xml:space="preserve">[Ruth, </w:t>
      </w:r>
      <w:r>
        <w:rPr>
          <w:i/>
        </w:rPr>
        <w:t xml:space="preserve">Political Theory and Partisan Politics, </w:t>
      </w:r>
      <w:r>
        <w:t>edited by Portis, Gundersen, and Shively, “Political Theory and the Postmodern Politics of Ambiguity,” 1</w:t>
      </w:r>
      <w:r>
        <w:rPr>
          <w:i/>
        </w:rPr>
        <w:t>81-2]</w:t>
      </w:r>
    </w:p>
    <w:p w:rsidR="001E16B7" w:rsidRDefault="001E16B7" w:rsidP="001E16B7">
      <w:pPr>
        <w:rPr>
          <w:sz w:val="18"/>
        </w:rPr>
      </w:pPr>
    </w:p>
    <w:p w:rsidR="001E16B7" w:rsidRDefault="001E16B7" w:rsidP="001E16B7">
      <w:pPr>
        <w:pStyle w:val="card"/>
      </w:pPr>
      <w:r>
        <w:t xml:space="preserve">The requirements given thus far are AND </w:t>
      </w:r>
      <w:r>
        <w:rPr>
          <w:b/>
          <w:u w:val="single"/>
        </w:rPr>
        <w:t>on some basic agreement or harmony</w:t>
      </w:r>
      <w:r>
        <w:t>.</w:t>
      </w:r>
    </w:p>
    <w:p w:rsidR="001E16B7" w:rsidRPr="008B3DA6" w:rsidRDefault="001E16B7" w:rsidP="001E16B7"/>
    <w:p w:rsidR="001E16B7" w:rsidRDefault="001E16B7" w:rsidP="001E16B7">
      <w:pPr>
        <w:pStyle w:val="tag"/>
      </w:pPr>
      <w:r>
        <w:t>3. Fairness is key to education- agreed fundamental rules are essential to prevent political debates from devolving into irresolvable ideological disputes- their framework guarantees resistance and hostility</w:t>
      </w:r>
    </w:p>
    <w:p w:rsidR="001E16B7" w:rsidRDefault="001E16B7" w:rsidP="001E16B7">
      <w:pPr>
        <w:rPr>
          <w:rStyle w:val="CitationChar"/>
        </w:rPr>
      </w:pPr>
      <w:r w:rsidRPr="00CB77CC">
        <w:rPr>
          <w:rStyle w:val="CitationChar"/>
          <w:highlight w:val="yellow"/>
        </w:rPr>
        <w:t>Portis</w:t>
      </w:r>
      <w:r>
        <w:rPr>
          <w:rStyle w:val="CitationChar"/>
        </w:rPr>
        <w:t xml:space="preserve">, </w:t>
      </w:r>
      <w:r w:rsidRPr="00CB77CC">
        <w:rPr>
          <w:rStyle w:val="CitationChar"/>
          <w:highlight w:val="yellow"/>
        </w:rPr>
        <w:t>Gunderson</w:t>
      </w:r>
      <w:r>
        <w:rPr>
          <w:rStyle w:val="CitationChar"/>
        </w:rPr>
        <w:t xml:space="preserve"> </w:t>
      </w:r>
      <w:r w:rsidRPr="00CB77CC">
        <w:rPr>
          <w:rStyle w:val="CitationChar"/>
          <w:highlight w:val="yellow"/>
        </w:rPr>
        <w:t>and Shively</w:t>
      </w:r>
      <w:r>
        <w:rPr>
          <w:rStyle w:val="CitationChar"/>
        </w:rPr>
        <w:t xml:space="preserve">, Texas A&amp;M political science professors, </w:t>
      </w:r>
      <w:r w:rsidRPr="00CB77CC">
        <w:rPr>
          <w:rStyle w:val="CitationChar"/>
          <w:highlight w:val="yellow"/>
        </w:rPr>
        <w:t>2000</w:t>
      </w:r>
    </w:p>
    <w:p w:rsidR="001E16B7" w:rsidRDefault="001E16B7" w:rsidP="001E16B7">
      <w:r>
        <w:t xml:space="preserve">[Edward Bryan, Adolf G., and Ruth Lessl, </w:t>
      </w:r>
      <w:r>
        <w:rPr>
          <w:i/>
        </w:rPr>
        <w:t>Political Theory and Partisan Politics</w:t>
      </w:r>
      <w:r>
        <w:t>, 2-3]</w:t>
      </w:r>
    </w:p>
    <w:p w:rsidR="001E16B7" w:rsidRDefault="001E16B7" w:rsidP="001E16B7">
      <w:pPr>
        <w:rPr>
          <w:sz w:val="18"/>
        </w:rPr>
      </w:pPr>
    </w:p>
    <w:p w:rsidR="001E16B7" w:rsidRDefault="001E16B7" w:rsidP="001E16B7">
      <w:pPr>
        <w:pStyle w:val="card"/>
        <w:rPr>
          <w:sz w:val="16"/>
        </w:rPr>
      </w:pPr>
      <w:r>
        <w:t xml:space="preserve">By extension, </w:t>
      </w:r>
      <w:r w:rsidRPr="00CB77CC">
        <w:rPr>
          <w:rStyle w:val="underline0"/>
          <w:highlight w:val="yellow"/>
        </w:rPr>
        <w:t xml:space="preserve">partisan divisions based </w:t>
      </w:r>
      <w:r>
        <w:rPr>
          <w:rStyle w:val="underline0"/>
          <w:highlight w:val="yellow"/>
        </w:rPr>
        <w:t xml:space="preserve">AND </w:t>
      </w:r>
      <w:r>
        <w:rPr>
          <w:sz w:val="16"/>
        </w:rPr>
        <w:t xml:space="preserve">be assessed and alternative positions evaluated. </w:t>
      </w:r>
    </w:p>
    <w:p w:rsidR="001E16B7" w:rsidRDefault="001E16B7" w:rsidP="001E16B7"/>
    <w:p w:rsidR="001E16B7" w:rsidRDefault="001E16B7" w:rsidP="001E16B7">
      <w:pPr>
        <w:rPr>
          <w:rStyle w:val="CitationChar"/>
        </w:rPr>
      </w:pPr>
      <w:r>
        <w:rPr>
          <w:rStyle w:val="CitationChar"/>
        </w:rPr>
        <w:t xml:space="preserve">4. Topic education – US democracy assistance is the core of topic knowledge this year, obscuring the term guts education and turns solvency. </w:t>
      </w:r>
    </w:p>
    <w:p w:rsidR="001E16B7" w:rsidRDefault="001E16B7" w:rsidP="001E16B7">
      <w:pPr>
        <w:pStyle w:val="tag"/>
      </w:pPr>
      <w:r>
        <w:rPr>
          <w:highlight w:val="yellow"/>
        </w:rPr>
        <w:t>Lappin</w:t>
      </w:r>
      <w:r>
        <w:t xml:space="preserve">, University of Leuven (Belgium) Centre for Peace Research and Strategic Studies PhD candidate, </w:t>
      </w:r>
      <w:r>
        <w:rPr>
          <w:highlight w:val="yellow"/>
        </w:rPr>
        <w:t>10</w:t>
      </w:r>
    </w:p>
    <w:p w:rsidR="001E16B7" w:rsidRDefault="001E16B7" w:rsidP="001E16B7">
      <w:r>
        <w:t xml:space="preserve">[Richard, participant in democracy assistance missions with the UN, EU, OSCE, and Carter Center, University of Belgrade political sciences visiting scholar, Central European Journal of International &amp; Security Studies,  Volume 4 Issue 1, “What we talk about when we talk about democracy assistance: the problem of definition in post-conflict approaches to democratization” </w:t>
      </w:r>
      <w:hyperlink r:id="rId13" w:history="1">
        <w:r>
          <w:rPr>
            <w:rStyle w:val="Hyperlink"/>
          </w:rPr>
          <w:t>http://www.cejiss.org/issue/2010-volume-4-issue-1/lappin</w:t>
        </w:r>
      </w:hyperlink>
      <w:r>
        <w:t>, p.189, accessed 5-16-11, TP]</w:t>
      </w:r>
    </w:p>
    <w:p w:rsidR="001E16B7" w:rsidRDefault="001E16B7" w:rsidP="001E16B7"/>
    <w:p w:rsidR="001E16B7" w:rsidRDefault="001E16B7" w:rsidP="001E16B7">
      <w:pPr>
        <w:pStyle w:val="card"/>
      </w:pPr>
      <w:r>
        <w:rPr>
          <w:rStyle w:val="underline0"/>
          <w:highlight w:val="yellow"/>
        </w:rPr>
        <w:t>Establishing</w:t>
      </w:r>
      <w:r>
        <w:rPr>
          <w:highlight w:val="yellow"/>
        </w:rPr>
        <w:t xml:space="preserve"> </w:t>
      </w:r>
      <w:r>
        <w:t xml:space="preserve">the </w:t>
      </w:r>
      <w:r>
        <w:rPr>
          <w:rStyle w:val="underline0"/>
          <w:highlight w:val="yellow"/>
        </w:rPr>
        <w:t>definitional clarity of democracy AND of negative  perceptions of democracy assistance</w:t>
      </w:r>
      <w:r>
        <w:t xml:space="preserve">.  </w:t>
      </w:r>
    </w:p>
    <w:p w:rsidR="001E16B7" w:rsidRPr="00D26BC8" w:rsidRDefault="001E16B7" w:rsidP="001E16B7">
      <w:pPr>
        <w:rPr>
          <w:rFonts w:ascii="Times" w:hAnsi="Times"/>
        </w:rPr>
      </w:pPr>
    </w:p>
    <w:p w:rsidR="001E16B7" w:rsidRPr="00D26BC8" w:rsidRDefault="001E16B7" w:rsidP="001E16B7">
      <w:pPr>
        <w:spacing w:beforeLines="1" w:afterLines="1"/>
        <w:rPr>
          <w:rFonts w:ascii="Times" w:hAnsi="Times"/>
        </w:rPr>
      </w:pPr>
      <w:r w:rsidRPr="00D26BC8">
        <w:rPr>
          <w:rFonts w:ascii="Times" w:hAnsi="Times"/>
          <w:b/>
          <w:sz w:val="24"/>
        </w:rPr>
        <w:t>5. Evaluating between policy options is key to real world education about possible reforms- their interpretation devastates learning about the real world.  The inherent vagueness of their broad advocacy statements and lack of analysis of mechanisms, actors and implementation destroy reciprocal and coherent deliberation about the merits of an idea- a resolutionally-based policy focus is key to rigorous testing of ideas.</w:t>
      </w:r>
    </w:p>
    <w:p w:rsidR="001E16B7" w:rsidRPr="00D26BC8" w:rsidRDefault="001E16B7" w:rsidP="001E16B7"/>
    <w:p w:rsidR="001E16B7" w:rsidRDefault="001E16B7" w:rsidP="001E16B7">
      <w:pPr>
        <w:pStyle w:val="BlockTitle"/>
        <w:rPr>
          <w:rStyle w:val="CitationChar"/>
          <w:b/>
        </w:rPr>
      </w:pPr>
      <w:r>
        <w:rPr>
          <w:rStyle w:val="CitationChar"/>
          <w:b/>
        </w:rPr>
        <w:t>Tradeoff</w:t>
      </w:r>
    </w:p>
    <w:p w:rsidR="001E16B7" w:rsidRDefault="001E16B7" w:rsidP="001E16B7">
      <w:pPr>
        <w:pStyle w:val="tag"/>
      </w:pPr>
      <w:r>
        <w:t>Democracy assistance causes a trade off with Feed the Future – makes famine inevitable</w:t>
      </w:r>
    </w:p>
    <w:p w:rsidR="001E16B7" w:rsidRDefault="001E16B7" w:rsidP="001E16B7">
      <w:pPr>
        <w:pStyle w:val="tag"/>
      </w:pPr>
      <w:r>
        <w:t>The Guardian, 2011</w:t>
      </w:r>
    </w:p>
    <w:p w:rsidR="001E16B7" w:rsidRDefault="001E16B7" w:rsidP="001E16B7">
      <w:r>
        <w:t>[The Guardian, “</w:t>
      </w:r>
      <w:r w:rsidRPr="000E1BB2">
        <w:t>US must learn from Britain and not cut foreign aid</w:t>
      </w:r>
      <w:r>
        <w:t xml:space="preserve">,” </w:t>
      </w:r>
      <w:hyperlink r:id="rId14" w:history="1">
        <w:r w:rsidRPr="00FA252F">
          <w:rPr>
            <w:rStyle w:val="Hyperlink"/>
          </w:rPr>
          <w:t>http://www.guardian.co.uk/global-development/poverty-matters/2011/aug/01/us-foreign-aid-cuts</w:t>
        </w:r>
      </w:hyperlink>
      <w:r>
        <w:t xml:space="preserve">, 08-01-11, access date: 2-23-12, MAY] </w:t>
      </w:r>
    </w:p>
    <w:p w:rsidR="001E16B7" w:rsidRPr="000E1BB2" w:rsidRDefault="001E16B7" w:rsidP="001E16B7"/>
    <w:p w:rsidR="001E16B7" w:rsidRDefault="001E16B7" w:rsidP="001E16B7">
      <w:pPr>
        <w:pStyle w:val="card"/>
      </w:pPr>
      <w:r w:rsidRPr="000E1BB2">
        <w:rPr>
          <w:color w:val="333333"/>
        </w:rPr>
        <w:t xml:space="preserve">While specific account figures are not </w:t>
      </w:r>
      <w:r>
        <w:rPr>
          <w:color w:val="333333"/>
        </w:rPr>
        <w:t xml:space="preserve">AND </w:t>
      </w:r>
      <w:r w:rsidRPr="000E1BB2">
        <w:rPr>
          <w:rStyle w:val="underline0"/>
        </w:rPr>
        <w:t>make no sense</w:t>
      </w:r>
      <w:r w:rsidRPr="000E1BB2">
        <w:rPr>
          <w:color w:val="333333"/>
        </w:rPr>
        <w:t xml:space="preserve"> to us either.</w:t>
      </w:r>
      <w:r>
        <w:rPr>
          <w:color w:val="333333"/>
        </w:rPr>
        <w:t xml:space="preserve"> </w:t>
      </w:r>
    </w:p>
    <w:p w:rsidR="001E16B7" w:rsidRPr="00DA2A70" w:rsidRDefault="001E16B7" w:rsidP="001E16B7"/>
    <w:p w:rsidR="001E16B7" w:rsidRDefault="001E16B7" w:rsidP="001E16B7">
      <w:pPr>
        <w:pStyle w:val="tag"/>
      </w:pPr>
      <w:r>
        <w:t>Causes conflict</w:t>
      </w:r>
    </w:p>
    <w:p w:rsidR="001E16B7" w:rsidRPr="003F6548" w:rsidRDefault="001E16B7" w:rsidP="001E16B7">
      <w:pPr>
        <w:rPr>
          <w:rStyle w:val="CitationChar"/>
        </w:rPr>
      </w:pPr>
      <w:r w:rsidRPr="003F6548">
        <w:rPr>
          <w:rStyle w:val="CitationChar"/>
        </w:rPr>
        <w:t>Brown, founder of the Worldwatch Institute and the Earth Policy Institute, 9</w:t>
      </w:r>
    </w:p>
    <w:p w:rsidR="001E16B7" w:rsidRDefault="001E16B7" w:rsidP="001E16B7">
      <w:r>
        <w:t>[Lester R, Scientific American, May, Volume 300, Issue 5, “Can Food Shortages Bring Down Civilization?”, p. 50-7, Academic Search Complete, AFB]</w:t>
      </w:r>
    </w:p>
    <w:p w:rsidR="001E16B7" w:rsidRDefault="001E16B7" w:rsidP="001E16B7"/>
    <w:p w:rsidR="001E16B7" w:rsidRPr="003C0C59" w:rsidRDefault="001E16B7" w:rsidP="001E16B7">
      <w:pPr>
        <w:pStyle w:val="card"/>
        <w:rPr>
          <w:rStyle w:val="underline0"/>
          <w:highlight w:val="cyan"/>
        </w:rPr>
      </w:pPr>
      <w:r w:rsidRPr="003C0C59">
        <w:rPr>
          <w:rStyle w:val="underline0"/>
          <w:highlight w:val="cyan"/>
        </w:rPr>
        <w:t xml:space="preserve">The biggest threat to global stability </w:t>
      </w:r>
      <w:r>
        <w:rPr>
          <w:rStyle w:val="underline0"/>
          <w:highlight w:val="cyan"/>
        </w:rPr>
        <w:t xml:space="preserve">AND </w:t>
      </w:r>
      <w:r w:rsidRPr="003C0C59">
        <w:rPr>
          <w:rStyle w:val="underline0"/>
          <w:highlight w:val="cyan"/>
        </w:rPr>
        <w:t>the stability of global civilization itself.</w:t>
      </w:r>
    </w:p>
    <w:p w:rsidR="001E16B7" w:rsidRPr="00A37151" w:rsidRDefault="001E16B7" w:rsidP="001E16B7"/>
    <w:p w:rsidR="001E16B7" w:rsidRPr="001A71E8" w:rsidRDefault="001E16B7" w:rsidP="001E16B7"/>
    <w:p w:rsidR="001E16B7" w:rsidRDefault="001E16B7" w:rsidP="001E16B7">
      <w:pPr>
        <w:pStyle w:val="BlockTitle"/>
      </w:pPr>
      <w:r>
        <w:t>Case</w:t>
      </w:r>
    </w:p>
    <w:p w:rsidR="001E16B7" w:rsidRDefault="001E16B7" w:rsidP="001E16B7">
      <w:pPr>
        <w:pStyle w:val="tag"/>
      </w:pPr>
      <w:r>
        <w:t>Restrictions don’t exist – vote neg on presumption</w:t>
      </w:r>
    </w:p>
    <w:p w:rsidR="001E16B7" w:rsidRDefault="001E16B7" w:rsidP="001E16B7">
      <w:pPr>
        <w:pStyle w:val="tag"/>
      </w:pPr>
      <w:r>
        <w:t>Brumberg,</w:t>
      </w:r>
      <w:r w:rsidRPr="00F33936">
        <w:t xml:space="preserve"> 2010</w:t>
      </w:r>
    </w:p>
    <w:p w:rsidR="001E16B7" w:rsidRDefault="001E16B7" w:rsidP="001E16B7">
      <w:r>
        <w:t xml:space="preserve">[Paul, </w:t>
      </w:r>
      <w:r w:rsidRPr="00F33936">
        <w:t xml:space="preserve">Acting Director, Muslim World Initiative, US Institute for Peace, USIP; “In Pursuit of Democracy and Security in the Greater Middle East”, http://www.usip.org/files/resources/Final%20working%20paper%20.pdf, </w:t>
      </w:r>
      <w:r>
        <w:t>TAP]</w:t>
      </w:r>
    </w:p>
    <w:p w:rsidR="001E16B7" w:rsidRDefault="001E16B7" w:rsidP="001E16B7"/>
    <w:p w:rsidR="001E16B7" w:rsidRDefault="001E16B7" w:rsidP="001E16B7">
      <w:r>
        <w:t xml:space="preserve">Assistance Programs, Governance and SecurityAND </w:t>
      </w:r>
      <w:r w:rsidRPr="00F33936">
        <w:rPr>
          <w:rStyle w:val="underline0"/>
        </w:rPr>
        <w:t>over veto rights to host governments</w:t>
      </w:r>
      <w:r>
        <w:t>.</w:t>
      </w:r>
    </w:p>
    <w:p w:rsidR="001E16B7" w:rsidRDefault="001E16B7" w:rsidP="001E16B7"/>
    <w:p w:rsidR="001E16B7" w:rsidRDefault="001E16B7" w:rsidP="001E16B7">
      <w:pPr>
        <w:pStyle w:val="tag"/>
      </w:pPr>
      <w:r>
        <w:t>Even if there is ideology they kritik outside of the restrictions, they wouldn’t solve it</w:t>
      </w:r>
    </w:p>
    <w:p w:rsidR="001E16B7" w:rsidRDefault="001E16B7" w:rsidP="001E16B7">
      <w:pPr>
        <w:pStyle w:val="tag"/>
      </w:pPr>
      <w:r>
        <w:t>Teitelbaum and Litvak, , Tel Aviv Univeristy Moshe Dayan Center for Middle East and African Studies senior fellows, 2006</w:t>
      </w:r>
    </w:p>
    <w:p w:rsidR="001E16B7" w:rsidRDefault="001E16B7" w:rsidP="001E16B7">
      <w:r>
        <w:t xml:space="preserve">[Joshua, Bar Ilan University Middle Eastern History adjunct senior lecturer, and Meir, Middle East Review of international affairs, </w:t>
      </w:r>
      <w:r w:rsidRPr="00E51960">
        <w:t>Volume 10,  No. 1, Article 2</w:t>
      </w:r>
      <w:r>
        <w:t xml:space="preserve">, “Students, Teachers, and Edward Said: Taking Stock of Orientalism” </w:t>
      </w:r>
      <w:hyperlink r:id="rId15" w:history="1">
        <w:r w:rsidRPr="002E10FB">
          <w:rPr>
            <w:rStyle w:val="Hyperlink"/>
          </w:rPr>
          <w:t>http://meria.idc.ac.il/journal/2006/issue1/jv10no1a2.html</w:t>
        </w:r>
      </w:hyperlink>
      <w:r>
        <w:t>, accessed 11-11-11, TAP]</w:t>
      </w:r>
    </w:p>
    <w:p w:rsidR="001E16B7" w:rsidRDefault="001E16B7" w:rsidP="001E16B7"/>
    <w:p w:rsidR="001E16B7" w:rsidRDefault="001E16B7" w:rsidP="001E16B7">
      <w:pPr>
        <w:pStyle w:val="card"/>
      </w:pPr>
      <w:r w:rsidRPr="008D5D0F">
        <w:rPr>
          <w:rStyle w:val="underline0"/>
        </w:rPr>
        <w:t xml:space="preserve">Said also raises a doubt as </w:t>
      </w:r>
      <w:r>
        <w:rPr>
          <w:rStyle w:val="underline0"/>
        </w:rPr>
        <w:t xml:space="preserve">AND </w:t>
      </w:r>
      <w:r w:rsidRPr="00AA4C07">
        <w:rPr>
          <w:rStyle w:val="underline0"/>
          <w:highlight w:val="cyan"/>
        </w:rPr>
        <w:t>developing an opinion of their own</w:t>
      </w:r>
      <w:r>
        <w:t>.</w:t>
      </w:r>
    </w:p>
    <w:p w:rsidR="001E16B7" w:rsidRDefault="001E16B7" w:rsidP="001E16B7"/>
    <w:p w:rsidR="001E16B7" w:rsidRDefault="001E16B7" w:rsidP="001E16B7">
      <w:pPr>
        <w:pStyle w:val="tag"/>
      </w:pPr>
      <w:r>
        <w:t>Can’t access policy change</w:t>
      </w:r>
    </w:p>
    <w:p w:rsidR="001E16B7" w:rsidRDefault="001E16B7" w:rsidP="001E16B7">
      <w:pPr>
        <w:pStyle w:val="tag"/>
      </w:pPr>
      <w:r>
        <w:t>Rogin, Foreign Policy, 2-15-11</w:t>
      </w:r>
    </w:p>
    <w:p w:rsidR="001E16B7" w:rsidRDefault="001E16B7" w:rsidP="001E16B7">
      <w:r>
        <w:t xml:space="preserve">[Josh, “Congress prepares 'Middle East Stability' funding package” </w:t>
      </w:r>
      <w:hyperlink r:id="rId16" w:history="1">
        <w:r>
          <w:rPr>
            <w:rStyle w:val="Hyperlink"/>
          </w:rPr>
          <w:t>http://thecable.foreignpolicy.com/posts/2011/02/15/congress_prepares_middle_east_stability_funding_package?wpisrc=obnetwork</w:t>
        </w:r>
      </w:hyperlink>
      <w:r>
        <w:t>, accessed 5-22-11, TP]</w:t>
      </w:r>
    </w:p>
    <w:p w:rsidR="001E16B7" w:rsidRDefault="001E16B7" w:rsidP="001E16B7">
      <w:pPr>
        <w:rPr>
          <w:rStyle w:val="underline0"/>
        </w:rPr>
      </w:pPr>
    </w:p>
    <w:p w:rsidR="001E16B7" w:rsidRDefault="001E16B7" w:rsidP="001E16B7">
      <w:pPr>
        <w:pStyle w:val="card"/>
      </w:pPr>
      <w:r w:rsidRPr="00212415">
        <w:rPr>
          <w:rStyle w:val="underline0"/>
          <w:highlight w:val="yellow"/>
        </w:rPr>
        <w:t xml:space="preserve">There's a raging debate on Capitol </w:t>
      </w:r>
      <w:r>
        <w:rPr>
          <w:rStyle w:val="underline0"/>
          <w:highlight w:val="yellow"/>
        </w:rPr>
        <w:t xml:space="preserve">AND </w:t>
      </w:r>
      <w:r>
        <w:t>from participating in the new government.</w:t>
      </w:r>
    </w:p>
    <w:p w:rsidR="001E16B7" w:rsidRDefault="001E16B7" w:rsidP="001E16B7"/>
    <w:p w:rsidR="001E16B7" w:rsidRDefault="001E16B7" w:rsidP="001E16B7">
      <w:pPr>
        <w:pStyle w:val="tag"/>
      </w:pPr>
      <w:r>
        <w:t>Democracy assistance to MENA solves their offense</w:t>
      </w:r>
    </w:p>
    <w:p w:rsidR="001E16B7" w:rsidRDefault="001E16B7" w:rsidP="001E16B7">
      <w:pPr>
        <w:pStyle w:val="tag"/>
      </w:pPr>
      <w:r>
        <w:t>Sadiki, University of Exeter Middle East Politics senior lecturer, 2011</w:t>
      </w:r>
    </w:p>
    <w:p w:rsidR="001E16B7" w:rsidRDefault="001E16B7" w:rsidP="001E16B7">
      <w:r>
        <w:t>[Larbi, “T</w:t>
      </w:r>
      <w:r w:rsidRPr="0004048F">
        <w:t>he mathematics of the Arab Spring</w:t>
      </w:r>
      <w:r>
        <w:t xml:space="preserve">” </w:t>
      </w:r>
      <w:hyperlink r:id="rId17" w:history="1">
        <w:r w:rsidRPr="004E4821">
          <w:rPr>
            <w:rStyle w:val="Hyperlink"/>
          </w:rPr>
          <w:t>http://www.aljazeera.com/indepth/opinion/2011/05/2011531132934920499.html</w:t>
        </w:r>
      </w:hyperlink>
      <w:r>
        <w:t>, accessed  1-2-12, TAP]</w:t>
      </w:r>
    </w:p>
    <w:p w:rsidR="001E16B7" w:rsidRDefault="001E16B7" w:rsidP="001E16B7"/>
    <w:p w:rsidR="001E16B7" w:rsidRDefault="001E16B7" w:rsidP="001E16B7">
      <w:pPr>
        <w:pStyle w:val="card"/>
      </w:pPr>
      <w:r>
        <w:t xml:space="preserve">Two fundamental principles must be understood AND Arab populace. This must change. </w:t>
      </w:r>
    </w:p>
    <w:p w:rsidR="001E16B7" w:rsidRDefault="001E16B7" w:rsidP="001E16B7"/>
    <w:p w:rsidR="001E16B7" w:rsidRDefault="001E16B7" w:rsidP="001E16B7">
      <w:pPr>
        <w:pStyle w:val="tag"/>
      </w:pPr>
      <w:r>
        <w:t>Discussion of democracy advocacy breaks down the clash of civilization thesis – opens a space to deconstruct orientalism and Islamaphobia.</w:t>
      </w:r>
    </w:p>
    <w:p w:rsidR="001E16B7" w:rsidRDefault="001E16B7" w:rsidP="001E16B7">
      <w:pPr>
        <w:pStyle w:val="tag"/>
      </w:pPr>
      <w:r>
        <w:t>Telhami, University of Maryland Anwar Sadat peace and development professor, 2005</w:t>
      </w:r>
    </w:p>
    <w:p w:rsidR="001E16B7" w:rsidRDefault="001E16B7" w:rsidP="001E16B7">
      <w:r>
        <w:t>[Shibley, Middle East Policy, 6-22-5, “</w:t>
      </w:r>
      <w:r w:rsidRPr="00BA1C38">
        <w:t>Democracy: Rising Tide or Mirage</w:t>
      </w:r>
      <w:r>
        <w:t xml:space="preserve">” </w:t>
      </w:r>
      <w:hyperlink r:id="rId18" w:history="1">
        <w:r w:rsidRPr="00324AD6">
          <w:rPr>
            <w:rStyle w:val="Hyperlink"/>
          </w:rPr>
          <w:t>http://www.thefreelibrary.com/Democracy%3A+rising+tide+or+mirage%3F-a0133370186</w:t>
        </w:r>
      </w:hyperlink>
      <w:r>
        <w:t>, accessed 1-13-12, TAP]</w:t>
      </w:r>
    </w:p>
    <w:p w:rsidR="001E16B7" w:rsidRDefault="001E16B7" w:rsidP="001E16B7">
      <w:pPr>
        <w:ind w:firstLine="720"/>
      </w:pPr>
    </w:p>
    <w:p w:rsidR="001E16B7" w:rsidRDefault="001E16B7" w:rsidP="001E16B7">
      <w:pPr>
        <w:pStyle w:val="card"/>
      </w:pPr>
      <w:r>
        <w:t xml:space="preserve">I think we all agree thatAND </w:t>
      </w:r>
      <w:r w:rsidRPr="00C94CF2">
        <w:rPr>
          <w:rStyle w:val="underline0"/>
        </w:rPr>
        <w:t>the clash on the other side</w:t>
      </w:r>
      <w:r>
        <w:t>.</w:t>
      </w:r>
    </w:p>
    <w:p w:rsidR="001E16B7" w:rsidRDefault="001E16B7" w:rsidP="001E16B7"/>
    <w:p w:rsidR="001E16B7" w:rsidRDefault="001E16B7" w:rsidP="001E16B7">
      <w:pPr>
        <w:pStyle w:val="tag"/>
      </w:pPr>
      <w:r>
        <w:t>Academic debates shape policy toward the Middle East.</w:t>
      </w:r>
    </w:p>
    <w:p w:rsidR="001E16B7" w:rsidRDefault="001E16B7" w:rsidP="001E16B7">
      <w:pPr>
        <w:pStyle w:val="tag"/>
      </w:pPr>
      <w:r>
        <w:t>Bukay, University of Haifa political science professor, 2007</w:t>
      </w:r>
    </w:p>
    <w:p w:rsidR="001E16B7" w:rsidRDefault="001E16B7" w:rsidP="001E16B7">
      <w:r>
        <w:t>[David, Middle East Quarterly, Spring 2007, Volume XIV Num 2, “</w:t>
      </w:r>
      <w:r w:rsidRPr="005E69A4">
        <w:t>Can There Be an Islamic Democracy?</w:t>
      </w:r>
      <w:r>
        <w:t xml:space="preserve">” </w:t>
      </w:r>
      <w:hyperlink r:id="rId19" w:history="1">
        <w:r w:rsidRPr="00324AD6">
          <w:rPr>
            <w:rStyle w:val="Hyperlink"/>
          </w:rPr>
          <w:t>http://www.meforum.org/1680/can-there-be-an-islamic-democracy</w:t>
        </w:r>
      </w:hyperlink>
      <w:r>
        <w:t>, p.71-79. Accessed 1-13-12, TAP]</w:t>
      </w:r>
    </w:p>
    <w:p w:rsidR="001E16B7" w:rsidRDefault="001E16B7" w:rsidP="001E16B7"/>
    <w:p w:rsidR="001E16B7" w:rsidRDefault="001E16B7" w:rsidP="001E16B7">
      <w:pPr>
        <w:pStyle w:val="card"/>
      </w:pPr>
      <w:r>
        <w:t>While time has proven Wright wrongAND a September 2003 interview.[41]</w:t>
      </w:r>
    </w:p>
    <w:p w:rsidR="001E16B7" w:rsidRDefault="001E16B7" w:rsidP="001E16B7"/>
    <w:p w:rsidR="001E16B7" w:rsidRDefault="001E16B7" w:rsidP="001E16B7">
      <w:pPr>
        <w:pStyle w:val="tag"/>
      </w:pPr>
      <w:r>
        <w:t>Policies are uniquely key – government responses drive cultural attitudes toward Islam and the MENA region – now is a key time to engage.</w:t>
      </w:r>
    </w:p>
    <w:p w:rsidR="001E16B7" w:rsidRDefault="001E16B7" w:rsidP="001E16B7">
      <w:pPr>
        <w:pStyle w:val="tag"/>
      </w:pPr>
      <w:r>
        <w:t>Brookings, 2011</w:t>
      </w:r>
    </w:p>
    <w:p w:rsidR="001E16B7" w:rsidRDefault="001E16B7" w:rsidP="001E16B7">
      <w:r>
        <w:t>[Event Summary, 5-22-11, “</w:t>
      </w:r>
      <w:r w:rsidRPr="00C04254">
        <w:t>What Does the American Public Think of the Arab Awakening?”</w:t>
      </w:r>
      <w:r>
        <w:t xml:space="preserve"> </w:t>
      </w:r>
      <w:hyperlink r:id="rId20" w:history="1">
        <w:r w:rsidRPr="00DB0A25">
          <w:rPr>
            <w:rStyle w:val="Hyperlink"/>
          </w:rPr>
          <w:t>https://www.brookings.edu/events/2011/0522_arab_awakening.aspx</w:t>
        </w:r>
      </w:hyperlink>
      <w:r>
        <w:t>, accessed 1-13-12, TAP]</w:t>
      </w:r>
    </w:p>
    <w:p w:rsidR="001E16B7" w:rsidRDefault="001E16B7" w:rsidP="001E16B7"/>
    <w:p w:rsidR="001E16B7" w:rsidRDefault="001E16B7" w:rsidP="001E16B7">
      <w:pPr>
        <w:pStyle w:val="card"/>
      </w:pPr>
      <w:r>
        <w:t>In light of the divisive rhetoric AND support and sympathy for the uprisings.</w:t>
      </w:r>
    </w:p>
    <w:p w:rsidR="001E16B7" w:rsidRDefault="001E16B7" w:rsidP="001E16B7"/>
    <w:p w:rsidR="001E16B7" w:rsidRDefault="001E16B7" w:rsidP="001E16B7">
      <w:pPr>
        <w:pStyle w:val="tag"/>
      </w:pPr>
      <w:r>
        <w:t>Academic deliberation is playing a determining role in recalibrating US foreign policy – US policy can prevent authoritarianism and ensure global justice that shifts away from Orientalist narratives that dichotomize democracy and Islam.</w:t>
      </w:r>
    </w:p>
    <w:p w:rsidR="001E16B7" w:rsidRDefault="001E16B7" w:rsidP="001E16B7">
      <w:pPr>
        <w:pStyle w:val="tag"/>
      </w:pPr>
      <w:r>
        <w:t>Feinstein, George Washington University international affairs senior, 2011</w:t>
      </w:r>
    </w:p>
    <w:p w:rsidR="001E16B7" w:rsidRDefault="001E16B7" w:rsidP="001E16B7">
      <w:r>
        <w:t xml:space="preserve">[Danielle, </w:t>
      </w:r>
      <w:r w:rsidRPr="00C04254">
        <w:t>This article is based on panel dialogues that took place at the CSID Conference in Foggy Bottom, on April 15, 2011</w:t>
      </w:r>
      <w:r>
        <w:t>, “</w:t>
      </w:r>
      <w:r w:rsidRPr="00C04254">
        <w:t>Washington scholars debate the Arab Spring</w:t>
      </w:r>
      <w:r>
        <w:t xml:space="preserve">” </w:t>
      </w:r>
      <w:hyperlink r:id="rId21" w:history="1">
        <w:r w:rsidRPr="00DB0A25">
          <w:rPr>
            <w:rStyle w:val="Hyperlink"/>
          </w:rPr>
          <w:t>http://bikyamasr.com/33144/washington-scholars-debate-the-arab-spring/</w:t>
        </w:r>
      </w:hyperlink>
      <w:r>
        <w:t>, accessed 1-13-12, TAP]</w:t>
      </w:r>
    </w:p>
    <w:p w:rsidR="001E16B7" w:rsidRDefault="001E16B7" w:rsidP="001E16B7"/>
    <w:p w:rsidR="001E16B7" w:rsidRDefault="001E16B7" w:rsidP="001E16B7">
      <w:pPr>
        <w:pStyle w:val="card"/>
      </w:pPr>
      <w:r w:rsidRPr="00C04254">
        <w:rPr>
          <w:rStyle w:val="underline0"/>
        </w:rPr>
        <w:t xml:space="preserve">In recent months </w:t>
      </w:r>
      <w:r w:rsidRPr="004A787B">
        <w:rPr>
          <w:rStyle w:val="underline0"/>
          <w:highlight w:val="yellow"/>
        </w:rPr>
        <w:t xml:space="preserve">the Obama administration </w:t>
      </w:r>
      <w:r>
        <w:rPr>
          <w:rStyle w:val="underline0"/>
          <w:highlight w:val="yellow"/>
        </w:rPr>
        <w:t xml:space="preserve">AND </w:t>
      </w:r>
      <w:r w:rsidRPr="00C04254">
        <w:rPr>
          <w:rStyle w:val="underline0"/>
        </w:rPr>
        <w:t>revolutionary states in the Arab World</w:t>
      </w:r>
      <w:r>
        <w:t>.</w:t>
      </w:r>
    </w:p>
    <w:p w:rsidR="001E16B7" w:rsidRDefault="001E16B7" w:rsidP="001E16B7"/>
    <w:p w:rsidR="001E16B7" w:rsidRDefault="001E16B7" w:rsidP="001E16B7">
      <w:pPr>
        <w:pStyle w:val="tag"/>
      </w:pPr>
      <w:r>
        <w:t>They can’t win any turns – their methodology is completely inaccessible to policymakers – they have no effect on policy or the discussion involving the foreign policy toward MENA.</w:t>
      </w:r>
    </w:p>
    <w:p w:rsidR="001E16B7" w:rsidRDefault="001E16B7" w:rsidP="001E16B7">
      <w:pPr>
        <w:pStyle w:val="tag"/>
      </w:pPr>
      <w:r>
        <w:t>Walt, Harvard University international relations professor, 2011</w:t>
      </w:r>
    </w:p>
    <w:p w:rsidR="001E16B7" w:rsidRDefault="001E16B7" w:rsidP="001E16B7">
      <w:r>
        <w:t>[Stephen,  “</w:t>
      </w:r>
      <w:r w:rsidRPr="00814AFA">
        <w:t>International Affairs and the Public Sphere</w:t>
      </w:r>
      <w:r>
        <w:t xml:space="preserve">” </w:t>
      </w:r>
      <w:hyperlink r:id="rId22" w:history="1">
        <w:r w:rsidRPr="008F6EB1">
          <w:rPr>
            <w:rStyle w:val="Hyperlink"/>
          </w:rPr>
          <w:t>http://publicsphere.ssrc.org/walt-international-affairs-and-the-public-sphere/</w:t>
        </w:r>
      </w:hyperlink>
      <w:r>
        <w:t>, accessed 9-16-11, TAP]</w:t>
      </w:r>
    </w:p>
    <w:p w:rsidR="001E16B7" w:rsidRDefault="001E16B7" w:rsidP="001E16B7">
      <w:r>
        <w:t xml:space="preserve"> </w:t>
      </w:r>
    </w:p>
    <w:p w:rsidR="001E16B7" w:rsidRDefault="001E16B7" w:rsidP="001E16B7">
      <w:pPr>
        <w:pStyle w:val="card"/>
      </w:pPr>
      <w:r>
        <w:t xml:space="preserve">To some degree, </w:t>
      </w:r>
      <w:r w:rsidRPr="006D1DEC">
        <w:rPr>
          <w:rStyle w:val="underline0"/>
          <w:highlight w:val="yellow"/>
        </w:rPr>
        <w:t xml:space="preserve">the gap </w:t>
      </w:r>
      <w:r>
        <w:rPr>
          <w:rStyle w:val="underline0"/>
          <w:highlight w:val="yellow"/>
        </w:rPr>
        <w:t xml:space="preserve">AND </w:t>
      </w:r>
      <w:r w:rsidRPr="00E6001D">
        <w:rPr>
          <w:rStyle w:val="underline0"/>
          <w:highlight w:val="yellow"/>
        </w:rPr>
        <w:t>world, and the public sphere</w:t>
      </w:r>
      <w:r>
        <w:t>.</w:t>
      </w:r>
    </w:p>
    <w:p w:rsidR="001E16B7" w:rsidRPr="007D5923" w:rsidRDefault="001E16B7" w:rsidP="001E16B7"/>
    <w:p w:rsidR="001E16B7" w:rsidRDefault="001E16B7" w:rsidP="001E16B7">
      <w:pPr>
        <w:pStyle w:val="tag"/>
      </w:pPr>
      <w:r>
        <w:t>Shift – Even if ROB solves biopower in democracy assistance, we would find other ways to discriminate against terrorists</w:t>
      </w:r>
    </w:p>
    <w:p w:rsidR="001E16B7" w:rsidRDefault="001E16B7" w:rsidP="001E16B7">
      <w:pPr>
        <w:pStyle w:val="tag"/>
      </w:pPr>
      <w:r>
        <w:t xml:space="preserve"> </w:t>
      </w:r>
    </w:p>
    <w:p w:rsidR="001E16B7" w:rsidRDefault="001E16B7" w:rsidP="001E16B7">
      <w:pPr>
        <w:pStyle w:val="tag"/>
      </w:pPr>
      <w:r>
        <w:t>Enactment is key- policies revolve around the actor- policies that are not real world, like the plan, that could never be implemented, are meaningless and are thus not policy options</w:t>
      </w:r>
    </w:p>
    <w:p w:rsidR="001E16B7" w:rsidRDefault="001E16B7" w:rsidP="001E16B7">
      <w:pPr>
        <w:rPr>
          <w:rStyle w:val="CitationChar"/>
        </w:rPr>
      </w:pPr>
      <w:r w:rsidRPr="007A23DB">
        <w:rPr>
          <w:rStyle w:val="CitationChar"/>
          <w:highlight w:val="yellow"/>
        </w:rPr>
        <w:t xml:space="preserve">Katsulas, et al, </w:t>
      </w:r>
      <w:r>
        <w:rPr>
          <w:rStyle w:val="CitationChar"/>
        </w:rPr>
        <w:t>Herbeck, &amp; Panetta, professors of communication, 19</w:t>
      </w:r>
      <w:r w:rsidRPr="007A23DB">
        <w:rPr>
          <w:rStyle w:val="CitationChar"/>
          <w:highlight w:val="yellow"/>
        </w:rPr>
        <w:t>87</w:t>
      </w:r>
    </w:p>
    <w:p w:rsidR="001E16B7" w:rsidRDefault="001E16B7" w:rsidP="001E16B7">
      <w:r>
        <w:t xml:space="preserve">(John, Dale, Edward, Fiating utopia: A negative view of the emergence of world order counterplans and futures gaming in policy debate. </w:t>
      </w:r>
      <w:r>
        <w:rPr>
          <w:rStyle w:val="underline0"/>
        </w:rPr>
        <w:t>Journal of the American Forensic Association</w:t>
      </w:r>
      <w:r>
        <w:t>, Fall)</w:t>
      </w:r>
    </w:p>
    <w:p w:rsidR="001E16B7" w:rsidRDefault="001E16B7" w:rsidP="001E16B7"/>
    <w:p w:rsidR="001E16B7" w:rsidRDefault="001E16B7" w:rsidP="001E16B7">
      <w:pPr>
        <w:pStyle w:val="card"/>
        <w:rPr>
          <w:rStyle w:val="underline0"/>
        </w:rPr>
      </w:pPr>
      <w:r>
        <w:t xml:space="preserve">To meet this burden, policy AND </w:t>
      </w:r>
      <w:r w:rsidRPr="007A23DB">
        <w:rPr>
          <w:rStyle w:val="underline0"/>
          <w:highlight w:val="yellow"/>
        </w:rPr>
        <w:t>do not constitute real policy choices</w:t>
      </w:r>
      <w:r>
        <w:rPr>
          <w:rStyle w:val="underline0"/>
        </w:rPr>
        <w:t>.</w:t>
      </w:r>
    </w:p>
    <w:p w:rsidR="001E16B7" w:rsidRDefault="001E16B7" w:rsidP="001E16B7"/>
    <w:p w:rsidR="001E16B7" w:rsidRPr="0029304B" w:rsidRDefault="001E16B7" w:rsidP="001E16B7">
      <w:pPr>
        <w:pStyle w:val="tag"/>
      </w:pPr>
      <w:r w:rsidRPr="0029304B">
        <w:t>It is necessary to learn the language of the state- their form of opposition will always be transitory</w:t>
      </w:r>
      <w:r>
        <w:t>, getting co-opted by the government or society. It may be necessary but is not sufficient</w:t>
      </w:r>
    </w:p>
    <w:p w:rsidR="001E16B7" w:rsidRPr="0029304B" w:rsidRDefault="001E16B7" w:rsidP="001E16B7">
      <w:pPr>
        <w:rPr>
          <w:sz w:val="16"/>
        </w:rPr>
      </w:pPr>
      <w:r w:rsidRPr="0029304B">
        <w:rPr>
          <w:rStyle w:val="CitationChar"/>
        </w:rPr>
        <w:t>Sullivan, the New Republic – editor, 1995</w:t>
      </w:r>
      <w:r w:rsidRPr="0029304B">
        <w:rPr>
          <w:sz w:val="16"/>
        </w:rPr>
        <w:t xml:space="preserve"> (Andrew, Virtually Normal, pg. 91-93)</w:t>
      </w:r>
    </w:p>
    <w:p w:rsidR="001E16B7" w:rsidRPr="0029304B" w:rsidRDefault="001E16B7" w:rsidP="001E16B7">
      <w:pPr>
        <w:rPr>
          <w:sz w:val="16"/>
        </w:rPr>
      </w:pPr>
    </w:p>
    <w:p w:rsidR="001E16B7" w:rsidRPr="0029304B" w:rsidRDefault="001E16B7" w:rsidP="001E16B7">
      <w:pPr>
        <w:pStyle w:val="card"/>
        <w:rPr>
          <w:sz w:val="16"/>
        </w:rPr>
      </w:pPr>
      <w:r w:rsidRPr="0029304B">
        <w:rPr>
          <w:sz w:val="16"/>
        </w:rPr>
        <w:t xml:space="preserve">Moreover, </w:t>
      </w:r>
      <w:r w:rsidRPr="00861FEE">
        <w:rPr>
          <w:rStyle w:val="underline0"/>
        </w:rPr>
        <w:t>mere cultural redeployment</w:t>
      </w:r>
      <w:r w:rsidRPr="0029304B">
        <w:rPr>
          <w:sz w:val="16"/>
        </w:rPr>
        <w:t xml:space="preserve"> in </w:t>
      </w:r>
      <w:r>
        <w:rPr>
          <w:sz w:val="16"/>
        </w:rPr>
        <w:t xml:space="preserve">AND </w:t>
      </w:r>
      <w:r w:rsidRPr="0029304B">
        <w:rPr>
          <w:sz w:val="16"/>
        </w:rPr>
        <w:t xml:space="preserve">something more like a human home.” </w:t>
      </w:r>
    </w:p>
    <w:p w:rsidR="001E16B7" w:rsidRDefault="001E16B7" w:rsidP="001E16B7">
      <w:pPr>
        <w:pStyle w:val="tag"/>
      </w:pPr>
    </w:p>
    <w:p w:rsidR="001E16B7" w:rsidRDefault="001E16B7" w:rsidP="001E16B7">
      <w:pPr>
        <w:pStyle w:val="tag"/>
      </w:pPr>
      <w:r>
        <w:t>Engaging in theoretical philosophy only meant to persuade those in the room without any call to action outside of it creates a spectator mentality – it undermines all action to end human misery and change political structures – prefer policy discourse.</w:t>
      </w:r>
    </w:p>
    <w:p w:rsidR="001E16B7" w:rsidRDefault="001E16B7" w:rsidP="001E16B7">
      <w:r>
        <w:t xml:space="preserve">David E. </w:t>
      </w:r>
      <w:r>
        <w:rPr>
          <w:rStyle w:val="CitationChar"/>
          <w:highlight w:val="yellow"/>
        </w:rPr>
        <w:t>McClean</w:t>
      </w:r>
      <w:r>
        <w:t>, New School University Professor, and Society for the Study of Africana Philosophy President, 20</w:t>
      </w:r>
      <w:r>
        <w:rPr>
          <w:rStyle w:val="CitationChar"/>
          <w:highlight w:val="yellow"/>
        </w:rPr>
        <w:t>01</w:t>
      </w:r>
      <w:r>
        <w:t>, “The Cultural Left and the Limits of Social Hope,” http://www.american-philosophy.org/archives/past_conference_programs/pc2001/Discussion%20papers/david_mcclean.htm</w:t>
      </w:r>
    </w:p>
    <w:p w:rsidR="001E16B7" w:rsidRDefault="001E16B7" w:rsidP="001E16B7">
      <w:pPr>
        <w:rPr>
          <w:rFonts w:ascii="Lucida Grande" w:hAnsi="Lucida Grande"/>
          <w:color w:val="000000"/>
          <w:sz w:val="26"/>
        </w:rPr>
      </w:pPr>
    </w:p>
    <w:p w:rsidR="001E16B7" w:rsidRDefault="001E16B7" w:rsidP="001E16B7">
      <w:pPr>
        <w:pStyle w:val="card"/>
      </w:pPr>
      <w:r>
        <w:rPr>
          <w:sz w:val="16"/>
        </w:rPr>
        <w:t>Yet for some reason, at AND so-called "managerial class."</w:t>
      </w:r>
    </w:p>
    <w:p w:rsidR="001E16B7" w:rsidRDefault="001E16B7" w:rsidP="001E16B7">
      <w:pPr>
        <w:pStyle w:val="tag"/>
      </w:pPr>
    </w:p>
    <w:p w:rsidR="001E16B7" w:rsidRDefault="001E16B7" w:rsidP="001E16B7">
      <w:pPr>
        <w:pStyle w:val="tag"/>
      </w:pPr>
      <w:r>
        <w:t>This distracts us from more important work for policy pragmatism – the aff’s inaccessible abstract musings will not create change and allow us to think all of our troubles away</w:t>
      </w:r>
    </w:p>
    <w:p w:rsidR="001E16B7" w:rsidRDefault="001E16B7" w:rsidP="001E16B7">
      <w:r>
        <w:rPr>
          <w:rStyle w:val="CitationChar"/>
          <w:highlight w:val="yellow"/>
        </w:rPr>
        <w:t>Johnston</w:t>
      </w:r>
      <w:r>
        <w:t>, Emory University, 200</w:t>
      </w:r>
      <w:r>
        <w:rPr>
          <w:rStyle w:val="CitationChar"/>
          <w:highlight w:val="yellow"/>
        </w:rPr>
        <w:t>4</w:t>
      </w:r>
    </w:p>
    <w:p w:rsidR="001E16B7" w:rsidRDefault="001E16B7" w:rsidP="001E16B7">
      <w:r>
        <w:t>[Adrian, "The Cynic's Fetish: Slavoj Zizek and the Dynamics of Belief," http://www.scribd.com/doc/20244451/Johnston-a-The-Cynic-s-Fetish-Slavoj-Zizek-and-the-Dynamics-of-Belief, 1/1]</w:t>
      </w:r>
    </w:p>
    <w:p w:rsidR="001E16B7" w:rsidRDefault="001E16B7" w:rsidP="001E16B7"/>
    <w:p w:rsidR="001E16B7" w:rsidRDefault="001E16B7" w:rsidP="001E16B7">
      <w:pPr>
        <w:pStyle w:val="card"/>
        <w:rPr>
          <w:rStyle w:val="underline0"/>
        </w:rPr>
      </w:pPr>
      <w:r>
        <w:t xml:space="preserve">However, the absence of this AND </w:t>
      </w:r>
      <w:r>
        <w:rPr>
          <w:rStyle w:val="underline0"/>
          <w:highlight w:val="yellow"/>
        </w:rPr>
        <w:t>of affairs he describes so well</w:t>
      </w:r>
      <w:r>
        <w:rPr>
          <w:rStyle w:val="underline0"/>
        </w:rPr>
        <w:t xml:space="preserve">. </w:t>
      </w:r>
    </w:p>
    <w:p w:rsidR="001E16B7" w:rsidRDefault="001E16B7" w:rsidP="001E16B7"/>
    <w:p w:rsidR="001E16B7" w:rsidRDefault="001E16B7" w:rsidP="001E16B7">
      <w:pPr>
        <w:pStyle w:val="tag"/>
      </w:pPr>
      <w:r>
        <w:t>Epistemology doesn’t come first</w:t>
      </w:r>
    </w:p>
    <w:p w:rsidR="001E16B7" w:rsidRDefault="001E16B7" w:rsidP="001E16B7">
      <w:pPr>
        <w:pStyle w:val="tag"/>
      </w:pPr>
      <w:r>
        <w:t>Wight, University of Exeter School of Humanities and social sciences politics department, 2007</w:t>
      </w:r>
    </w:p>
    <w:p w:rsidR="001E16B7" w:rsidRDefault="001E16B7" w:rsidP="001E16B7">
      <w:r>
        <w:t>[Colin, “</w:t>
      </w:r>
      <w:r w:rsidRPr="00012A29">
        <w:t>Inside the epistemological cave all bets are off</w:t>
      </w:r>
      <w:r>
        <w:t xml:space="preserve">” </w:t>
      </w:r>
      <w:hyperlink r:id="rId23" w:history="1">
        <w:r w:rsidRPr="00E6470E">
          <w:rPr>
            <w:rStyle w:val="Hyperlink"/>
          </w:rPr>
          <w:t>http://www.ciaonet.org/olj/jird/jird_200703_v10n1_d.pdf</w:t>
        </w:r>
      </w:hyperlink>
      <w:r>
        <w:t>, p.43-46, accessed 10-22-11, TAP]</w:t>
      </w:r>
    </w:p>
    <w:p w:rsidR="001E16B7" w:rsidRDefault="001E16B7" w:rsidP="001E16B7"/>
    <w:p w:rsidR="001E16B7" w:rsidRDefault="001E16B7" w:rsidP="001E16B7">
      <w:pPr>
        <w:pStyle w:val="card"/>
      </w:pPr>
      <w:r>
        <w:t xml:space="preserve">In some respects, this might AND of our descriptions of them. 19 </w:t>
      </w:r>
    </w:p>
    <w:p w:rsidR="001E16B7" w:rsidRPr="00BD45A6" w:rsidRDefault="001E16B7" w:rsidP="001E16B7"/>
    <w:p w:rsidR="001E16B7" w:rsidRPr="001A71E8" w:rsidRDefault="001E16B7" w:rsidP="001E16B7"/>
    <w:p w:rsidR="00212067" w:rsidRPr="00AB2556" w:rsidRDefault="001E16B7" w:rsidP="001E16B7">
      <w:r>
        <w:br w:type="page"/>
      </w:r>
    </w:p>
    <w:sectPr w:rsidR="00212067" w:rsidRPr="00AB2556" w:rsidSect="0086416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6B7" w:rsidRDefault="001E16B7" w:rsidP="00261634">
      <w:r>
        <w:separator/>
      </w:r>
    </w:p>
  </w:endnote>
  <w:endnote w:type="continuationSeparator" w:id="0">
    <w:p w:rsidR="001E16B7" w:rsidRDefault="001E16B7"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7353FA">
        <w:pPr>
          <w:pStyle w:val="Footer"/>
          <w:jc w:val="right"/>
        </w:pPr>
        <w:fldSimple w:instr=" PAGE   \* MERGEFORMAT ">
          <w:r w:rsidR="00AB2556">
            <w:rPr>
              <w:noProof/>
            </w:rPr>
            <w:t>1</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6B7" w:rsidRDefault="001E16B7" w:rsidP="00261634">
      <w:r>
        <w:separator/>
      </w:r>
    </w:p>
  </w:footnote>
  <w:footnote w:type="continuationSeparator" w:id="0">
    <w:p w:rsidR="001E16B7" w:rsidRDefault="001E16B7"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AB2556">
            <w:rPr>
              <w:noProof/>
            </w:rPr>
            <w:t>1</w:t>
          </w:r>
        </w:fldSimple>
        <w:r w:rsidRPr="0064186A">
          <w:t xml:space="preserve"> of </w:t>
        </w:r>
        <w:fldSimple w:instr=" NUMPAGES  ">
          <w:r w:rsidR="00AB2556">
            <w:rPr>
              <w:noProof/>
            </w:rPr>
            <w:t>1</w:t>
          </w:r>
        </w:fldSimple>
      </w:sdtContent>
    </w:sdt>
  </w:p>
  <w:p w:rsidR="00F56DC0" w:rsidRPr="00236E21" w:rsidRDefault="007353FA"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stylePaneFormatFilter w:val="1021"/>
  <w:defaultTabStop w:val="360"/>
  <w:drawingGridHorizontalSpacing w:val="11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rsids>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16B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3FA"/>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E16B7"/>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36E21"/>
    <w:pPr>
      <w:pageBreakBefore/>
      <w:jc w:val="center"/>
      <w:outlineLvl w:val="0"/>
    </w:pPr>
    <w:rPr>
      <w:rFonts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rFonts w:eastAsia="Calibr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Title Char,Heading 1 Char1 Char,ALEX Char,Heading Char Char"/>
    <w:link w:val="Heading1"/>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aliases w:val="heading 1 (block title),Important,Read"/>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eastAsia="Calibri"/>
      <w:szCs w:val="22"/>
    </w:r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eastAsia="Calibri"/>
      <w:szCs w:val="22"/>
    </w:r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eastAsia="Calibri"/>
      <w:szCs w:val="22"/>
    </w:rPr>
  </w:style>
  <w:style w:type="paragraph" w:customStyle="1" w:styleId="LanguageEditing">
    <w:name w:val="Language Editing"/>
    <w:basedOn w:val="Normal"/>
    <w:link w:val="LanguageEditingChar"/>
    <w:qFormat/>
    <w:rsid w:val="00236E21"/>
    <w:rPr>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eastAsia="Calibri"/>
      <w:szCs w:val="22"/>
    </w:rPr>
  </w:style>
  <w:style w:type="paragraph" w:styleId="TOC4">
    <w:name w:val="toc 4"/>
    <w:basedOn w:val="Normal"/>
    <w:next w:val="Normal"/>
    <w:autoRedefine/>
    <w:uiPriority w:val="39"/>
    <w:semiHidden/>
    <w:unhideWhenUsed/>
    <w:rsid w:val="00212067"/>
    <w:pPr>
      <w:spacing w:before="240"/>
    </w:pPr>
    <w:rPr>
      <w:rFonts w:eastAsia="Calibri"/>
      <w:b/>
      <w:szCs w:val="22"/>
      <w:u w:val="single"/>
    </w:rPr>
  </w:style>
  <w:style w:type="paragraph" w:customStyle="1" w:styleId="Citation">
    <w:name w:val="Citation"/>
    <w:basedOn w:val="Normal"/>
    <w:link w:val="CitationChar"/>
    <w:qFormat/>
    <w:rsid w:val="00AB2556"/>
    <w:rPr>
      <w:rFonts w:eastAsia="Calibri"/>
      <w:b/>
      <w:sz w:val="24"/>
      <w:szCs w:val="24"/>
    </w:rPr>
  </w:style>
  <w:style w:type="character" w:customStyle="1" w:styleId="CitationChar">
    <w:name w:val="Citation Char"/>
    <w:aliases w:val="cite,Heading 3 Char Char Char,Char Char2,cites Char Char,Citation Char Char1 Char Char Char Char Char,Char Char,Underlined Text Char,Block Writing Char,Index Headers Char,Char Char Char1,Tag Char, Char Char1,Tags Char,Tag Ch,c"/>
    <w:basedOn w:val="DefaultParagraphFont"/>
    <w:link w:val="Citation"/>
    <w:qFormat/>
    <w:rsid w:val="00AB2556"/>
    <w:rPr>
      <w:rFonts w:ascii="Times New Roman" w:hAnsi="Times New Roman" w:cs="Times New Roman"/>
      <w:b/>
      <w:sz w:val="24"/>
      <w:szCs w:val="24"/>
    </w:rPr>
  </w:style>
  <w:style w:type="paragraph" w:customStyle="1" w:styleId="tag">
    <w:name w:val="tag"/>
    <w:basedOn w:val="Normal"/>
    <w:next w:val="Normal"/>
    <w:link w:val="tagChar"/>
    <w:qFormat/>
    <w:rsid w:val="001E16B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1E16B7"/>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E16B7"/>
    <w:pPr>
      <w:ind w:left="288" w:right="288"/>
    </w:pPr>
  </w:style>
  <w:style w:type="character" w:customStyle="1" w:styleId="cardChar">
    <w:name w:val="card Char"/>
    <w:link w:val="card"/>
    <w:rsid w:val="001E16B7"/>
    <w:rPr>
      <w:rFonts w:ascii="Times New Roman" w:eastAsia="Times New Roman" w:hAnsi="Times New Roman" w:cs="Times New Roman"/>
      <w:sz w:val="20"/>
      <w:szCs w:val="20"/>
    </w:rPr>
  </w:style>
  <w:style w:type="character" w:customStyle="1" w:styleId="underline0">
    <w:name w:val="underline"/>
    <w:link w:val="textbold"/>
    <w:qFormat/>
    <w:rsid w:val="001E16B7"/>
    <w:rPr>
      <w:b/>
      <w:u w:val="single"/>
    </w:rPr>
  </w:style>
  <w:style w:type="paragraph" w:customStyle="1" w:styleId="BlockTitle">
    <w:name w:val="Block Title"/>
    <w:basedOn w:val="Heading1"/>
    <w:next w:val="Normal"/>
    <w:qFormat/>
    <w:rsid w:val="001E16B7"/>
    <w:pPr>
      <w:keepNext/>
      <w:pageBreakBefore w:val="0"/>
      <w:spacing w:after="240"/>
    </w:pPr>
    <w:rPr>
      <w:rFonts w:cs="Arial"/>
      <w:kern w:val="32"/>
      <w:szCs w:val="32"/>
    </w:rPr>
  </w:style>
  <w:style w:type="paragraph" w:customStyle="1" w:styleId="textbold">
    <w:name w:val="text bold"/>
    <w:basedOn w:val="Normal"/>
    <w:link w:val="underline0"/>
    <w:rsid w:val="001E16B7"/>
    <w:pPr>
      <w:ind w:left="720"/>
      <w:jc w:val="both"/>
    </w:pPr>
    <w:rPr>
      <w:rFonts w:asciiTheme="minorHAnsi" w:eastAsia="Calibri" w:hAnsiTheme="minorHAnsi" w:cstheme="minorBidi"/>
      <w:b/>
      <w:sz w:val="22"/>
      <w:szCs w:val="22"/>
      <w:u w:val="single"/>
    </w:rPr>
  </w:style>
  <w:style w:type="paragraph" w:customStyle="1" w:styleId="hat">
    <w:name w:val="hat"/>
    <w:basedOn w:val="Normal"/>
    <w:next w:val="Normal"/>
    <w:rsid w:val="001E16B7"/>
    <w:pPr>
      <w:spacing w:before="240" w:after="240"/>
      <w:jc w:val="center"/>
      <w:outlineLvl w:val="0"/>
    </w:pPr>
    <w:rPr>
      <w:rFonts w:cs="Arial"/>
      <w:b/>
      <w:bCs/>
      <w:sz w:val="32"/>
      <w:szCs w:val="24"/>
      <w:u w:val="single"/>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ghthub.com/education/languages/articles/36828.aspx" TargetMode="External"/><Relationship Id="rId13" Type="http://schemas.openxmlformats.org/officeDocument/2006/relationships/hyperlink" Target="http://www.cejiss.org/issue/2010-volume-4-issue-1/lappin" TargetMode="External"/><Relationship Id="rId18" Type="http://schemas.openxmlformats.org/officeDocument/2006/relationships/hyperlink" Target="http://www.thefreelibrary.com/Democracy%3A+rising+tide+or+mirage%3F-a013337018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bikyamasr.com/33144/washington-scholars-debate-the-arab-spring/" TargetMode="External"/><Relationship Id="rId7" Type="http://schemas.openxmlformats.org/officeDocument/2006/relationships/hyperlink" Target="http://www.usa.gov/Agencies/federal.shtml" TargetMode="External"/><Relationship Id="rId12" Type="http://schemas.openxmlformats.org/officeDocument/2006/relationships/hyperlink" Target="http://pdfserve.informaworld.com/69109__790479070.pdf" TargetMode="External"/><Relationship Id="rId17" Type="http://schemas.openxmlformats.org/officeDocument/2006/relationships/hyperlink" Target="http://www.aljazeera.com/indepth/opinion/2011/05/2011531132934920499.html"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thecable.foreignpolicy.com/posts/2011/02/15/congress_prepares_middle_east_stability_funding_package?wpisrc=obnetwork" TargetMode="External"/><Relationship Id="rId20" Type="http://schemas.openxmlformats.org/officeDocument/2006/relationships/hyperlink" Target="https://www.brookings.edu/events/2011/0522_arab_awakening.asp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preme.lp.findlaw.com/supreme_court/briefs/06-84/06-84.mer.ami.mica.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meria.idc.ac.il/journal/2006/issue1/jv10no1a2.html" TargetMode="External"/><Relationship Id="rId23" Type="http://schemas.openxmlformats.org/officeDocument/2006/relationships/hyperlink" Target="http://www.ciaonet.org/olj/jird/jird_200703_v10n1_d.pdf" TargetMode="External"/><Relationship Id="rId28" Type="http://schemas.openxmlformats.org/officeDocument/2006/relationships/header" Target="header3.xml"/><Relationship Id="rId10" Type="http://schemas.openxmlformats.org/officeDocument/2006/relationships/hyperlink" Target="http://www.merriam-webster.com/dictionary/substantially" TargetMode="External"/><Relationship Id="rId19" Type="http://schemas.openxmlformats.org/officeDocument/2006/relationships/hyperlink" Target="http://www.meforum.org/1680/can-there-be-an-islamic-democrac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ictionary.reference.com/browse/should" TargetMode="External"/><Relationship Id="rId14" Type="http://schemas.openxmlformats.org/officeDocument/2006/relationships/hyperlink" Target="http://www.guardian.co.uk/global-development/poverty-matters/2011/aug/01/us-foreign-aid-cuts" TargetMode="External"/><Relationship Id="rId22" Type="http://schemas.openxmlformats.org/officeDocument/2006/relationships/hyperlink" Target="http://publicsphere.ssrc.org/walt-international-affairs-and-the-public-sphere/"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15EAA-FFF8-40BE-B577-739B302E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1885</Words>
  <Characters>12253</Characters>
  <Application>Microsoft Office Word</Application>
  <DocSecurity>0</DocSecurity>
  <Lines>291</Lines>
  <Paragraphs>153</Paragraphs>
  <ScaleCrop>false</ScaleCrop>
  <Company>Liberty University</Company>
  <LinksUpToDate>false</LinksUpToDate>
  <CharactersWithSpaces>13985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2012-04-02T00:11:00Z</dcterms:created>
  <dcterms:modified xsi:type="dcterms:W3CDTF">2012-04-02T00:12:00Z</dcterms:modified>
</cp:coreProperties>
</file>