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808" w:rsidRDefault="00E74808" w:rsidP="00E74808">
      <w:pPr>
        <w:pStyle w:val="Heading2"/>
      </w:pPr>
      <w:r>
        <w:t>PTC</w:t>
      </w:r>
      <w:bookmarkStart w:id="0" w:name="_GoBack"/>
      <w:bookmarkEnd w:id="0"/>
    </w:p>
    <w:p w:rsidR="00E74808" w:rsidRDefault="00E74808" w:rsidP="00E74808">
      <w:pPr>
        <w:pStyle w:val="Heading3"/>
      </w:pPr>
      <w:r>
        <w:t>Payroll cut will pass [but it will be close and a fight---it’s top of the agenda and he has momentum]</w:t>
      </w:r>
    </w:p>
    <w:p w:rsidR="00E74808" w:rsidRDefault="00E74808" w:rsidP="00E74808">
      <w:r w:rsidRPr="00E911AB">
        <w:rPr>
          <w:rStyle w:val="Heading3Char"/>
        </w:rPr>
        <w:t>Lee 12/31</w:t>
      </w:r>
      <w:r>
        <w:t xml:space="preserve"> Carol E. WSJ writer "White House Looks to Shrunken 2012 Legislative Agenda" online.wsj.com/article/SB10001424052970204720204577131543017594740.html</w:t>
      </w:r>
    </w:p>
    <w:p w:rsidR="00E74808" w:rsidRDefault="00E74808" w:rsidP="00E74808">
      <w:pPr>
        <w:pStyle w:val="cardtext"/>
        <w:rPr>
          <w:sz w:val="16"/>
          <w:szCs w:val="16"/>
        </w:rPr>
      </w:pPr>
      <w:r w:rsidRPr="00754B6B">
        <w:rPr>
          <w:highlight w:val="yellow"/>
        </w:rPr>
        <w:t xml:space="preserve">The president's </w:t>
      </w:r>
      <w:r w:rsidRPr="00754B6B">
        <w:rPr>
          <w:rStyle w:val="Box"/>
          <w:highlight w:val="yellow"/>
        </w:rPr>
        <w:t>central focus</w:t>
      </w:r>
      <w:r w:rsidRPr="00BF29BE">
        <w:rPr>
          <w:sz w:val="16"/>
        </w:rPr>
        <w:t xml:space="preserve"> after </w:t>
      </w:r>
      <w:proofErr w:type="gramStart"/>
      <w:r w:rsidRPr="00BF29BE">
        <w:rPr>
          <w:sz w:val="16"/>
        </w:rPr>
        <w:t>he</w:t>
      </w:r>
      <w:proofErr w:type="gramEnd"/>
      <w:r w:rsidRPr="00BF29BE">
        <w:rPr>
          <w:sz w:val="16"/>
        </w:rPr>
        <w:t xml:space="preserve"> </w:t>
      </w:r>
      <w:r>
        <w:rPr>
          <w:sz w:val="16"/>
        </w:rPr>
        <w:t>…</w:t>
      </w:r>
      <w:r w:rsidRPr="00BF29BE">
        <w:rPr>
          <w:sz w:val="16"/>
          <w:szCs w:val="16"/>
        </w:rPr>
        <w:t xml:space="preserve"> we want our children and grandchildren to grow up in."</w:t>
      </w:r>
    </w:p>
    <w:p w:rsidR="00E74808" w:rsidRPr="00CD195D" w:rsidRDefault="00E74808" w:rsidP="00E74808">
      <w:pPr>
        <w:pStyle w:val="cardtext"/>
        <w:rPr>
          <w:sz w:val="16"/>
          <w:szCs w:val="16"/>
        </w:rPr>
      </w:pPr>
    </w:p>
    <w:p w:rsidR="00E74808" w:rsidRDefault="00E74808" w:rsidP="00E74808">
      <w:pPr>
        <w:pStyle w:val="Heading3"/>
      </w:pPr>
      <w:r>
        <w:t>Plan drains capital</w:t>
      </w:r>
    </w:p>
    <w:p w:rsidR="00E74808" w:rsidRPr="00F26764" w:rsidRDefault="00E74808" w:rsidP="00E74808">
      <w:r>
        <w:t xml:space="preserve">Jim </w:t>
      </w:r>
      <w:r w:rsidRPr="00F26764">
        <w:rPr>
          <w:rStyle w:val="Heading3Char"/>
        </w:rPr>
        <w:t xml:space="preserve">Lobe 11 </w:t>
      </w:r>
      <w:r>
        <w:t>is the Washington bureau chief of the Inter Press Service and a contributor to IPS Right Web “Arab Spring Stalls as U.S. Defers to Saudi ‘Counter-revolution’” April 25 rightweb.irc-online.org/articles/display/arab_spring_stalls_as_us_defers_to_saudi_counter_revolution</w:t>
      </w:r>
    </w:p>
    <w:p w:rsidR="00E74808" w:rsidRPr="007929AF" w:rsidRDefault="00E74808" w:rsidP="00E74808">
      <w:pPr>
        <w:pStyle w:val="cardtext"/>
        <w:rPr>
          <w:sz w:val="16"/>
        </w:rPr>
      </w:pPr>
      <w:r w:rsidRPr="00F26764">
        <w:rPr>
          <w:sz w:val="16"/>
        </w:rPr>
        <w:t xml:space="preserve">Their eagerness to charge Tehran with foreign </w:t>
      </w:r>
      <w:r>
        <w:rPr>
          <w:sz w:val="16"/>
        </w:rPr>
        <w:t>…</w:t>
      </w:r>
      <w:r w:rsidRPr="00754B6B">
        <w:rPr>
          <w:b/>
          <w:highlight w:val="yellow"/>
        </w:rPr>
        <w:t xml:space="preserve"> a democratic Egypt may not</w:t>
      </w:r>
      <w:r w:rsidRPr="003C4C34">
        <w:rPr>
          <w:b/>
        </w:rPr>
        <w:t xml:space="preserve"> </w:t>
      </w:r>
      <w:r w:rsidRPr="00754B6B">
        <w:rPr>
          <w:b/>
          <w:highlight w:val="yellow"/>
        </w:rPr>
        <w:t>be</w:t>
      </w:r>
      <w:r w:rsidRPr="003C4C34">
        <w:rPr>
          <w:b/>
        </w:rPr>
        <w:t xml:space="preserve"> such </w:t>
      </w:r>
      <w:r w:rsidRPr="00754B6B">
        <w:rPr>
          <w:b/>
          <w:highlight w:val="yellow"/>
        </w:rPr>
        <w:t>a good investment</w:t>
      </w:r>
      <w:r w:rsidRPr="00754B6B">
        <w:rPr>
          <w:sz w:val="16"/>
          <w:highlight w:val="yellow"/>
        </w:rPr>
        <w:t>.</w:t>
      </w:r>
    </w:p>
    <w:p w:rsidR="00E74808" w:rsidRPr="00E93186" w:rsidRDefault="00E74808" w:rsidP="00E74808">
      <w:pPr>
        <w:pStyle w:val="cardtext"/>
        <w:rPr>
          <w:sz w:val="10"/>
        </w:rPr>
      </w:pPr>
      <w:proofErr w:type="gramStart"/>
      <w:r w:rsidRPr="00E93186">
        <w:rPr>
          <w:sz w:val="10"/>
        </w:rPr>
        <w:t>countries</w:t>
      </w:r>
      <w:proofErr w:type="gramEnd"/>
      <w:r w:rsidRPr="00E93186">
        <w:rPr>
          <w:sz w:val="10"/>
        </w:rPr>
        <w:t>."</w:t>
      </w:r>
    </w:p>
    <w:p w:rsidR="00E74808" w:rsidRDefault="00E74808" w:rsidP="00E74808"/>
    <w:p w:rsidR="00E74808" w:rsidRDefault="00E74808" w:rsidP="00E74808">
      <w:pPr>
        <w:pStyle w:val="Heading3"/>
      </w:pPr>
      <w:r>
        <w:t>PC is key</w:t>
      </w:r>
    </w:p>
    <w:p w:rsidR="00E74808" w:rsidRDefault="00E74808" w:rsidP="00E74808">
      <w:r w:rsidRPr="00E938D4">
        <w:rPr>
          <w:rStyle w:val="Heading3Char"/>
        </w:rPr>
        <w:t xml:space="preserve">Inquirer </w:t>
      </w:r>
      <w:r>
        <w:rPr>
          <w:rStyle w:val="Heading3Char"/>
        </w:rPr>
        <w:t>11</w:t>
      </w:r>
      <w:r>
        <w:t xml:space="preserve"> – 9/8, "POINT: Don't expect miracles on job growth" Sept 8articles.philly.com/2011-09-08/news/30130709_1_jobs-plan-american-economy-rare-tax</w:t>
      </w:r>
    </w:p>
    <w:p w:rsidR="00E74808" w:rsidRPr="009A0A62" w:rsidRDefault="00E74808" w:rsidP="00E74808">
      <w:pPr>
        <w:pStyle w:val="cardtext"/>
        <w:rPr>
          <w:sz w:val="16"/>
        </w:rPr>
      </w:pPr>
      <w:r w:rsidRPr="009A0A62">
        <w:rPr>
          <w:sz w:val="16"/>
        </w:rPr>
        <w:t xml:space="preserve">The solution is </w:t>
      </w:r>
      <w:r w:rsidRPr="00FB3DB4">
        <w:t>to pump</w:t>
      </w:r>
      <w:r w:rsidRPr="00FB3DB4">
        <w:rPr>
          <w:sz w:val="16"/>
        </w:rPr>
        <w:t xml:space="preserve"> more </w:t>
      </w:r>
      <w:r w:rsidRPr="00FB3DB4">
        <w:t xml:space="preserve">money into the </w:t>
      </w:r>
      <w:r>
        <w:rPr>
          <w:sz w:val="16"/>
        </w:rPr>
        <w:t>…</w:t>
      </w:r>
      <w:r w:rsidRPr="00754B6B">
        <w:rPr>
          <w:b/>
          <w:highlight w:val="yellow"/>
        </w:rPr>
        <w:t xml:space="preserve"> </w:t>
      </w:r>
      <w:r w:rsidRPr="009A0A62">
        <w:rPr>
          <w:sz w:val="16"/>
        </w:rPr>
        <w:t>a party that made a major effort to privatize Social Security.</w:t>
      </w:r>
    </w:p>
    <w:p w:rsidR="00E74808" w:rsidRPr="00BF29BE" w:rsidRDefault="00E74808" w:rsidP="00E74808">
      <w:pPr>
        <w:pStyle w:val="cardtext"/>
      </w:pPr>
    </w:p>
    <w:p w:rsidR="00E74808" w:rsidRPr="00B86FB3" w:rsidRDefault="00E74808" w:rsidP="00E74808">
      <w:pPr>
        <w:pStyle w:val="Heading3"/>
      </w:pPr>
      <w:r>
        <w:t>Failure wrecks any hope of economic recovery</w:t>
      </w:r>
    </w:p>
    <w:p w:rsidR="00E74808" w:rsidRPr="00506BAC" w:rsidRDefault="00E74808" w:rsidP="00E74808">
      <w:r w:rsidRPr="00B86FB3">
        <w:rPr>
          <w:rStyle w:val="Heading3Char"/>
        </w:rPr>
        <w:t>Ludwig 12/7</w:t>
      </w:r>
      <w:r>
        <w:t xml:space="preserve"> Eugene A. Ludwig, chief executive of the Promontory Financial Group, was the comptroller of the currency from 1993 to 1998. "Why the Fight </w:t>
      </w:r>
      <w:proofErr w:type="gramStart"/>
      <w:r>
        <w:t>Over</w:t>
      </w:r>
      <w:proofErr w:type="gramEnd"/>
      <w:r>
        <w:t xml:space="preserve"> the Payroll Tax Matters" Dec 7 www.nytimes.com/2011/12/08/opinion/why-the-fight-over-the-payroll-tax-matters.html</w:t>
      </w:r>
    </w:p>
    <w:p w:rsidR="00E74808" w:rsidRDefault="00E74808" w:rsidP="00E74808">
      <w:pPr>
        <w:pStyle w:val="cardtext"/>
        <w:rPr>
          <w:sz w:val="16"/>
        </w:rPr>
      </w:pPr>
      <w:r w:rsidRPr="00754B6B">
        <w:rPr>
          <w:highlight w:val="yellow"/>
        </w:rPr>
        <w:t>THE</w:t>
      </w:r>
      <w:r w:rsidRPr="00B86FB3">
        <w:t xml:space="preserve"> payroll </w:t>
      </w:r>
      <w:r w:rsidRPr="00754B6B">
        <w:rPr>
          <w:highlight w:val="yellow"/>
        </w:rPr>
        <w:t>tax cut</w:t>
      </w:r>
      <w:r w:rsidRPr="00B86FB3">
        <w:rPr>
          <w:sz w:val="16"/>
        </w:rPr>
        <w:t xml:space="preserve"> being </w:t>
      </w:r>
      <w:r w:rsidRPr="004D4C17">
        <w:t>debated</w:t>
      </w:r>
      <w:r w:rsidRPr="00B86FB3">
        <w:t xml:space="preserve"> in Congress </w:t>
      </w:r>
      <w:r>
        <w:rPr>
          <w:sz w:val="16"/>
        </w:rPr>
        <w:t>…</w:t>
      </w:r>
      <w:r w:rsidRPr="00754B6B">
        <w:rPr>
          <w:b/>
          <w:highlight w:val="yellow"/>
        </w:rPr>
        <w:t xml:space="preserve"> </w:t>
      </w:r>
      <w:r w:rsidRPr="00754B6B">
        <w:rPr>
          <w:rStyle w:val="Box"/>
          <w:highlight w:val="yellow"/>
        </w:rPr>
        <w:t>disastrous effect on our</w:t>
      </w:r>
      <w:r w:rsidRPr="00B86FB3">
        <w:rPr>
          <w:rStyle w:val="Box"/>
        </w:rPr>
        <w:t xml:space="preserve"> economic </w:t>
      </w:r>
      <w:r w:rsidRPr="00754B6B">
        <w:rPr>
          <w:rStyle w:val="Box"/>
          <w:highlight w:val="yellow"/>
        </w:rPr>
        <w:t>recovery</w:t>
      </w:r>
      <w:r w:rsidRPr="00B86FB3">
        <w:rPr>
          <w:sz w:val="16"/>
        </w:rPr>
        <w:t>.</w:t>
      </w:r>
    </w:p>
    <w:p w:rsidR="00E74808" w:rsidRDefault="00E74808" w:rsidP="00E74808">
      <w:pPr>
        <w:pStyle w:val="cardtext"/>
        <w:rPr>
          <w:sz w:val="16"/>
        </w:rPr>
      </w:pPr>
    </w:p>
    <w:p w:rsidR="00E74808" w:rsidRDefault="00E74808" w:rsidP="00E74808">
      <w:pPr>
        <w:pStyle w:val="Heading3"/>
      </w:pPr>
      <w:r>
        <w:t>That causes nuke war---bipartisan economic solutions are key</w:t>
      </w:r>
    </w:p>
    <w:p w:rsidR="00E74808" w:rsidRDefault="00E74808" w:rsidP="00E74808">
      <w:proofErr w:type="spellStart"/>
      <w:r w:rsidRPr="00AD3585">
        <w:rPr>
          <w:rStyle w:val="Heading3Char"/>
        </w:rPr>
        <w:t>Khalilzad</w:t>
      </w:r>
      <w:proofErr w:type="spellEnd"/>
      <w:r w:rsidRPr="00AD3585">
        <w:rPr>
          <w:rStyle w:val="Heading3Char"/>
        </w:rPr>
        <w:t xml:space="preserve"> 11</w:t>
      </w:r>
      <w:r>
        <w:t xml:space="preserve"> </w:t>
      </w:r>
      <w:proofErr w:type="spellStart"/>
      <w:r>
        <w:t>Zalmay</w:t>
      </w:r>
      <w:proofErr w:type="spellEnd"/>
      <w:r>
        <w:t xml:space="preserve"> </w:t>
      </w:r>
      <w:proofErr w:type="spellStart"/>
      <w:r>
        <w:t>Khalilzad</w:t>
      </w:r>
      <w:proofErr w:type="spellEnd"/>
      <w:r>
        <w:t xml:space="preserve"> was the United States ambassador to Afghanistan, Iraq, and the United Nations during the presidency of George W. Bush and the director of policy planning at the Defense Department from 1990 to 1992. "The </w:t>
      </w:r>
      <w:proofErr w:type="spellStart"/>
      <w:r>
        <w:t>Econom</w:t>
      </w:r>
      <w:proofErr w:type="spellEnd"/>
      <w:r>
        <w:t xml:space="preserve"> and National Security" Feb 8 www.nationalreview.com/blogs/print/259024</w:t>
      </w:r>
    </w:p>
    <w:p w:rsidR="00E74808" w:rsidRPr="009D121C" w:rsidRDefault="00E74808" w:rsidP="00E74808">
      <w:pPr>
        <w:pStyle w:val="cardtext"/>
        <w:rPr>
          <w:sz w:val="16"/>
        </w:rPr>
      </w:pPr>
      <w:r w:rsidRPr="00266CC6">
        <w:rPr>
          <w:sz w:val="10"/>
        </w:rPr>
        <w:t xml:space="preserve">Today, </w:t>
      </w:r>
      <w:r w:rsidRPr="00754B6B">
        <w:rPr>
          <w:highlight w:val="yellow"/>
        </w:rPr>
        <w:t>economic</w:t>
      </w:r>
      <w:r w:rsidRPr="00266CC6">
        <w:rPr>
          <w:sz w:val="10"/>
        </w:rPr>
        <w:t xml:space="preserve"> and fiscal </w:t>
      </w:r>
      <w:r w:rsidRPr="00754B6B">
        <w:rPr>
          <w:highlight w:val="yellow"/>
        </w:rPr>
        <w:t xml:space="preserve">trends pose the </w:t>
      </w:r>
      <w:r w:rsidRPr="00754B6B">
        <w:rPr>
          <w:rStyle w:val="Box"/>
          <w:highlight w:val="yellow"/>
        </w:rPr>
        <w:t>most severe</w:t>
      </w:r>
      <w:r w:rsidRPr="009D121C">
        <w:t xml:space="preserve"> </w:t>
      </w:r>
      <w:r>
        <w:rPr>
          <w:sz w:val="16"/>
        </w:rPr>
        <w:t>…</w:t>
      </w:r>
      <w:r w:rsidRPr="009D121C">
        <w:t xml:space="preserve">, </w:t>
      </w:r>
      <w:r w:rsidRPr="009D121C">
        <w:rPr>
          <w:rStyle w:val="Emphasis"/>
        </w:rPr>
        <w:t xml:space="preserve">dangerous era of </w:t>
      </w:r>
      <w:r w:rsidRPr="00754B6B">
        <w:rPr>
          <w:rStyle w:val="Emphasis"/>
          <w:highlight w:val="yellow"/>
        </w:rPr>
        <w:t>multi-polarity</w:t>
      </w:r>
      <w:r w:rsidRPr="009D121C">
        <w:rPr>
          <w:sz w:val="16"/>
        </w:rPr>
        <w:t>.</w:t>
      </w:r>
    </w:p>
    <w:p w:rsidR="00E74808" w:rsidRPr="00E93186" w:rsidRDefault="00E74808" w:rsidP="00E74808">
      <w:pPr>
        <w:rPr>
          <w:sz w:val="10"/>
        </w:rPr>
      </w:pPr>
    </w:p>
    <w:p w:rsidR="00E74808" w:rsidRDefault="00E74808" w:rsidP="00E74808">
      <w:pPr>
        <w:pStyle w:val="Heading2"/>
      </w:pPr>
      <w:r>
        <w:t>Courts CP</w:t>
      </w:r>
    </w:p>
    <w:p w:rsidR="00E74808" w:rsidRDefault="00E74808" w:rsidP="00E74808">
      <w:pPr>
        <w:pStyle w:val="Heading3"/>
      </w:pPr>
      <w:r>
        <w:t>TEXT: The United States federal government should hear a relevant test case about United States democracy assistance in Egypt and, if there is an active controversy, rule</w:t>
      </w:r>
    </w:p>
    <w:p w:rsidR="00E74808" w:rsidRDefault="00E74808" w:rsidP="00E74808">
      <w:pPr>
        <w:pStyle w:val="Heading3"/>
        <w:numPr>
          <w:ilvl w:val="0"/>
          <w:numId w:val="2"/>
        </w:numPr>
      </w:pPr>
      <w:proofErr w:type="gramStart"/>
      <w:r>
        <w:t>that</w:t>
      </w:r>
      <w:proofErr w:type="gramEnd"/>
      <w:r>
        <w:t xml:space="preserve"> the Establishment Clause applies extraterritorially;</w:t>
      </w:r>
    </w:p>
    <w:p w:rsidR="00E74808" w:rsidRDefault="00E74808" w:rsidP="00E74808">
      <w:pPr>
        <w:pStyle w:val="Heading3"/>
        <w:numPr>
          <w:ilvl w:val="0"/>
          <w:numId w:val="2"/>
        </w:numPr>
      </w:pPr>
      <w:proofErr w:type="gramStart"/>
      <w:r>
        <w:t>that</w:t>
      </w:r>
      <w:proofErr w:type="gramEnd"/>
      <w:r>
        <w:t xml:space="preserve"> assistance programs that show preference for one religious group over others violates the Establishment Clause; and</w:t>
      </w:r>
    </w:p>
    <w:p w:rsidR="00E74808" w:rsidRDefault="00E74808" w:rsidP="00E74808">
      <w:pPr>
        <w:pStyle w:val="Heading3"/>
        <w:numPr>
          <w:ilvl w:val="0"/>
          <w:numId w:val="2"/>
        </w:numPr>
      </w:pPr>
      <w:proofErr w:type="gramStart"/>
      <w:r>
        <w:t>that</w:t>
      </w:r>
      <w:proofErr w:type="gramEnd"/>
      <w:r>
        <w:t xml:space="preserve"> providing assistance and directly engaging with the Muslim Brotherhood is permitted under the Establishment Clause.</w:t>
      </w:r>
    </w:p>
    <w:p w:rsidR="00E74808" w:rsidRDefault="00E74808" w:rsidP="00E74808"/>
    <w:p w:rsidR="00E74808" w:rsidRDefault="00E74808" w:rsidP="00E74808">
      <w:pPr>
        <w:pStyle w:val="Heading3"/>
      </w:pPr>
      <w:r>
        <w:t xml:space="preserve">Lack of </w:t>
      </w:r>
      <w:r w:rsidRPr="00954BDF">
        <w:rPr>
          <w:u w:val="single"/>
        </w:rPr>
        <w:t>clear legal understanding</w:t>
      </w:r>
      <w:r>
        <w:t xml:space="preserve"> is preventing the State Department from </w:t>
      </w:r>
      <w:r w:rsidRPr="00954BDF">
        <w:rPr>
          <w:u w:val="single"/>
        </w:rPr>
        <w:t>substantively engaging</w:t>
      </w:r>
      <w:r>
        <w:t xml:space="preserve"> with religious organizations oversees</w:t>
      </w:r>
    </w:p>
    <w:p w:rsidR="00E74808" w:rsidRDefault="00E74808" w:rsidP="00E74808">
      <w:proofErr w:type="spellStart"/>
      <w:r w:rsidRPr="00160741">
        <w:rPr>
          <w:rStyle w:val="StyleStyleBold12pt"/>
        </w:rPr>
        <w:t>Danan</w:t>
      </w:r>
      <w:proofErr w:type="spellEnd"/>
      <w:r w:rsidRPr="00160741">
        <w:rPr>
          <w:rStyle w:val="StyleStyleBold12pt"/>
        </w:rPr>
        <w:t xml:space="preserve"> 7</w:t>
      </w:r>
      <w:r>
        <w:t xml:space="preserve"> (</w:t>
      </w:r>
      <w:proofErr w:type="spellStart"/>
      <w:r>
        <w:t>Liora</w:t>
      </w:r>
      <w:proofErr w:type="spellEnd"/>
      <w:r>
        <w:t xml:space="preserve"> </w:t>
      </w:r>
      <w:proofErr w:type="spellStart"/>
      <w:r>
        <w:t>Danan</w:t>
      </w:r>
      <w:proofErr w:type="spellEnd"/>
      <w:r>
        <w:t>, Director of Special Projects with the Middle East Program at the Institute on Global Conflict and Cooperation (IGCC) at the University of California, August 07, Mixed Blessings: U.S. Government Engagement with Religion in Conflict-Prone Settings, http://csis.org/files/media/csis/pubs/070820_religion.pdf)</w:t>
      </w:r>
    </w:p>
    <w:p w:rsidR="00E74808" w:rsidRPr="000A41E0" w:rsidRDefault="00E74808" w:rsidP="00E74808">
      <w:pPr>
        <w:pStyle w:val="cardtext"/>
        <w:rPr>
          <w:rStyle w:val="Emphasis"/>
        </w:rPr>
      </w:pPr>
      <w:r w:rsidRPr="00754B6B">
        <w:rPr>
          <w:sz w:val="10"/>
        </w:rPr>
        <w:t xml:space="preserve">The Establishment Clause states, “Congress shall make no law respecting the establishment of </w:t>
      </w:r>
      <w:r>
        <w:rPr>
          <w:sz w:val="16"/>
        </w:rPr>
        <w:t>…</w:t>
      </w:r>
      <w:r w:rsidRPr="00754B6B">
        <w:rPr>
          <w:b/>
          <w:highlight w:val="yellow"/>
        </w:rPr>
        <w:t xml:space="preserve"> </w:t>
      </w:r>
      <w:r w:rsidRPr="00754B6B">
        <w:rPr>
          <w:rStyle w:val="Emphasis"/>
          <w:highlight w:val="yellow"/>
        </w:rPr>
        <w:t>understand the limits of engagement</w:t>
      </w:r>
      <w:r w:rsidRPr="000A41E0">
        <w:rPr>
          <w:rStyle w:val="Emphasis"/>
        </w:rPr>
        <w:t>.</w:t>
      </w:r>
    </w:p>
    <w:p w:rsidR="00E74808" w:rsidRDefault="00E74808" w:rsidP="00E74808"/>
    <w:p w:rsidR="00E74808" w:rsidRDefault="00E74808" w:rsidP="00E74808">
      <w:pPr>
        <w:pStyle w:val="Heading3"/>
      </w:pPr>
      <w:r>
        <w:t xml:space="preserve">The US is already interacting with the Brotherhood in Egypt, but lack of </w:t>
      </w:r>
      <w:r w:rsidRPr="00422709">
        <w:rPr>
          <w:u w:val="single"/>
        </w:rPr>
        <w:t>clear guidance</w:t>
      </w:r>
      <w:r>
        <w:t xml:space="preserve"> prevents truly </w:t>
      </w:r>
      <w:r w:rsidRPr="00422709">
        <w:rPr>
          <w:u w:val="single"/>
        </w:rPr>
        <w:t>substantive engagement</w:t>
      </w:r>
      <w:r>
        <w:t xml:space="preserve"> [MSU </w:t>
      </w:r>
      <w:proofErr w:type="spellStart"/>
      <w:r>
        <w:t>aff</w:t>
      </w:r>
      <w:proofErr w:type="spellEnd"/>
      <w:r>
        <w:t xml:space="preserve"> card]</w:t>
      </w:r>
    </w:p>
    <w:p w:rsidR="00E74808" w:rsidRDefault="00E74808" w:rsidP="00E74808">
      <w:r w:rsidRPr="006C5AF3">
        <w:rPr>
          <w:rStyle w:val="StyleStyleBold12pt"/>
        </w:rPr>
        <w:t>Hamid 10</w:t>
      </w:r>
      <w:r>
        <w:t xml:space="preserve"> (</w:t>
      </w:r>
      <w:proofErr w:type="spellStart"/>
      <w:r>
        <w:t>Shadi</w:t>
      </w:r>
      <w:proofErr w:type="spellEnd"/>
      <w:r>
        <w:t xml:space="preserve">, </w:t>
      </w:r>
      <w:r w:rsidRPr="00872073">
        <w:t xml:space="preserve">Director of Research </w:t>
      </w:r>
      <w:r>
        <w:t xml:space="preserve">– </w:t>
      </w:r>
      <w:r w:rsidRPr="00872073">
        <w:t xml:space="preserve">Brookings Doha Center and Fellow </w:t>
      </w:r>
      <w:r>
        <w:t xml:space="preserve">– </w:t>
      </w:r>
      <w:proofErr w:type="spellStart"/>
      <w:r w:rsidRPr="00872073">
        <w:t>Saban</w:t>
      </w:r>
      <w:proofErr w:type="spellEnd"/>
      <w:r w:rsidRPr="00872073">
        <w:t xml:space="preserve"> Center for Middle East Policy at the Brookings Institution</w:t>
      </w:r>
      <w:r>
        <w:t xml:space="preserve">, </w:t>
      </w:r>
      <w:r w:rsidRPr="009A31C0">
        <w:t>“The Islamist Response to Repression: Are Mainstream Islamist Groups Radicalizing?</w:t>
      </w:r>
      <w:r>
        <w:t xml:space="preserve">”, Brookings Doha Center Policy Briefing, August, </w:t>
      </w:r>
      <w:hyperlink r:id="rId8" w:history="1">
        <w:r w:rsidRPr="0009727B">
          <w:rPr>
            <w:rStyle w:val="Hyperlink"/>
          </w:rPr>
          <w:t>http://www.brookings.edu/~/media/Files/rc/papers/</w:t>
        </w:r>
      </w:hyperlink>
      <w:r>
        <w:t xml:space="preserve"> 2010/0809_islamist_groups_hamid/0809_islamist_groups_hamid.pdf)</w:t>
      </w:r>
    </w:p>
    <w:p w:rsidR="00E74808" w:rsidRDefault="00E74808" w:rsidP="00E74808"/>
    <w:p w:rsidR="00E74808" w:rsidRPr="004A22AC" w:rsidRDefault="00E74808" w:rsidP="00E74808">
      <w:pPr>
        <w:rPr>
          <w:rStyle w:val="StyleBoldUnderline"/>
        </w:rPr>
      </w:pPr>
      <w:r w:rsidRPr="00A57D96">
        <w:rPr>
          <w:sz w:val="12"/>
        </w:rPr>
        <w:t xml:space="preserve">RECOMMENDATIONS FOR THE UNITED STATES AND THE INTERNATIONAL </w:t>
      </w:r>
      <w:r>
        <w:rPr>
          <w:sz w:val="16"/>
        </w:rPr>
        <w:t>…</w:t>
      </w:r>
      <w:r w:rsidRPr="00754B6B">
        <w:rPr>
          <w:b/>
          <w:highlight w:val="yellow"/>
        </w:rPr>
        <w:t xml:space="preserve"> </w:t>
      </w:r>
      <w:proofErr w:type="gramStart"/>
      <w:r w:rsidRPr="004A22AC">
        <w:rPr>
          <w:rStyle w:val="StyleBoldUnderline"/>
        </w:rPr>
        <w:t>are</w:t>
      </w:r>
      <w:proofErr w:type="gramEnd"/>
      <w:r w:rsidRPr="004A22AC">
        <w:rPr>
          <w:rStyle w:val="StyleBoldUnderline"/>
        </w:rPr>
        <w:t xml:space="preserve"> </w:t>
      </w:r>
      <w:r w:rsidRPr="004A22AC">
        <w:rPr>
          <w:rStyle w:val="StyleBoldUnderline"/>
          <w:highlight w:val="yellow"/>
        </w:rPr>
        <w:t>ad-hoc meetings lack</w:t>
      </w:r>
      <w:r w:rsidRPr="004A22AC">
        <w:rPr>
          <w:rStyle w:val="StyleBoldUnderline"/>
        </w:rPr>
        <w:t xml:space="preserve">ing </w:t>
      </w:r>
      <w:r w:rsidRPr="004A22AC">
        <w:rPr>
          <w:rStyle w:val="StyleBoldUnderline"/>
          <w:highlight w:val="yellow"/>
        </w:rPr>
        <w:t>a substantive agenda</w:t>
      </w:r>
      <w:r w:rsidRPr="004A22AC">
        <w:rPr>
          <w:rStyle w:val="StyleBoldUnderline"/>
        </w:rPr>
        <w:t>. 3</w:t>
      </w:r>
    </w:p>
    <w:p w:rsidR="00E74808" w:rsidRDefault="00E74808" w:rsidP="00E74808"/>
    <w:p w:rsidR="00E74808" w:rsidRDefault="00E74808" w:rsidP="00E74808">
      <w:pPr>
        <w:pStyle w:val="Heading3"/>
      </w:pPr>
      <w:r>
        <w:t xml:space="preserve">The CP establishes a </w:t>
      </w:r>
      <w:r w:rsidRPr="00422709">
        <w:rPr>
          <w:u w:val="single"/>
        </w:rPr>
        <w:t>balancing test</w:t>
      </w:r>
      <w:r>
        <w:t xml:space="preserve"> that sends a </w:t>
      </w:r>
      <w:r w:rsidRPr="00422709">
        <w:rPr>
          <w:u w:val="single"/>
        </w:rPr>
        <w:t>clear signal</w:t>
      </w:r>
      <w:r>
        <w:t xml:space="preserve"> to government agencies that engagement with religious groups is permitted.</w:t>
      </w:r>
    </w:p>
    <w:p w:rsidR="00E74808" w:rsidRDefault="00E74808" w:rsidP="00E74808">
      <w:r w:rsidRPr="00CF28FD">
        <w:rPr>
          <w:rStyle w:val="StyleStyleBold12pt"/>
        </w:rPr>
        <w:t>Hayden 6</w:t>
      </w:r>
      <w:r>
        <w:t xml:space="preserve"> (JESSICA POWLEY HAYDEN, Georgetown University Law Center, J.D, 11/06, Mullahs on a Bus: The Establishment Clause and U.S. Foreign Aid, 95 Geo. L.J. 171)</w:t>
      </w:r>
    </w:p>
    <w:p w:rsidR="00E74808" w:rsidRDefault="00E74808" w:rsidP="00E74808"/>
    <w:p w:rsidR="00E74808" w:rsidRPr="00A57D96" w:rsidRDefault="00E74808" w:rsidP="00E74808">
      <w:pPr>
        <w:rPr>
          <w:sz w:val="12"/>
        </w:rPr>
      </w:pPr>
      <w:r w:rsidRPr="00A57D96">
        <w:rPr>
          <w:sz w:val="12"/>
        </w:rPr>
        <w:t xml:space="preserve">V. THE ESTABLISHMENT CLAUSE AND FOREIGN </w:t>
      </w:r>
      <w:proofErr w:type="gramStart"/>
      <w:r w:rsidRPr="00A57D96">
        <w:rPr>
          <w:sz w:val="12"/>
        </w:rPr>
        <w:t>AID  Two</w:t>
      </w:r>
      <w:proofErr w:type="gramEnd"/>
      <w:r w:rsidRPr="00A57D96">
        <w:rPr>
          <w:sz w:val="12"/>
        </w:rPr>
        <w:t xml:space="preserve"> of the most </w:t>
      </w:r>
      <w:r>
        <w:rPr>
          <w:sz w:val="16"/>
        </w:rPr>
        <w:t>…</w:t>
      </w:r>
      <w:r w:rsidRPr="00754B6B">
        <w:rPr>
          <w:b/>
          <w:highlight w:val="yellow"/>
        </w:rPr>
        <w:t xml:space="preserve"> </w:t>
      </w:r>
      <w:r w:rsidRPr="00754B6B">
        <w:rPr>
          <w:rStyle w:val="StyleBoldUnderline"/>
          <w:highlight w:val="yellow"/>
        </w:rPr>
        <w:t>serve that compelling government interest</w:t>
      </w:r>
      <w:r w:rsidRPr="00A57D96">
        <w:rPr>
          <w:sz w:val="12"/>
        </w:rPr>
        <w:t>. n202</w:t>
      </w:r>
    </w:p>
    <w:p w:rsidR="00E74808" w:rsidRDefault="00E74808" w:rsidP="00E74808"/>
    <w:p w:rsidR="00E74808" w:rsidRDefault="00E74808" w:rsidP="00E74808">
      <w:pPr>
        <w:pStyle w:val="Heading3"/>
      </w:pPr>
      <w:r>
        <w:t xml:space="preserve">That’s key to jumpstart effective engagement with </w:t>
      </w:r>
      <w:r w:rsidRPr="00273BC9">
        <w:rPr>
          <w:u w:val="single"/>
        </w:rPr>
        <w:t>all</w:t>
      </w:r>
      <w:r>
        <w:t xml:space="preserve"> religious groups.</w:t>
      </w:r>
    </w:p>
    <w:p w:rsidR="00E74808" w:rsidRDefault="00E74808" w:rsidP="00E74808">
      <w:r w:rsidRPr="002A7687">
        <w:rPr>
          <w:rStyle w:val="StyleStyleBold12pt"/>
        </w:rPr>
        <w:t>Appleby 10</w:t>
      </w:r>
      <w:r>
        <w:t xml:space="preserve"> (R. Scott Appleby, Director,</w:t>
      </w:r>
      <w:r w:rsidRPr="002A7687">
        <w:t xml:space="preserve"> Joan B. Kroc Institute for International Peace Studies</w:t>
      </w:r>
      <w:r>
        <w:t xml:space="preserve"> </w:t>
      </w:r>
      <w:r w:rsidRPr="002A7687">
        <w:t xml:space="preserve">University of Notre Dame,  and Richard </w:t>
      </w:r>
      <w:proofErr w:type="spellStart"/>
      <w:r w:rsidRPr="002A7687">
        <w:t>Cizik</w:t>
      </w:r>
      <w:proofErr w:type="spellEnd"/>
      <w:r w:rsidRPr="002A7687">
        <w:t xml:space="preserve">, </w:t>
      </w:r>
      <w:proofErr w:type="spellStart"/>
      <w:r w:rsidRPr="002A7687">
        <w:t>cochairs</w:t>
      </w:r>
      <w:proofErr w:type="spellEnd"/>
      <w:r w:rsidRPr="002A7687">
        <w:t>, Engaging Religious Communities Abroad:</w:t>
      </w:r>
      <w:r>
        <w:t xml:space="preserve"> </w:t>
      </w:r>
      <w:r w:rsidRPr="002A7687">
        <w:t>A New Imperative for U.S. Foreign Policy, The Chicago Council on Global Affairs,</w:t>
      </w:r>
      <w:r>
        <w:t xml:space="preserve"> 2010, </w:t>
      </w:r>
      <w:r w:rsidRPr="002A7687">
        <w:t>http://www.thechicagocou</w:t>
      </w:r>
      <w:r>
        <w:t>ncil.org/UserFiles/File/Task%20Force%20Reports/2010%20Religion%20Task%20Force_Full%20Report.pdf)</w:t>
      </w:r>
    </w:p>
    <w:p w:rsidR="00E74808" w:rsidRPr="00A57D96" w:rsidRDefault="00E74808" w:rsidP="00E74808">
      <w:pPr>
        <w:pStyle w:val="cardtext"/>
        <w:rPr>
          <w:sz w:val="12"/>
        </w:rPr>
      </w:pPr>
      <w:proofErr w:type="gramStart"/>
      <w:r w:rsidRPr="00754B6B">
        <w:rPr>
          <w:rStyle w:val="StyleBoldUnderline"/>
          <w:highlight w:val="yellow"/>
        </w:rPr>
        <w:t xml:space="preserve">Legal uncertainty about the extent to </w:t>
      </w:r>
      <w:r>
        <w:rPr>
          <w:sz w:val="16"/>
        </w:rPr>
        <w:t>…</w:t>
      </w:r>
      <w:r w:rsidRPr="00754B6B">
        <w:rPr>
          <w:b/>
          <w:highlight w:val="yellow"/>
        </w:rPr>
        <w:t xml:space="preserve"> </w:t>
      </w:r>
      <w:r w:rsidRPr="009C2955">
        <w:rPr>
          <w:rStyle w:val="StyleBoldUnderline"/>
        </w:rPr>
        <w:t>regard to their religious affiliation or lack thereof.</w:t>
      </w:r>
      <w:proofErr w:type="gramEnd"/>
    </w:p>
    <w:p w:rsidR="00E74808" w:rsidRDefault="00E74808" w:rsidP="00E74808"/>
    <w:p w:rsidR="00E74808" w:rsidRDefault="00E74808" w:rsidP="00E74808">
      <w:pPr>
        <w:pStyle w:val="Heading3"/>
      </w:pPr>
      <w:proofErr w:type="gramStart"/>
      <w:r>
        <w:t xml:space="preserve">Spurs the promotion of religious freedom along with </w:t>
      </w:r>
      <w:r w:rsidRPr="00273BC9">
        <w:rPr>
          <w:u w:val="single"/>
        </w:rPr>
        <w:t>engagement with the Brotherhood</w:t>
      </w:r>
      <w:r>
        <w:t>.</w:t>
      </w:r>
      <w:proofErr w:type="gramEnd"/>
    </w:p>
    <w:p w:rsidR="00E74808" w:rsidRDefault="00E74808" w:rsidP="00E74808">
      <w:r w:rsidRPr="00E067B5">
        <w:rPr>
          <w:rStyle w:val="StyleStyleBold12pt"/>
        </w:rPr>
        <w:t>Farr 11</w:t>
      </w:r>
      <w:r>
        <w:t xml:space="preserve"> (Thomas F. Farr, visiting associate professor of religion and international affairs at Georgetown's School of Foreign Service, and senior fellow at the Berkley Center for Religion, Peace and World Affairs, where he directs the Religion and Foreign Policy program, 2/14/11, Where lies wisdom, where folly? The Immanent Frame, http://blogs.ssrc.org/tif/2011/02/14/where-lies-wisdom-where-folly/)</w:t>
      </w:r>
    </w:p>
    <w:p w:rsidR="00E74808" w:rsidRDefault="00E74808" w:rsidP="00E74808"/>
    <w:p w:rsidR="00E74808" w:rsidRPr="00A57D96" w:rsidRDefault="00E74808" w:rsidP="00E74808">
      <w:pPr>
        <w:rPr>
          <w:sz w:val="12"/>
        </w:rPr>
      </w:pPr>
      <w:r w:rsidRPr="00754B6B">
        <w:rPr>
          <w:rStyle w:val="StyleBoldUnderline"/>
          <w:highlight w:val="yellow"/>
        </w:rPr>
        <w:t>Nowhere is this issue</w:t>
      </w:r>
      <w:r w:rsidRPr="00A57D96">
        <w:rPr>
          <w:rStyle w:val="StyleBoldUnderline"/>
        </w:rPr>
        <w:t xml:space="preserve"> more sharply </w:t>
      </w:r>
      <w:r>
        <w:rPr>
          <w:sz w:val="16"/>
        </w:rPr>
        <w:t>…</w:t>
      </w:r>
      <w:r w:rsidRPr="00754B6B">
        <w:rPr>
          <w:b/>
          <w:highlight w:val="yellow"/>
        </w:rPr>
        <w:t xml:space="preserve"> </w:t>
      </w:r>
      <w:r w:rsidRPr="00A57D96">
        <w:rPr>
          <w:sz w:val="12"/>
        </w:rPr>
        <w:t>push anti-establishment norms, or, quite frankly, any other norms.</w:t>
      </w:r>
    </w:p>
    <w:p w:rsidR="00E74808" w:rsidRDefault="00E74808" w:rsidP="00E74808"/>
    <w:p w:rsidR="00E74808" w:rsidRDefault="00E74808" w:rsidP="00E74808">
      <w:pPr>
        <w:pStyle w:val="Heading3"/>
      </w:pPr>
      <w:r w:rsidRPr="00ED14BB">
        <w:t>That ends the perception of US is</w:t>
      </w:r>
      <w:r>
        <w:t>olation, which is the basis of B</w:t>
      </w:r>
      <w:r w:rsidRPr="00ED14BB">
        <w:t>rotherhood recruiting and radicalism.</w:t>
      </w:r>
      <w:r>
        <w:t xml:space="preserve"> [MSU </w:t>
      </w:r>
      <w:proofErr w:type="spellStart"/>
      <w:r>
        <w:t>aff</w:t>
      </w:r>
      <w:proofErr w:type="spellEnd"/>
      <w:r>
        <w:t xml:space="preserve"> card]</w:t>
      </w:r>
    </w:p>
    <w:p w:rsidR="00E74808" w:rsidRDefault="00E74808" w:rsidP="00E74808">
      <w:r>
        <w:tab/>
      </w:r>
    </w:p>
    <w:p w:rsidR="00E74808" w:rsidRDefault="00E74808" w:rsidP="00E74808"/>
    <w:p w:rsidR="00E74808" w:rsidRPr="006F549B" w:rsidRDefault="00E74808" w:rsidP="00E74808">
      <w:pPr>
        <w:pStyle w:val="Heading3"/>
        <w:rPr>
          <w:u w:val="single"/>
        </w:rPr>
      </w:pPr>
      <w:r w:rsidRPr="006F549B">
        <w:rPr>
          <w:u w:val="single"/>
        </w:rPr>
        <w:t>The NB</w:t>
      </w:r>
      <w:r>
        <w:rPr>
          <w:u w:val="single"/>
        </w:rPr>
        <w:t>:</w:t>
      </w:r>
    </w:p>
    <w:p w:rsidR="00E74808" w:rsidRDefault="00E74808" w:rsidP="00E74808">
      <w:pPr>
        <w:pStyle w:val="Heading3"/>
      </w:pPr>
      <w:r>
        <w:t xml:space="preserve">The Establishment Clause is being </w:t>
      </w:r>
      <w:r w:rsidRPr="001C2B5B">
        <w:rPr>
          <w:u w:val="single"/>
        </w:rPr>
        <w:t>eroded</w:t>
      </w:r>
      <w:r>
        <w:t xml:space="preserve"> – Courts are denying standing and deferring to political branches</w:t>
      </w:r>
    </w:p>
    <w:p w:rsidR="00E74808" w:rsidRPr="00B41984" w:rsidRDefault="00E74808" w:rsidP="00E74808">
      <w:r w:rsidRPr="00B41984">
        <w:rPr>
          <w:rStyle w:val="StyleStyleBold12pt"/>
        </w:rPr>
        <w:t>Green 11</w:t>
      </w:r>
      <w:r>
        <w:t xml:space="preserve"> (Steven K. Green, Fred H. Paulus Professor of Law and Director, Center for Religion, Law and Democracy, Willamette University, 2011, The Slow, Tragic Demise of Standing in Establishment Clause Challenges, http://www.acslaw.org/sites/default/files/Green_-_Establishment_Clause.pdf)</w:t>
      </w:r>
    </w:p>
    <w:p w:rsidR="00E74808" w:rsidRPr="00A57D96" w:rsidRDefault="00E74808" w:rsidP="00E74808">
      <w:pPr>
        <w:pStyle w:val="cardtext"/>
        <w:rPr>
          <w:sz w:val="12"/>
        </w:rPr>
      </w:pPr>
      <w:r w:rsidRPr="00A57D96">
        <w:rPr>
          <w:sz w:val="12"/>
        </w:rPr>
        <w:t xml:space="preserve">Possibly I overstate matters for effect, but </w:t>
      </w:r>
      <w:r w:rsidRPr="00754B6B">
        <w:rPr>
          <w:rStyle w:val="StyleBoldUnderline"/>
          <w:highlight w:val="yellow"/>
        </w:rPr>
        <w:t xml:space="preserve">recent holdings </w:t>
      </w:r>
      <w:r>
        <w:rPr>
          <w:sz w:val="16"/>
        </w:rPr>
        <w:t>…</w:t>
      </w:r>
      <w:r w:rsidRPr="00754B6B">
        <w:rPr>
          <w:b/>
          <w:highlight w:val="yellow"/>
        </w:rPr>
        <w:t xml:space="preserve"> </w:t>
      </w:r>
      <w:r w:rsidRPr="00A57D96">
        <w:rPr>
          <w:sz w:val="12"/>
        </w:rPr>
        <w:t>of majorities and officials” will be stood on its head.6</w:t>
      </w:r>
    </w:p>
    <w:p w:rsidR="00E74808" w:rsidRDefault="00E74808" w:rsidP="00E74808"/>
    <w:p w:rsidR="00E74808" w:rsidRDefault="00E74808" w:rsidP="00E74808">
      <w:pPr>
        <w:pStyle w:val="Heading3"/>
      </w:pPr>
      <w:r>
        <w:t xml:space="preserve">The counterplan grants standing and creates a clear test – this precedent is needed to provide </w:t>
      </w:r>
      <w:r w:rsidRPr="001C2B5B">
        <w:rPr>
          <w:u w:val="single"/>
        </w:rPr>
        <w:t>clear guidance</w:t>
      </w:r>
      <w:r>
        <w:t>.</w:t>
      </w:r>
    </w:p>
    <w:p w:rsidR="00E74808" w:rsidRDefault="00E74808" w:rsidP="00E74808">
      <w:r w:rsidRPr="001C2B5B">
        <w:rPr>
          <w:rStyle w:val="StyleStyleBold12pt"/>
        </w:rPr>
        <w:t>Larsen 6</w:t>
      </w:r>
      <w:r>
        <w:t xml:space="preserve"> (Brett B. Larsen, No Closer to Clarity: The Establishment Clause and the Supreme Stumble in Van </w:t>
      </w:r>
      <w:proofErr w:type="spellStart"/>
      <w:r>
        <w:t>Orden</w:t>
      </w:r>
      <w:proofErr w:type="spellEnd"/>
      <w:r>
        <w:t xml:space="preserve"> v. Perry, 90 </w:t>
      </w:r>
      <w:proofErr w:type="spellStart"/>
      <w:r>
        <w:t>Marq</w:t>
      </w:r>
      <w:proofErr w:type="spellEnd"/>
      <w:r>
        <w:t>. L. Rev. 155, 2006, http://scholarship.law.marquette.edu/mulr/vol90/iss1/8/)</w:t>
      </w:r>
    </w:p>
    <w:p w:rsidR="00E74808" w:rsidRPr="00A57D96" w:rsidRDefault="00E74808" w:rsidP="00E74808">
      <w:pPr>
        <w:pStyle w:val="cardtext"/>
        <w:rPr>
          <w:rStyle w:val="Emphasis"/>
        </w:rPr>
      </w:pPr>
      <w:r w:rsidRPr="00A57D96">
        <w:rPr>
          <w:sz w:val="12"/>
        </w:rPr>
        <w:t xml:space="preserve">C. A Missed Opportunity </w:t>
      </w:r>
      <w:r w:rsidRPr="00754B6B">
        <w:rPr>
          <w:rStyle w:val="StyleBoldUnderline"/>
          <w:highlight w:val="yellow"/>
        </w:rPr>
        <w:t xml:space="preserve">Van </w:t>
      </w:r>
      <w:proofErr w:type="spellStart"/>
      <w:r w:rsidRPr="00754B6B">
        <w:rPr>
          <w:rStyle w:val="StyleBoldUnderline"/>
          <w:highlight w:val="yellow"/>
        </w:rPr>
        <w:t>Orden</w:t>
      </w:r>
      <w:proofErr w:type="spellEnd"/>
      <w:r w:rsidRPr="00754B6B">
        <w:rPr>
          <w:rStyle w:val="StyleBoldUnderline"/>
          <w:highlight w:val="yellow"/>
        </w:rPr>
        <w:t xml:space="preserve"> should be </w:t>
      </w:r>
      <w:r>
        <w:rPr>
          <w:sz w:val="16"/>
        </w:rPr>
        <w:t>…</w:t>
      </w:r>
      <w:r w:rsidRPr="00754B6B">
        <w:rPr>
          <w:b/>
          <w:highlight w:val="yellow"/>
        </w:rPr>
        <w:t xml:space="preserve"> </w:t>
      </w:r>
      <w:r w:rsidRPr="00754B6B">
        <w:rPr>
          <w:rStyle w:val="Emphasis"/>
          <w:highlight w:val="yellow"/>
        </w:rPr>
        <w:t>"disarray at the nation's highest judicial level."</w:t>
      </w:r>
      <w:r w:rsidRPr="00A57D96">
        <w:rPr>
          <w:rStyle w:val="Emphasis"/>
        </w:rPr>
        <w:t>'4</w:t>
      </w:r>
    </w:p>
    <w:p w:rsidR="00E74808" w:rsidRDefault="00E74808" w:rsidP="00E74808">
      <w:pPr>
        <w:tabs>
          <w:tab w:val="left" w:pos="3450"/>
        </w:tabs>
      </w:pPr>
      <w:r>
        <w:tab/>
      </w:r>
    </w:p>
    <w:p w:rsidR="00E74808" w:rsidRPr="00101F1C" w:rsidRDefault="00E74808" w:rsidP="00E74808">
      <w:pPr>
        <w:pStyle w:val="Heading3"/>
      </w:pPr>
      <w:r>
        <w:t xml:space="preserve">Strong Establishment Clause is the strongest check against </w:t>
      </w:r>
      <w:r w:rsidRPr="002A1ED1">
        <w:rPr>
          <w:u w:val="single"/>
        </w:rPr>
        <w:t>civil war</w:t>
      </w:r>
      <w:r>
        <w:t>.</w:t>
      </w:r>
    </w:p>
    <w:p w:rsidR="00E74808" w:rsidRPr="00A57D96" w:rsidRDefault="00E74808" w:rsidP="00E74808">
      <w:r w:rsidRPr="001C2B5B">
        <w:rPr>
          <w:rStyle w:val="StyleStyleBold12pt"/>
        </w:rPr>
        <w:t>Wood 5</w:t>
      </w:r>
      <w:r>
        <w:t xml:space="preserve"> (</w:t>
      </w:r>
      <w:r w:rsidRPr="001C2B5B">
        <w:t>Wood, Federal Appellate Court Judge, 2</w:t>
      </w:r>
      <w:r>
        <w:t xml:space="preserve">005, 8 Green Bag 2d 177, </w:t>
      </w:r>
      <w:proofErr w:type="gramStart"/>
      <w:r>
        <w:t>Winter</w:t>
      </w:r>
      <w:proofErr w:type="gramEnd"/>
      <w:r>
        <w:t>)</w:t>
      </w:r>
    </w:p>
    <w:p w:rsidR="00E74808" w:rsidRPr="00A57D96" w:rsidRDefault="00E74808" w:rsidP="00E74808">
      <w:pPr>
        <w:pStyle w:val="cardtext"/>
        <w:rPr>
          <w:sz w:val="12"/>
        </w:rPr>
      </w:pPr>
      <w:r w:rsidRPr="00A57D96">
        <w:rPr>
          <w:sz w:val="12"/>
        </w:rPr>
        <w:t xml:space="preserve">Other decisions draw similarly fine lines. The older case of School </w:t>
      </w:r>
      <w:r>
        <w:rPr>
          <w:sz w:val="16"/>
        </w:rPr>
        <w:t>…</w:t>
      </w:r>
      <w:r w:rsidRPr="00754B6B">
        <w:rPr>
          <w:b/>
          <w:highlight w:val="yellow"/>
        </w:rPr>
        <w:t xml:space="preserve"> </w:t>
      </w:r>
      <w:r w:rsidRPr="00A57D96">
        <w:rPr>
          <w:sz w:val="12"/>
        </w:rPr>
        <w:t>an out-of-control institution biased at its core against religion.</w:t>
      </w:r>
    </w:p>
    <w:p w:rsidR="00E74808" w:rsidRPr="00A579C6" w:rsidRDefault="00E74808" w:rsidP="00E74808"/>
    <w:p w:rsidR="00E74808" w:rsidRDefault="00E74808" w:rsidP="00E74808">
      <w:pPr>
        <w:pStyle w:val="Heading2"/>
      </w:pPr>
      <w:r>
        <w:t xml:space="preserve">India/IRF CP </w:t>
      </w:r>
    </w:p>
    <w:p w:rsidR="00E74808" w:rsidRDefault="00E74808" w:rsidP="00E74808">
      <w:pPr>
        <w:pStyle w:val="Heading3"/>
      </w:pPr>
      <w:r>
        <w:lastRenderedPageBreak/>
        <w:t xml:space="preserve">The United States Executive branch should: </w:t>
      </w:r>
    </w:p>
    <w:p w:rsidR="00E74808" w:rsidRDefault="00E74808" w:rsidP="00E74808">
      <w:pPr>
        <w:pStyle w:val="Heading3"/>
      </w:pPr>
      <w:proofErr w:type="gramStart"/>
      <w:r>
        <w:t>--  Direct</w:t>
      </w:r>
      <w:proofErr w:type="gramEnd"/>
      <w:r>
        <w:t xml:space="preserve"> agencies with foreign policy capacity to name religious liberty liaisons to integrate the issue between agencies </w:t>
      </w:r>
    </w:p>
    <w:p w:rsidR="00E74808" w:rsidRDefault="00E74808" w:rsidP="00E74808">
      <w:pPr>
        <w:pStyle w:val="Heading3"/>
      </w:pPr>
      <w:proofErr w:type="gramStart"/>
      <w:r>
        <w:t>--  Establish</w:t>
      </w:r>
      <w:proofErr w:type="gramEnd"/>
      <w:r>
        <w:t xml:space="preserve"> a Special Adviser to the President on International Religious Freedom within the National Security Council</w:t>
      </w:r>
    </w:p>
    <w:p w:rsidR="00E74808" w:rsidRDefault="00E74808" w:rsidP="00E74808">
      <w:pPr>
        <w:pStyle w:val="Heading3"/>
      </w:pPr>
      <w:proofErr w:type="gramStart"/>
      <w:r>
        <w:t>--  Invite</w:t>
      </w:r>
      <w:proofErr w:type="gramEnd"/>
      <w:r>
        <w:t xml:space="preserve"> the Ambassador at Large for International Religious Freedom to regularly brief Cabinet meetings on IRF issues including how other Cabinet departments can advance IRF issues</w:t>
      </w:r>
    </w:p>
    <w:p w:rsidR="00E74808" w:rsidRDefault="00E74808" w:rsidP="00E74808">
      <w:pPr>
        <w:pStyle w:val="Heading3"/>
      </w:pPr>
      <w:proofErr w:type="gramStart"/>
      <w:r>
        <w:t>--  Place</w:t>
      </w:r>
      <w:proofErr w:type="gramEnd"/>
      <w:r>
        <w:t xml:space="preserve"> the Office of International Religious Freedom within the Office of the Secretary of State </w:t>
      </w:r>
    </w:p>
    <w:p w:rsidR="00E74808" w:rsidRDefault="00E74808" w:rsidP="00E74808">
      <w:pPr>
        <w:pStyle w:val="Heading3"/>
      </w:pPr>
      <w:proofErr w:type="gramStart"/>
      <w:r>
        <w:t>--  Mandate</w:t>
      </w:r>
      <w:proofErr w:type="gramEnd"/>
      <w:r>
        <w:t xml:space="preserve"> training in religious freedom issues for all United States diplomats</w:t>
      </w:r>
    </w:p>
    <w:p w:rsidR="00E74808" w:rsidRDefault="00E74808" w:rsidP="00E74808">
      <w:pPr>
        <w:pStyle w:val="Heading3"/>
        <w:jc w:val="both"/>
      </w:pPr>
      <w:r>
        <w:t>The United States Federal Government should propose to the Republic of India that the Republic of India assume a leading role in the provision of a substantial expansion of political party training in Egypt.</w:t>
      </w:r>
    </w:p>
    <w:p w:rsidR="00E74808" w:rsidRDefault="00E74808" w:rsidP="00E74808">
      <w:pPr>
        <w:pStyle w:val="Heading3"/>
      </w:pPr>
      <w:r>
        <w:t xml:space="preserve">for Egypt in a manner consistent with India’s overall foreign policy goals, and should offer to conduct dialogue with the Republic of India regarding experience and best practices in the provision of political party training. The President should not issue a directive requiring a substantial expansion of political party training in Egypt. </w:t>
      </w:r>
    </w:p>
    <w:p w:rsidR="00E74808" w:rsidRDefault="00E74808" w:rsidP="00E74808"/>
    <w:p w:rsidR="00E74808" w:rsidRDefault="00E74808" w:rsidP="00E74808">
      <w:pPr>
        <w:pStyle w:val="Heading3"/>
      </w:pPr>
      <w:r>
        <w:t xml:space="preserve">Solves the IRF advantage---recommendation of their author </w:t>
      </w:r>
    </w:p>
    <w:p w:rsidR="00E74808" w:rsidRDefault="00E74808" w:rsidP="00E74808">
      <w:r>
        <w:t xml:space="preserve">Joseph K. </w:t>
      </w:r>
      <w:proofErr w:type="spellStart"/>
      <w:r w:rsidRPr="00D33EF7">
        <w:rPr>
          <w:rStyle w:val="StyleStyleBold12pt"/>
        </w:rPr>
        <w:t>Grieboski</w:t>
      </w:r>
      <w:proofErr w:type="spellEnd"/>
      <w:r w:rsidRPr="00D33EF7">
        <w:rPr>
          <w:rStyle w:val="StyleStyleBold12pt"/>
        </w:rPr>
        <w:t xml:space="preserve"> 11</w:t>
      </w:r>
      <w:r>
        <w:t xml:space="preserve">, Founder and Chairman, The Institute on Religion and Public Policy, June 3, 2011, “U.S. Foreign Policy and International Religious Expression,” CQ Congressional Testimony, p. lexis </w:t>
      </w:r>
    </w:p>
    <w:p w:rsidR="00E74808" w:rsidRDefault="00E74808" w:rsidP="00E74808">
      <w:pPr>
        <w:pStyle w:val="cardtext"/>
      </w:pPr>
      <w:r>
        <w:t xml:space="preserve">IRFA was passed in 1998 because of a </w:t>
      </w:r>
      <w:r>
        <w:rPr>
          <w:sz w:val="16"/>
        </w:rPr>
        <w:t>…</w:t>
      </w:r>
      <w:r w:rsidRPr="00754B6B">
        <w:rPr>
          <w:b/>
          <w:highlight w:val="yellow"/>
        </w:rPr>
        <w:t xml:space="preserve"> </w:t>
      </w:r>
      <w:r>
        <w:t>impactful an issue to be handled halfheartedly.</w:t>
      </w:r>
    </w:p>
    <w:p w:rsidR="00E74808" w:rsidRDefault="00E74808" w:rsidP="00E74808">
      <w:pPr>
        <w:pStyle w:val="cardtext"/>
      </w:pPr>
    </w:p>
    <w:p w:rsidR="00E74808" w:rsidRDefault="00E74808" w:rsidP="00E74808">
      <w:pPr>
        <w:pStyle w:val="Heading3"/>
      </w:pPr>
      <w:r>
        <w:t xml:space="preserve">Secretary of State </w:t>
      </w:r>
      <w:proofErr w:type="gramStart"/>
      <w:r>
        <w:t>plank</w:t>
      </w:r>
      <w:proofErr w:type="gramEnd"/>
      <w:r>
        <w:t xml:space="preserve"> solves </w:t>
      </w:r>
    </w:p>
    <w:p w:rsidR="00E74808" w:rsidRDefault="00E74808" w:rsidP="00E74808">
      <w:r>
        <w:t xml:space="preserve">Joseph K. </w:t>
      </w:r>
      <w:proofErr w:type="spellStart"/>
      <w:r w:rsidRPr="00D33EF7">
        <w:rPr>
          <w:rStyle w:val="StyleStyleBold12pt"/>
        </w:rPr>
        <w:t>Grieboski</w:t>
      </w:r>
      <w:proofErr w:type="spellEnd"/>
      <w:r w:rsidRPr="00D33EF7">
        <w:rPr>
          <w:rStyle w:val="StyleStyleBold12pt"/>
        </w:rPr>
        <w:t xml:space="preserve"> 11</w:t>
      </w:r>
      <w:r>
        <w:t xml:space="preserve">, Founder and Chairman, The Institute on Religion and Public Policy, June 3, 2011, “U.S. Foreign Policy and International Religious Expression,” CQ Congressional Testimony, p. lexis </w:t>
      </w:r>
    </w:p>
    <w:p w:rsidR="00E74808" w:rsidRDefault="00E74808" w:rsidP="00E74808">
      <w:pPr>
        <w:pStyle w:val="cardtext"/>
      </w:pPr>
      <w:proofErr w:type="gramStart"/>
      <w:r>
        <w:t xml:space="preserve">Finally, the </w:t>
      </w:r>
      <w:r w:rsidRPr="00754B6B">
        <w:rPr>
          <w:rStyle w:val="StyleBoldUnderline"/>
          <w:highlight w:val="yellow"/>
        </w:rPr>
        <w:t>status of the Office of</w:t>
      </w:r>
      <w:r>
        <w:t xml:space="preserve"> </w:t>
      </w:r>
      <w:r>
        <w:rPr>
          <w:sz w:val="16"/>
        </w:rPr>
        <w:t>…</w:t>
      </w:r>
      <w:r w:rsidRPr="00754B6B">
        <w:rPr>
          <w:b/>
          <w:highlight w:val="yellow"/>
        </w:rPr>
        <w:t xml:space="preserve"> </w:t>
      </w:r>
      <w:r>
        <w:t>in hand."</w:t>
      </w:r>
      <w:proofErr w:type="gramEnd"/>
      <w:r>
        <w:t xml:space="preserve"> Congress should guarantee that.</w:t>
      </w:r>
    </w:p>
    <w:p w:rsidR="00E74808" w:rsidRDefault="00E74808" w:rsidP="00E74808"/>
    <w:p w:rsidR="00E74808" w:rsidRDefault="00E74808" w:rsidP="00E74808"/>
    <w:p w:rsidR="00E74808" w:rsidRPr="009A2D30" w:rsidRDefault="00E74808" w:rsidP="00E74808">
      <w:pPr>
        <w:pStyle w:val="Heading3"/>
      </w:pPr>
      <w:r>
        <w:t xml:space="preserve">Offering India the lead role solves the case, avoids baggage of U.S. involvement, and it’s key to Indian soft power </w:t>
      </w:r>
    </w:p>
    <w:p w:rsidR="00E74808" w:rsidRDefault="00E74808" w:rsidP="00E74808">
      <w:r>
        <w:t xml:space="preserve">Richard </w:t>
      </w:r>
      <w:r w:rsidRPr="009A2D30">
        <w:rPr>
          <w:rStyle w:val="StyleStyleBold12pt"/>
        </w:rPr>
        <w:t>Fontaine 11</w:t>
      </w:r>
      <w:r>
        <w:t>, Senior Fellow at the Center for a New American Security, and Daniel Twining, Senior Fellow for Asia at the German Marshall Fund of the United States, August 24, 2011, “</w:t>
      </w:r>
      <w:r w:rsidRPr="00CA20B4">
        <w:t>India’s Arab Spring Opportunity</w:t>
      </w:r>
      <w:r>
        <w:t>,” online: http://the-diplomat.com/2011/08/24/india%E2%80%99s-arab-spring-opportunity/</w:t>
      </w:r>
    </w:p>
    <w:p w:rsidR="00E74808" w:rsidRDefault="00E74808" w:rsidP="00E74808">
      <w:pPr>
        <w:pStyle w:val="cardtext"/>
        <w:rPr>
          <w:sz w:val="16"/>
        </w:rPr>
      </w:pPr>
      <w:r w:rsidRPr="009A2D30">
        <w:rPr>
          <w:sz w:val="16"/>
        </w:rPr>
        <w:t xml:space="preserve">The fall of Libya’s Muammar Gaddafi </w:t>
      </w:r>
      <w:proofErr w:type="gramStart"/>
      <w:r>
        <w:rPr>
          <w:sz w:val="16"/>
        </w:rPr>
        <w:t>…</w:t>
      </w:r>
      <w:r w:rsidRPr="00754B6B">
        <w:rPr>
          <w:b/>
          <w:highlight w:val="yellow"/>
        </w:rPr>
        <w:t xml:space="preserve"> </w:t>
      </w:r>
      <w:r w:rsidRPr="009A2D30">
        <w:rPr>
          <w:sz w:val="16"/>
        </w:rPr>
        <w:t>pursuing</w:t>
      </w:r>
      <w:proofErr w:type="gramEnd"/>
      <w:r w:rsidRPr="009A2D30">
        <w:rPr>
          <w:sz w:val="16"/>
        </w:rPr>
        <w:t xml:space="preserve"> at once our interests and our values.</w:t>
      </w:r>
    </w:p>
    <w:p w:rsidR="00E74808" w:rsidRPr="009A2D30" w:rsidRDefault="00E74808" w:rsidP="00E74808">
      <w:pPr>
        <w:pStyle w:val="cardtext"/>
        <w:ind w:left="0"/>
        <w:rPr>
          <w:sz w:val="16"/>
        </w:rPr>
      </w:pPr>
    </w:p>
    <w:p w:rsidR="00E74808" w:rsidRDefault="00E74808" w:rsidP="00E74808">
      <w:pPr>
        <w:pStyle w:val="Heading3"/>
      </w:pPr>
      <w:r>
        <w:t xml:space="preserve">Indian </w:t>
      </w:r>
      <w:r w:rsidRPr="00692E60">
        <w:rPr>
          <w:u w:val="single"/>
        </w:rPr>
        <w:t>soft power</w:t>
      </w:r>
      <w:r>
        <w:t xml:space="preserve">’s key to effective </w:t>
      </w:r>
      <w:r w:rsidRPr="00692E60">
        <w:rPr>
          <w:u w:val="single"/>
        </w:rPr>
        <w:t>global democracy promotion</w:t>
      </w:r>
      <w:r>
        <w:t xml:space="preserve"> – solves </w:t>
      </w:r>
      <w:r w:rsidRPr="00692E60">
        <w:rPr>
          <w:u w:val="single"/>
        </w:rPr>
        <w:t>war</w:t>
      </w:r>
      <w:r>
        <w:t xml:space="preserve">, </w:t>
      </w:r>
      <w:r w:rsidRPr="00692E60">
        <w:rPr>
          <w:u w:val="single"/>
        </w:rPr>
        <w:t>terrorism</w:t>
      </w:r>
      <w:r>
        <w:t xml:space="preserve">, </w:t>
      </w:r>
      <w:r w:rsidRPr="00692E60">
        <w:rPr>
          <w:u w:val="single"/>
        </w:rPr>
        <w:t>environmental collapse</w:t>
      </w:r>
      <w:r>
        <w:t xml:space="preserve">, and </w:t>
      </w:r>
      <w:r w:rsidRPr="00692E60">
        <w:rPr>
          <w:u w:val="single"/>
        </w:rPr>
        <w:t>disease</w:t>
      </w:r>
      <w:r>
        <w:t>.</w:t>
      </w:r>
    </w:p>
    <w:p w:rsidR="00E74808" w:rsidRDefault="00E74808" w:rsidP="00E74808">
      <w:r w:rsidRPr="004B5B00">
        <w:rPr>
          <w:rStyle w:val="StyleStyleBold12pt"/>
        </w:rPr>
        <w:t>Diamond 7</w:t>
      </w:r>
      <w:r>
        <w:t xml:space="preserve"> (Larry Diamond, senior fellow at the Hoover Institution, Stanford University, Times of India, "India, Take the Lead," 12-13-2007, http://timesofindia.indiatimes.com/Opinion/Editorial/LEADER_ARTICLE_India_Take_The_Lead/articleshow/2617945.cm)</w:t>
      </w:r>
    </w:p>
    <w:p w:rsidR="00E74808" w:rsidRPr="00322AA9" w:rsidRDefault="00E74808" w:rsidP="00E74808">
      <w:pPr>
        <w:pStyle w:val="cardtext"/>
        <w:rPr>
          <w:sz w:val="16"/>
        </w:rPr>
      </w:pPr>
      <w:proofErr w:type="gramStart"/>
      <w:r w:rsidRPr="00322AA9">
        <w:rPr>
          <w:sz w:val="16"/>
        </w:rPr>
        <w:t xml:space="preserve">Whether it wants to be so or not, whether it is ready </w:t>
      </w:r>
      <w:r>
        <w:rPr>
          <w:sz w:val="16"/>
        </w:rPr>
        <w:t>…</w:t>
      </w:r>
      <w:r w:rsidRPr="00754B6B">
        <w:rPr>
          <w:b/>
          <w:highlight w:val="yellow"/>
        </w:rPr>
        <w:t xml:space="preserve"> </w:t>
      </w:r>
      <w:r w:rsidRPr="00322AA9">
        <w:rPr>
          <w:sz w:val="16"/>
        </w:rPr>
        <w:t>agenda-setting dialogues, such as the G8.</w:t>
      </w:r>
      <w:proofErr w:type="gramEnd"/>
    </w:p>
    <w:p w:rsidR="00E74808" w:rsidRDefault="00E74808" w:rsidP="00E74808"/>
    <w:p w:rsidR="00E74808" w:rsidRPr="00F07055" w:rsidRDefault="00E74808" w:rsidP="00E74808"/>
    <w:p w:rsidR="00E74808" w:rsidRPr="00153EDD" w:rsidRDefault="00E74808" w:rsidP="00E74808"/>
    <w:p w:rsidR="00E74808" w:rsidRPr="006F549B" w:rsidRDefault="00E74808" w:rsidP="00E74808"/>
    <w:p w:rsidR="00E74808" w:rsidRPr="006F549B" w:rsidRDefault="00E74808" w:rsidP="00E74808"/>
    <w:p w:rsidR="00E74808" w:rsidRDefault="00E74808" w:rsidP="00E74808">
      <w:pPr>
        <w:pStyle w:val="Heading1"/>
      </w:pPr>
      <w:r>
        <w:t xml:space="preserve">MB </w:t>
      </w:r>
      <w:proofErr w:type="spellStart"/>
      <w:r>
        <w:t>Adv</w:t>
      </w:r>
      <w:proofErr w:type="spellEnd"/>
    </w:p>
    <w:p w:rsidR="00E74808" w:rsidRDefault="00E74808" w:rsidP="00E74808">
      <w:pPr>
        <w:pStyle w:val="Heading3"/>
      </w:pPr>
      <w:r>
        <w:t xml:space="preserve">MB control of Parliament’s inevitable and there’s no impact---several factors guarantee moderation </w:t>
      </w:r>
    </w:p>
    <w:p w:rsidR="00E74808" w:rsidRDefault="00E74808" w:rsidP="00E74808">
      <w:r w:rsidRPr="00EB0BE2">
        <w:rPr>
          <w:rStyle w:val="StyleStyleBold12pt"/>
        </w:rPr>
        <w:t>IPS 1-2</w:t>
      </w:r>
      <w:r>
        <w:t xml:space="preserve"> – Inter Press Service, January 2, 2012, “Islamist Parliament Inevitable ‘But Not Worrying’,” online: http://www.ipsnews.net/news.asp?idnews=106352</w:t>
      </w:r>
    </w:p>
    <w:p w:rsidR="00E74808" w:rsidRDefault="00E74808" w:rsidP="00E74808">
      <w:pPr>
        <w:pStyle w:val="cardtext"/>
      </w:pPr>
      <w:r w:rsidRPr="00754B6B">
        <w:rPr>
          <w:highlight w:val="yellow"/>
        </w:rPr>
        <w:t xml:space="preserve">Following </w:t>
      </w:r>
      <w:r w:rsidRPr="00754B6B">
        <w:rPr>
          <w:rStyle w:val="Emphasis"/>
          <w:highlight w:val="yellow"/>
        </w:rPr>
        <w:t>another</w:t>
      </w:r>
      <w:r w:rsidRPr="00EB0BE2">
        <w:rPr>
          <w:rStyle w:val="Emphasis"/>
        </w:rPr>
        <w:t xml:space="preserve"> Islamist </w:t>
      </w:r>
      <w:r w:rsidRPr="00754B6B">
        <w:rPr>
          <w:rStyle w:val="Emphasis"/>
          <w:highlight w:val="yellow"/>
        </w:rPr>
        <w:t>landslide</w:t>
      </w:r>
      <w:r>
        <w:t xml:space="preserve"> </w:t>
      </w:r>
      <w:r w:rsidRPr="00EB0BE2">
        <w:t xml:space="preserve">in the </w:t>
      </w:r>
      <w:proofErr w:type="gramStart"/>
      <w:r>
        <w:rPr>
          <w:sz w:val="16"/>
        </w:rPr>
        <w:t>…</w:t>
      </w:r>
      <w:r w:rsidRPr="00754B6B">
        <w:rPr>
          <w:b/>
          <w:highlight w:val="yellow"/>
        </w:rPr>
        <w:t xml:space="preserve"> </w:t>
      </w:r>
      <w:r>
        <w:t xml:space="preserve"> that</w:t>
      </w:r>
      <w:proofErr w:type="gramEnd"/>
      <w:r>
        <w:t xml:space="preserve"> remains in place until today. </w:t>
      </w:r>
    </w:p>
    <w:p w:rsidR="00E74808" w:rsidRPr="007309FA" w:rsidRDefault="00E74808" w:rsidP="00E74808"/>
    <w:p w:rsidR="00E74808" w:rsidRDefault="00E74808" w:rsidP="00E74808">
      <w:pPr>
        <w:pStyle w:val="Heading3"/>
      </w:pPr>
      <w:r>
        <w:lastRenderedPageBreak/>
        <w:t xml:space="preserve">Structural factors guarantee MB moderation </w:t>
      </w:r>
    </w:p>
    <w:p w:rsidR="00E74808" w:rsidRDefault="00E74808" w:rsidP="00E74808">
      <w:r>
        <w:t xml:space="preserve">Samuel </w:t>
      </w:r>
      <w:proofErr w:type="spellStart"/>
      <w:r w:rsidRPr="00D35FB6">
        <w:rPr>
          <w:rStyle w:val="StyleStyleBold12pt"/>
        </w:rPr>
        <w:t>Tadros</w:t>
      </w:r>
      <w:proofErr w:type="spellEnd"/>
      <w:r w:rsidRPr="00D35FB6">
        <w:rPr>
          <w:rStyle w:val="StyleStyleBold12pt"/>
        </w:rPr>
        <w:t xml:space="preserve"> 10-18</w:t>
      </w:r>
      <w:r>
        <w:t xml:space="preserve">, Research Fellow at the Hudson Institute, October 18, 2011, “Egypt's Muslim Brotherhood </w:t>
      </w:r>
      <w:proofErr w:type="gramStart"/>
      <w:r>
        <w:t>After</w:t>
      </w:r>
      <w:proofErr w:type="gramEnd"/>
      <w:r>
        <w:t xml:space="preserve"> the Revolution,” online: http://www.currenttrends.org/research/detail/egypts-muslim-brotherhood-after-the-revolution</w:t>
      </w:r>
    </w:p>
    <w:p w:rsidR="00E74808" w:rsidRDefault="00E74808" w:rsidP="00E74808">
      <w:pPr>
        <w:pStyle w:val="cardtext"/>
      </w:pPr>
      <w:r w:rsidRPr="000B76ED">
        <w:rPr>
          <w:rStyle w:val="StyleBoldUnderline"/>
        </w:rPr>
        <w:t xml:space="preserve">For </w:t>
      </w:r>
      <w:r w:rsidRPr="00754B6B">
        <w:rPr>
          <w:rStyle w:val="StyleBoldUnderline"/>
          <w:highlight w:val="yellow"/>
        </w:rPr>
        <w:t>the Brotherhood</w:t>
      </w:r>
      <w:r w:rsidRPr="000B76ED">
        <w:rPr>
          <w:rStyle w:val="StyleBoldUnderline"/>
        </w:rPr>
        <w:t xml:space="preserve">, </w:t>
      </w:r>
      <w:r w:rsidRPr="00754B6B">
        <w:rPr>
          <w:rStyle w:val="StyleBoldUnderline"/>
          <w:highlight w:val="yellow"/>
        </w:rPr>
        <w:t>politics</w:t>
      </w:r>
      <w:r w:rsidRPr="00754B6B">
        <w:rPr>
          <w:highlight w:val="yellow"/>
        </w:rPr>
        <w:t xml:space="preserve"> </w:t>
      </w:r>
      <w:r>
        <w:t xml:space="preserve">in Egypt </w:t>
      </w:r>
      <w:r w:rsidRPr="00754B6B">
        <w:rPr>
          <w:rStyle w:val="StyleBoldUnderline"/>
          <w:highlight w:val="yellow"/>
        </w:rPr>
        <w:t xml:space="preserve">is a </w:t>
      </w:r>
      <w:r>
        <w:rPr>
          <w:sz w:val="16"/>
        </w:rPr>
        <w:t>…</w:t>
      </w:r>
      <w:r w:rsidRPr="00754B6B">
        <w:rPr>
          <w:b/>
          <w:highlight w:val="yellow"/>
        </w:rPr>
        <w:t xml:space="preserve"> </w:t>
      </w:r>
      <w:r w:rsidRPr="00754B6B">
        <w:rPr>
          <w:rStyle w:val="StyleBoldUnderline"/>
          <w:highlight w:val="yellow"/>
        </w:rPr>
        <w:t>it and</w:t>
      </w:r>
      <w:r w:rsidRPr="00754B6B">
        <w:rPr>
          <w:highlight w:val="yellow"/>
        </w:rPr>
        <w:t xml:space="preserve"> </w:t>
      </w:r>
      <w:r>
        <w:t xml:space="preserve">some of the </w:t>
      </w:r>
      <w:r w:rsidRPr="00754B6B">
        <w:rPr>
          <w:rStyle w:val="Emphasis"/>
          <w:highlight w:val="yellow"/>
        </w:rPr>
        <w:t>non-Islamist</w:t>
      </w:r>
      <w:r w:rsidRPr="00754B6B">
        <w:rPr>
          <w:highlight w:val="yellow"/>
        </w:rPr>
        <w:t xml:space="preserve"> </w:t>
      </w:r>
      <w:r w:rsidRPr="00754B6B">
        <w:rPr>
          <w:rStyle w:val="StyleBoldUnderline"/>
          <w:highlight w:val="yellow"/>
        </w:rPr>
        <w:t>parties</w:t>
      </w:r>
      <w:r>
        <w:t>.</w:t>
      </w:r>
    </w:p>
    <w:p w:rsidR="00E74808" w:rsidRDefault="00E74808" w:rsidP="00E74808"/>
    <w:p w:rsidR="00E74808" w:rsidRPr="008E31AC" w:rsidRDefault="00E74808" w:rsidP="00E74808"/>
    <w:p w:rsidR="00E74808" w:rsidRPr="00A01CCA" w:rsidRDefault="00E74808" w:rsidP="00E74808">
      <w:pPr>
        <w:pStyle w:val="Heading3"/>
      </w:pPr>
      <w:r>
        <w:t xml:space="preserve">The MB will torpedo any further engagement with the U.S. </w:t>
      </w:r>
    </w:p>
    <w:p w:rsidR="00E74808" w:rsidRDefault="00E74808" w:rsidP="00E74808">
      <w:r>
        <w:t xml:space="preserve">Harold </w:t>
      </w:r>
      <w:proofErr w:type="spellStart"/>
      <w:r w:rsidRPr="00F539B3">
        <w:rPr>
          <w:rStyle w:val="StyleStyleBold12pt"/>
        </w:rPr>
        <w:t>Brackman</w:t>
      </w:r>
      <w:proofErr w:type="spellEnd"/>
      <w:r w:rsidRPr="00F539B3">
        <w:rPr>
          <w:rStyle w:val="StyleStyleBold12pt"/>
        </w:rPr>
        <w:t xml:space="preserve"> </w:t>
      </w:r>
      <w:r>
        <w:rPr>
          <w:rStyle w:val="StyleStyleBold12pt"/>
        </w:rPr>
        <w:t xml:space="preserve">December </w:t>
      </w:r>
      <w:r w:rsidRPr="00F539B3">
        <w:rPr>
          <w:rStyle w:val="StyleStyleBold12pt"/>
        </w:rPr>
        <w:t>11</w:t>
      </w:r>
      <w:r>
        <w:t>, consultant on intergroup relations for the Simon Wiesenthal Center's Museum of Tolerance, December 2011, “STORM WARNINGS: THE MUSLIM BROTHERHOOD AND EGYPT’S FUTURE,” online: http://www.wiesenthal.com/atf/cf/%7B54d385e6-f1b9-4e9f-8e94-890c3e6dd277%7D/STORM_WARNINGS_MUSLIM-BROTHERHOOD_REPORT_12-2011.PDF</w:t>
      </w:r>
    </w:p>
    <w:p w:rsidR="00E74808" w:rsidRDefault="00E74808" w:rsidP="00E74808">
      <w:pPr>
        <w:pStyle w:val="cardtext"/>
      </w:pPr>
      <w:proofErr w:type="gramStart"/>
      <w:r>
        <w:t xml:space="preserve">The question, who are our allies, who </w:t>
      </w:r>
      <w:r>
        <w:rPr>
          <w:sz w:val="16"/>
        </w:rPr>
        <w:t>…</w:t>
      </w:r>
      <w:r w:rsidRPr="00754B6B">
        <w:rPr>
          <w:b/>
          <w:highlight w:val="yellow"/>
        </w:rPr>
        <w:t xml:space="preserve"> </w:t>
      </w:r>
      <w:r>
        <w:t>toward taking over power.”</w:t>
      </w:r>
      <w:proofErr w:type="gramEnd"/>
      <w:r>
        <w:t xml:space="preserve"> 18</w:t>
      </w:r>
    </w:p>
    <w:p w:rsidR="00E74808" w:rsidRDefault="00E74808" w:rsidP="00E74808">
      <w:pPr>
        <w:pStyle w:val="Heading3"/>
      </w:pPr>
      <w:r>
        <w:t xml:space="preserve">U.S. engagement with the MB’s already perceived throughout the region </w:t>
      </w:r>
    </w:p>
    <w:p w:rsidR="00E74808" w:rsidRDefault="00E74808" w:rsidP="00E74808">
      <w:r>
        <w:t xml:space="preserve">Harold </w:t>
      </w:r>
      <w:proofErr w:type="spellStart"/>
      <w:r w:rsidRPr="00F539B3">
        <w:rPr>
          <w:rStyle w:val="StyleStyleBold12pt"/>
        </w:rPr>
        <w:t>Brackman</w:t>
      </w:r>
      <w:proofErr w:type="spellEnd"/>
      <w:r w:rsidRPr="00F539B3">
        <w:rPr>
          <w:rStyle w:val="StyleStyleBold12pt"/>
        </w:rPr>
        <w:t xml:space="preserve"> </w:t>
      </w:r>
      <w:r>
        <w:rPr>
          <w:rStyle w:val="StyleStyleBold12pt"/>
        </w:rPr>
        <w:t xml:space="preserve">December </w:t>
      </w:r>
      <w:r w:rsidRPr="00F539B3">
        <w:rPr>
          <w:rStyle w:val="StyleStyleBold12pt"/>
        </w:rPr>
        <w:t>11</w:t>
      </w:r>
      <w:r>
        <w:t>, consultant on intergroup relations for the Simon Wiesenthal Center's Museum of Tolerance, December 2011, “STORM WARNINGS: THE MUSLIM BROTHERHOOD AND EGYPT’S FUTURE,” online: http://www.wiesenthal.com/atf/cf/%7B54d385e6-f1b9-4e9f-8e94-890c3e6dd277%7D/STORM_WARNINGS_MUSLIM-BROTHERHOOD_REPORT_12-2011.PDF</w:t>
      </w:r>
    </w:p>
    <w:p w:rsidR="00E74808" w:rsidRDefault="00E74808" w:rsidP="00E74808">
      <w:pPr>
        <w:pStyle w:val="cardtext"/>
      </w:pPr>
      <w:proofErr w:type="gramStart"/>
      <w:r>
        <w:t xml:space="preserve">William </w:t>
      </w:r>
      <w:r w:rsidRPr="00754B6B">
        <w:rPr>
          <w:highlight w:val="yellow"/>
        </w:rPr>
        <w:t>Taylor</w:t>
      </w:r>
      <w:r>
        <w:t xml:space="preserve">, the </w:t>
      </w:r>
      <w:r w:rsidRPr="007E10E9">
        <w:t>State</w:t>
      </w:r>
      <w:r>
        <w:t xml:space="preserve"> Department</w:t>
      </w:r>
      <w:r w:rsidRPr="007E10E9">
        <w:t xml:space="preserve">’s </w:t>
      </w:r>
      <w:r>
        <w:rPr>
          <w:sz w:val="16"/>
        </w:rPr>
        <w:t>…</w:t>
      </w:r>
      <w:r w:rsidRPr="00754B6B">
        <w:rPr>
          <w:b/>
          <w:highlight w:val="yellow"/>
        </w:rPr>
        <w:t xml:space="preserve"> </w:t>
      </w:r>
      <w:r>
        <w:t>by policymakers in Washington.</w:t>
      </w:r>
      <w:proofErr w:type="gramEnd"/>
      <w:r>
        <w:t xml:space="preserve"> </w:t>
      </w:r>
    </w:p>
    <w:p w:rsidR="00E74808" w:rsidRDefault="00E74808" w:rsidP="00E74808">
      <w:pPr>
        <w:pStyle w:val="cardtext"/>
      </w:pPr>
    </w:p>
    <w:p w:rsidR="00E74808" w:rsidRDefault="00E74808" w:rsidP="00E74808">
      <w:pPr>
        <w:pStyle w:val="Heading3"/>
      </w:pPr>
      <w:r>
        <w:t>The military will hamstring the MB’s parliamentary agenda</w:t>
      </w:r>
    </w:p>
    <w:p w:rsidR="00E74808" w:rsidRDefault="00E74808" w:rsidP="00E74808">
      <w:r>
        <w:t xml:space="preserve">Steven A. </w:t>
      </w:r>
      <w:r w:rsidRPr="00F24390">
        <w:rPr>
          <w:rStyle w:val="StyleStyleBold12pt"/>
        </w:rPr>
        <w:t>Cook 12-19</w:t>
      </w:r>
      <w:r>
        <w:t xml:space="preserve">, the </w:t>
      </w:r>
      <w:proofErr w:type="spellStart"/>
      <w:r>
        <w:t>Hasib</w:t>
      </w:r>
      <w:proofErr w:type="spellEnd"/>
      <w:r>
        <w:t xml:space="preserve"> J. </w:t>
      </w:r>
      <w:proofErr w:type="spellStart"/>
      <w:r>
        <w:t>Sabbagh</w:t>
      </w:r>
      <w:proofErr w:type="spellEnd"/>
      <w:r>
        <w:t xml:space="preserve"> senior fellow for Middle Eastern studies at the Council on Foreign Relations, December 19, 2011, “The Frankenstein of </w:t>
      </w:r>
      <w:proofErr w:type="spellStart"/>
      <w:r>
        <w:t>Tahrir</w:t>
      </w:r>
      <w:proofErr w:type="spellEnd"/>
      <w:r>
        <w:t xml:space="preserve"> Square,” online: http://www.foreignpolicy.com/articles/2011/12/19/the_frankenstein_of_tahrir_square?page=full</w:t>
      </w:r>
    </w:p>
    <w:p w:rsidR="00E74808" w:rsidRDefault="00E74808" w:rsidP="00E74808">
      <w:pPr>
        <w:pStyle w:val="cardtext"/>
      </w:pPr>
      <w:proofErr w:type="gramStart"/>
      <w:r w:rsidRPr="00EC09A6">
        <w:t>The</w:t>
      </w:r>
      <w:r>
        <w:t xml:space="preserve"> three-round </w:t>
      </w:r>
      <w:r w:rsidRPr="00EC09A6">
        <w:t>parliamentary elections</w:t>
      </w:r>
      <w:r>
        <w:t xml:space="preserve"> -- a </w:t>
      </w:r>
      <w:r>
        <w:rPr>
          <w:sz w:val="16"/>
        </w:rPr>
        <w:t>…</w:t>
      </w:r>
      <w:r>
        <w:t xml:space="preserve">, who </w:t>
      </w:r>
      <w:r w:rsidRPr="0046780C">
        <w:t>believe that they, not the military, enjoy a popular mandate</w:t>
      </w:r>
      <w:r>
        <w:t>.</w:t>
      </w:r>
      <w:proofErr w:type="gramEnd"/>
    </w:p>
    <w:p w:rsidR="00E74808" w:rsidRDefault="00E74808" w:rsidP="00E74808"/>
    <w:p w:rsidR="00E74808" w:rsidRDefault="00E74808" w:rsidP="00E74808">
      <w:pPr>
        <w:pStyle w:val="Heading1"/>
      </w:pPr>
      <w:r>
        <w:t xml:space="preserve">IRF </w:t>
      </w:r>
      <w:proofErr w:type="spellStart"/>
      <w:r>
        <w:t>Adv</w:t>
      </w:r>
      <w:proofErr w:type="spellEnd"/>
    </w:p>
    <w:p w:rsidR="00E74808" w:rsidRDefault="00E74808" w:rsidP="00E74808"/>
    <w:p w:rsidR="00E74808" w:rsidRDefault="00E74808" w:rsidP="00E74808"/>
    <w:p w:rsidR="00E74808" w:rsidRDefault="00E74808" w:rsidP="00E74808">
      <w:pPr>
        <w:pStyle w:val="Heading3"/>
      </w:pPr>
      <w:r>
        <w:t xml:space="preserve">Middle of their </w:t>
      </w:r>
      <w:proofErr w:type="spellStart"/>
      <w:proofErr w:type="gramStart"/>
      <w:r>
        <w:t>ev</w:t>
      </w:r>
      <w:proofErr w:type="spellEnd"/>
      <w:proofErr w:type="gramEnd"/>
      <w:r>
        <w:t xml:space="preserve"> concludes one-time actions to engage religious actors like the plan change nothing about the overall priority placed on IRF </w:t>
      </w:r>
    </w:p>
    <w:p w:rsidR="00E74808" w:rsidRDefault="00E74808" w:rsidP="00E74808">
      <w:r>
        <w:t xml:space="preserve">Thomas F. </w:t>
      </w:r>
      <w:r w:rsidRPr="00690EAA">
        <w:rPr>
          <w:rStyle w:val="StyleStyleBold12pt"/>
        </w:rPr>
        <w:t>Farr 11</w:t>
      </w:r>
      <w:r>
        <w:t xml:space="preserve">, Director of the Religious Freedom Project at the Berkley Center for Religion, Peace, and World Affairs, June 3, 2011, “U.S. Foreign Policy and International Religious Expression,” CQ Congressional Testimony, p. lexis </w:t>
      </w:r>
    </w:p>
    <w:p w:rsidR="00E74808" w:rsidRPr="000B4A39" w:rsidRDefault="00E74808" w:rsidP="00E74808">
      <w:pPr>
        <w:pStyle w:val="cardtext"/>
      </w:pPr>
      <w:r>
        <w:t xml:space="preserve">It is profoundly ironic that </w:t>
      </w:r>
      <w:r w:rsidRPr="00277815">
        <w:t xml:space="preserve">American </w:t>
      </w:r>
      <w:r>
        <w:rPr>
          <w:sz w:val="16"/>
        </w:rPr>
        <w:t>…</w:t>
      </w:r>
      <w:r w:rsidRPr="00754B6B">
        <w:rPr>
          <w:b/>
          <w:highlight w:val="yellow"/>
        </w:rPr>
        <w:t xml:space="preserve"> </w:t>
      </w:r>
      <w:r>
        <w:t>field remain ad hoc and without strategic direction.</w:t>
      </w:r>
    </w:p>
    <w:p w:rsidR="00E74808" w:rsidRDefault="00E74808" w:rsidP="00E74808"/>
    <w:p w:rsidR="00E74808" w:rsidRDefault="00E74808" w:rsidP="00E74808">
      <w:pPr>
        <w:pStyle w:val="Heading3"/>
      </w:pPr>
      <w:r>
        <w:t xml:space="preserve">Ultra-low threshold for alt-causes to outweigh---their author uses incredibly strong language about a ton of stuff that “must” happen to solve their advantage  </w:t>
      </w:r>
    </w:p>
    <w:p w:rsidR="00E74808" w:rsidRDefault="00E74808" w:rsidP="00E74808">
      <w:r>
        <w:t xml:space="preserve">Joseph K. </w:t>
      </w:r>
      <w:proofErr w:type="spellStart"/>
      <w:r w:rsidRPr="00D33EF7">
        <w:rPr>
          <w:rStyle w:val="StyleStyleBold12pt"/>
        </w:rPr>
        <w:t>Grieboski</w:t>
      </w:r>
      <w:proofErr w:type="spellEnd"/>
      <w:r w:rsidRPr="00D33EF7">
        <w:rPr>
          <w:rStyle w:val="StyleStyleBold12pt"/>
        </w:rPr>
        <w:t xml:space="preserve"> 11</w:t>
      </w:r>
      <w:r>
        <w:t xml:space="preserve">, Founder and Chairman, The Institute on Religion and Public Policy, June 3, 2011, “U.S. Foreign Policy and International Religious Expression,” CQ Congressional Testimony, p. lexis </w:t>
      </w:r>
    </w:p>
    <w:p w:rsidR="00E74808" w:rsidRDefault="00E74808" w:rsidP="00E74808">
      <w:pPr>
        <w:pStyle w:val="cardtext"/>
      </w:pPr>
      <w:r w:rsidRPr="00A30B21">
        <w:t xml:space="preserve">The U.S. too often deals with human rights </w:t>
      </w:r>
      <w:r>
        <w:rPr>
          <w:sz w:val="16"/>
        </w:rPr>
        <w:t>…</w:t>
      </w:r>
      <w:r w:rsidRPr="00754B6B">
        <w:rPr>
          <w:b/>
          <w:highlight w:val="yellow"/>
        </w:rPr>
        <w:t xml:space="preserve"> </w:t>
      </w:r>
      <w:r>
        <w:t>the hassle of internal budget concerns.</w:t>
      </w:r>
    </w:p>
    <w:p w:rsidR="00E74808" w:rsidRDefault="00E74808" w:rsidP="00E74808">
      <w:pPr>
        <w:pStyle w:val="cardtext"/>
      </w:pPr>
    </w:p>
    <w:p w:rsidR="00E74808" w:rsidRPr="00B34918" w:rsidRDefault="00E74808" w:rsidP="00E74808">
      <w:pPr>
        <w:pStyle w:val="Heading3"/>
      </w:pPr>
      <w:r>
        <w:t xml:space="preserve">No spillover---the plan doesn’t </w:t>
      </w:r>
      <w:r>
        <w:rPr>
          <w:u w:val="single"/>
        </w:rPr>
        <w:t>mandate religious engagement</w:t>
      </w:r>
      <w:r>
        <w:t xml:space="preserve">---every relevant actor will still ignore it  </w:t>
      </w:r>
    </w:p>
    <w:p w:rsidR="00E74808" w:rsidRDefault="00E74808" w:rsidP="00E74808">
      <w:r w:rsidRPr="0025766E">
        <w:t xml:space="preserve">Thomas F. </w:t>
      </w:r>
      <w:r w:rsidRPr="00B34918">
        <w:rPr>
          <w:rStyle w:val="StyleStyleBold12pt"/>
        </w:rPr>
        <w:t>Farr 11</w:t>
      </w:r>
      <w:r w:rsidRPr="0025766E">
        <w:t xml:space="preserve">, a former American diplomat, is Visiting Associate Professor of Religion and World Affairs in the Edmund A. Walsh School of Foreign Service and a Senior Fellow at the Berkley Center for Religion, Peace, &amp; World Affairs at Georgetown University, Preventing Another Attack: International Religious Freedom, 9/23/11, </w:t>
      </w:r>
      <w:hyperlink r:id="rId9" w:history="1">
        <w:r w:rsidRPr="00E67F37">
          <w:rPr>
            <w:rStyle w:val="Hyperlink"/>
          </w:rPr>
          <w:t>www.thepublicdiscourse.com/2011/09/4008</w:t>
        </w:r>
      </w:hyperlink>
    </w:p>
    <w:p w:rsidR="00E74808" w:rsidRDefault="00E74808" w:rsidP="00E74808">
      <w:pPr>
        <w:pStyle w:val="cardtext"/>
      </w:pPr>
      <w:r>
        <w:t xml:space="preserve">Given the evidence that </w:t>
      </w:r>
      <w:r w:rsidRPr="00031BDD">
        <w:t xml:space="preserve">religious freedom </w:t>
      </w:r>
      <w:r>
        <w:rPr>
          <w:sz w:val="16"/>
        </w:rPr>
        <w:t>…</w:t>
      </w:r>
      <w:r w:rsidRPr="00754B6B">
        <w:rPr>
          <w:b/>
          <w:highlight w:val="yellow"/>
        </w:rPr>
        <w:t xml:space="preserve"> </w:t>
      </w:r>
      <w:r>
        <w:t xml:space="preserve">be reauthorized, but it is only an advisory body, </w:t>
      </w:r>
      <w:r w:rsidRPr="00754B6B">
        <w:rPr>
          <w:highlight w:val="yellow"/>
        </w:rPr>
        <w:t>unable to drive U.S. policy</w:t>
      </w:r>
      <w:r>
        <w:t>.</w:t>
      </w:r>
    </w:p>
    <w:p w:rsidR="00E74808" w:rsidRDefault="00E74808" w:rsidP="00E74808"/>
    <w:p w:rsidR="00DF20E0" w:rsidRPr="002A40B7" w:rsidRDefault="00DF20E0" w:rsidP="00D62342"/>
    <w:sectPr w:rsidR="00DF20E0" w:rsidRPr="002A40B7" w:rsidSect="008E4736">
      <w:headerReference w:type="default" r:id="rId10"/>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CD8" w:rsidRDefault="00A95CD8" w:rsidP="005F5576">
      <w:r>
        <w:separator/>
      </w:r>
    </w:p>
  </w:endnote>
  <w:endnote w:type="continuationSeparator" w:id="0">
    <w:p w:rsidR="00A95CD8" w:rsidRDefault="00A95C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CD8" w:rsidRDefault="00A95CD8" w:rsidP="005F5576">
      <w:r>
        <w:separator/>
      </w:r>
    </w:p>
  </w:footnote>
  <w:footnote w:type="continuationSeparator" w:id="0">
    <w:p w:rsidR="00A95CD8" w:rsidRDefault="00A95CD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36" w:rsidRPr="00E75B8F" w:rsidRDefault="008E4736" w:rsidP="008E4736">
    <w:pPr>
      <w:tabs>
        <w:tab w:val="right" w:pos="10710"/>
      </w:tabs>
      <w:rPr>
        <w:rStyle w:val="PageNumber"/>
        <w:sz w:val="24"/>
        <w:szCs w:val="24"/>
      </w:rPr>
    </w:pPr>
    <w:r w:rsidRPr="00E75B8F">
      <w:rPr>
        <w:sz w:val="28"/>
        <w:szCs w:val="36"/>
      </w:rPr>
      <w:t>Northwestern University</w:t>
    </w:r>
    <w:r w:rsidRPr="00E75B8F">
      <w:tab/>
    </w:r>
    <w:r w:rsidRPr="00E75B8F">
      <w:rPr>
        <w:rStyle w:val="PageNumber"/>
        <w:b/>
        <w:sz w:val="24"/>
        <w:szCs w:val="24"/>
      </w:rPr>
      <w:fldChar w:fldCharType="begin"/>
    </w:r>
    <w:r w:rsidRPr="00E75B8F">
      <w:rPr>
        <w:rStyle w:val="PageNumber"/>
        <w:b/>
        <w:sz w:val="24"/>
        <w:szCs w:val="24"/>
      </w:rPr>
      <w:instrText xml:space="preserve"> PAGE </w:instrText>
    </w:r>
    <w:r w:rsidRPr="00E75B8F">
      <w:rPr>
        <w:rStyle w:val="PageNumber"/>
        <w:b/>
        <w:sz w:val="24"/>
        <w:szCs w:val="24"/>
      </w:rPr>
      <w:fldChar w:fldCharType="separate"/>
    </w:r>
    <w:r w:rsidR="00E74808">
      <w:rPr>
        <w:rStyle w:val="PageNumber"/>
        <w:b/>
        <w:noProof/>
        <w:sz w:val="24"/>
        <w:szCs w:val="24"/>
      </w:rPr>
      <w:t>1</w:t>
    </w:r>
    <w:r w:rsidRPr="00E75B8F">
      <w:rPr>
        <w:rStyle w:val="PageNumber"/>
        <w:b/>
        <w:sz w:val="24"/>
        <w:szCs w:val="24"/>
      </w:rPr>
      <w:fldChar w:fldCharType="end"/>
    </w:r>
  </w:p>
  <w:p w:rsidR="008E4736" w:rsidRDefault="00BF4CC4" w:rsidP="008E4736">
    <w:pPr>
      <w:pStyle w:val="Header"/>
      <w:tabs>
        <w:tab w:val="clear" w:pos="9360"/>
        <w:tab w:val="right" w:pos="10710"/>
      </w:tabs>
    </w:pPr>
    <w:r>
      <w:rPr>
        <w:rStyle w:val="PageNumber"/>
        <w:sz w:val="24"/>
        <w:szCs w:val="24"/>
      </w:rPr>
      <w:t>2012</w:t>
    </w:r>
    <w:r w:rsidR="008E4736" w:rsidRPr="00E75B8F">
      <w:rPr>
        <w:rStyle w:val="PageNumber"/>
        <w:sz w:val="24"/>
        <w:szCs w:val="24"/>
      </w:rPr>
      <w:tab/>
    </w:r>
    <w:r w:rsidR="008E4736">
      <w:rPr>
        <w:rStyle w:val="PageNumber"/>
        <w:sz w:val="24"/>
        <w:szCs w:val="24"/>
      </w:rPr>
      <w:tab/>
      <w:t xml:space="preserve">                      </w:t>
    </w:r>
    <w:r w:rsidR="008E4736" w:rsidRPr="000A0619">
      <w:rPr>
        <w:rStyle w:val="PageNumber"/>
        <w:b/>
        <w:sz w:val="24"/>
        <w:szCs w:val="24"/>
      </w:rPr>
      <w:t>File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F4769"/>
    <w:multiLevelType w:val="hybridMultilevel"/>
    <w:tmpl w:val="0F2422BC"/>
    <w:lvl w:ilvl="0" w:tplc="062034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915C99"/>
    <w:multiLevelType w:val="hybridMultilevel"/>
    <w:tmpl w:val="C6124976"/>
    <w:lvl w:ilvl="0" w:tplc="3BC44580">
      <w:start w:val="20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08"/>
    <w:rsid w:val="00021F29"/>
    <w:rsid w:val="00027EED"/>
    <w:rsid w:val="00033028"/>
    <w:rsid w:val="00052A1D"/>
    <w:rsid w:val="0007162E"/>
    <w:rsid w:val="00086DB0"/>
    <w:rsid w:val="00090287"/>
    <w:rsid w:val="00090BA2"/>
    <w:rsid w:val="00095275"/>
    <w:rsid w:val="00097D7E"/>
    <w:rsid w:val="000A4FA5"/>
    <w:rsid w:val="000B7296"/>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B711D"/>
    <w:rsid w:val="001C1D82"/>
    <w:rsid w:val="001C2147"/>
    <w:rsid w:val="001C7C90"/>
    <w:rsid w:val="001D0D51"/>
    <w:rsid w:val="002009AE"/>
    <w:rsid w:val="002018D2"/>
    <w:rsid w:val="00214EF7"/>
    <w:rsid w:val="00236CEF"/>
    <w:rsid w:val="00240C4E"/>
    <w:rsid w:val="00243DC0"/>
    <w:rsid w:val="00257696"/>
    <w:rsid w:val="00272786"/>
    <w:rsid w:val="00287AB7"/>
    <w:rsid w:val="002A213E"/>
    <w:rsid w:val="002A40B7"/>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C5FE3"/>
    <w:rsid w:val="003E4831"/>
    <w:rsid w:val="00403B9B"/>
    <w:rsid w:val="00450882"/>
    <w:rsid w:val="00451F24"/>
    <w:rsid w:val="0045442E"/>
    <w:rsid w:val="0045664C"/>
    <w:rsid w:val="00462418"/>
    <w:rsid w:val="00475E03"/>
    <w:rsid w:val="0047798D"/>
    <w:rsid w:val="0048782C"/>
    <w:rsid w:val="004931DE"/>
    <w:rsid w:val="004A1731"/>
    <w:rsid w:val="004A67E0"/>
    <w:rsid w:val="004A6E81"/>
    <w:rsid w:val="004A7806"/>
    <w:rsid w:val="004D3745"/>
    <w:rsid w:val="004D57A1"/>
    <w:rsid w:val="004E3132"/>
    <w:rsid w:val="004E552E"/>
    <w:rsid w:val="004E656D"/>
    <w:rsid w:val="004F0849"/>
    <w:rsid w:val="004F173C"/>
    <w:rsid w:val="004F1B8C"/>
    <w:rsid w:val="004F45B0"/>
    <w:rsid w:val="005020C3"/>
    <w:rsid w:val="0050399F"/>
    <w:rsid w:val="00513FA2"/>
    <w:rsid w:val="00526139"/>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C0066"/>
    <w:rsid w:val="005C0209"/>
    <w:rsid w:val="005E0F8D"/>
    <w:rsid w:val="005E3FE4"/>
    <w:rsid w:val="005E572E"/>
    <w:rsid w:val="005F5576"/>
    <w:rsid w:val="006014AB"/>
    <w:rsid w:val="00641025"/>
    <w:rsid w:val="006672D8"/>
    <w:rsid w:val="00670D96"/>
    <w:rsid w:val="00672877"/>
    <w:rsid w:val="00675A20"/>
    <w:rsid w:val="00683154"/>
    <w:rsid w:val="00690115"/>
    <w:rsid w:val="00693039"/>
    <w:rsid w:val="006A0FED"/>
    <w:rsid w:val="006E53F0"/>
    <w:rsid w:val="006F7CDF"/>
    <w:rsid w:val="00700BDB"/>
    <w:rsid w:val="00701E73"/>
    <w:rsid w:val="00713F83"/>
    <w:rsid w:val="007369A9"/>
    <w:rsid w:val="00742C77"/>
    <w:rsid w:val="00744F58"/>
    <w:rsid w:val="00760A29"/>
    <w:rsid w:val="00771E18"/>
    <w:rsid w:val="007739F1"/>
    <w:rsid w:val="007815E5"/>
    <w:rsid w:val="00787343"/>
    <w:rsid w:val="00790BFA"/>
    <w:rsid w:val="00791121"/>
    <w:rsid w:val="007A3D06"/>
    <w:rsid w:val="007D65A7"/>
    <w:rsid w:val="00810509"/>
    <w:rsid w:val="008133F9"/>
    <w:rsid w:val="00824638"/>
    <w:rsid w:val="00854C66"/>
    <w:rsid w:val="008553E1"/>
    <w:rsid w:val="0087643B"/>
    <w:rsid w:val="008A64C9"/>
    <w:rsid w:val="008B24B7"/>
    <w:rsid w:val="008C10EC"/>
    <w:rsid w:val="008C7F44"/>
    <w:rsid w:val="008D4273"/>
    <w:rsid w:val="008D7960"/>
    <w:rsid w:val="008E0E4F"/>
    <w:rsid w:val="008E4736"/>
    <w:rsid w:val="008F322F"/>
    <w:rsid w:val="009065BF"/>
    <w:rsid w:val="00914596"/>
    <w:rsid w:val="009146BF"/>
    <w:rsid w:val="00930D1F"/>
    <w:rsid w:val="00935127"/>
    <w:rsid w:val="0094256C"/>
    <w:rsid w:val="009706C1"/>
    <w:rsid w:val="00984B38"/>
    <w:rsid w:val="009B2B47"/>
    <w:rsid w:val="009B7AFF"/>
    <w:rsid w:val="009C4298"/>
    <w:rsid w:val="009D318C"/>
    <w:rsid w:val="00A10B8B"/>
    <w:rsid w:val="00A110DE"/>
    <w:rsid w:val="00A26733"/>
    <w:rsid w:val="00A46C7F"/>
    <w:rsid w:val="00A718A0"/>
    <w:rsid w:val="00A77145"/>
    <w:rsid w:val="00A82989"/>
    <w:rsid w:val="00A904FE"/>
    <w:rsid w:val="00A95CD8"/>
    <w:rsid w:val="00AB7F83"/>
    <w:rsid w:val="00AC7B3B"/>
    <w:rsid w:val="00AD3CE6"/>
    <w:rsid w:val="00AE7586"/>
    <w:rsid w:val="00AF7A65"/>
    <w:rsid w:val="00B06710"/>
    <w:rsid w:val="00B127BF"/>
    <w:rsid w:val="00B357BA"/>
    <w:rsid w:val="00B768B6"/>
    <w:rsid w:val="00B816A3"/>
    <w:rsid w:val="00B908D1"/>
    <w:rsid w:val="00B95CCA"/>
    <w:rsid w:val="00BD4FBE"/>
    <w:rsid w:val="00BE2408"/>
    <w:rsid w:val="00BE3EC6"/>
    <w:rsid w:val="00BE6528"/>
    <w:rsid w:val="00BF4CC4"/>
    <w:rsid w:val="00C27212"/>
    <w:rsid w:val="00C34185"/>
    <w:rsid w:val="00C4155B"/>
    <w:rsid w:val="00C42DD6"/>
    <w:rsid w:val="00C7411E"/>
    <w:rsid w:val="00CA4AF6"/>
    <w:rsid w:val="00CB4E6D"/>
    <w:rsid w:val="00CC105F"/>
    <w:rsid w:val="00CC23DE"/>
    <w:rsid w:val="00CC24C7"/>
    <w:rsid w:val="00CD3E3A"/>
    <w:rsid w:val="00CF6C18"/>
    <w:rsid w:val="00D004DA"/>
    <w:rsid w:val="00D33B91"/>
    <w:rsid w:val="00D415C6"/>
    <w:rsid w:val="00D51ABF"/>
    <w:rsid w:val="00D57CBF"/>
    <w:rsid w:val="00D62342"/>
    <w:rsid w:val="00D81F46"/>
    <w:rsid w:val="00D94CA3"/>
    <w:rsid w:val="00D96595"/>
    <w:rsid w:val="00DA018C"/>
    <w:rsid w:val="00DB5489"/>
    <w:rsid w:val="00DB6C98"/>
    <w:rsid w:val="00DC701C"/>
    <w:rsid w:val="00DF20E0"/>
    <w:rsid w:val="00E00376"/>
    <w:rsid w:val="00E01C0B"/>
    <w:rsid w:val="00E14EBD"/>
    <w:rsid w:val="00E16734"/>
    <w:rsid w:val="00E2367A"/>
    <w:rsid w:val="00E35FC9"/>
    <w:rsid w:val="00E377A4"/>
    <w:rsid w:val="00E420E9"/>
    <w:rsid w:val="00E4635D"/>
    <w:rsid w:val="00E509A8"/>
    <w:rsid w:val="00E61D76"/>
    <w:rsid w:val="00E74808"/>
    <w:rsid w:val="00E90AA6"/>
    <w:rsid w:val="00EA2926"/>
    <w:rsid w:val="00EC1A81"/>
    <w:rsid w:val="00EC7E5C"/>
    <w:rsid w:val="00ED78F1"/>
    <w:rsid w:val="00EE5A09"/>
    <w:rsid w:val="00EF0F62"/>
    <w:rsid w:val="00F057C6"/>
    <w:rsid w:val="00F07243"/>
    <w:rsid w:val="00F5019D"/>
    <w:rsid w:val="00F634D6"/>
    <w:rsid w:val="00F6473F"/>
    <w:rsid w:val="00F66DA1"/>
    <w:rsid w:val="00FB43B1"/>
    <w:rsid w:val="00FC0608"/>
    <w:rsid w:val="00FC2155"/>
    <w:rsid w:val="00FC52BD"/>
    <w:rsid w:val="00FD675B"/>
    <w:rsid w:val="00FE1CE7"/>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4808"/>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Char Char Char Char Char Char Char,Heading 3 Char Char,Char Char, Char Char, Char Char Char Char Char Char Char,Text 7"/>
    <w:basedOn w:val="Normal"/>
    <w:link w:val="Heading3Char"/>
    <w:uiPriority w:val="3"/>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aliases w:val="Evidence,Minimized,minimized,Highlighted,tag2,Size 10,emphasis in card"/>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 Char Char Char Char Char Char,Heading 3 Char Char Char,Char Char Char, Char Char Char, Char Char Char Char Char Char Char Char,Text 7 Char"/>
    <w:basedOn w:val="DefaultParagraphFont"/>
    <w:link w:val="Heading3"/>
    <w:uiPriority w:val="3"/>
    <w:qFormat/>
    <w:rsid w:val="002018D2"/>
    <w:rPr>
      <w:rFonts w:ascii="Times New Roman" w:eastAsiaTheme="majorEastAsia" w:hAnsi="Times New Roman" w:cstheme="majorBidi"/>
      <w:b/>
      <w:bCs/>
      <w:sz w:val="24"/>
    </w:rPr>
  </w:style>
  <w:style w:type="character" w:customStyle="1" w:styleId="StyleBoldUnderline">
    <w:name w:val="Style Bold Underline"/>
    <w:aliases w:val="Underline,apple-style-span + 6 pt,Bold,Kern at 16 pt,Intense Emphasis1,Intense Emphasis2,Underline Char,Title Char,HHeading 3 + 12 pt,Cards + Font: 12 pt Char"/>
    <w:basedOn w:val="DefaultParagraphFont"/>
    <w:uiPriority w:val="5"/>
    <w:qFormat/>
    <w:rsid w:val="006A0FED"/>
    <w:rPr>
      <w:b w:val="0"/>
      <w:bCs/>
      <w:u w:val="single"/>
    </w:rPr>
  </w:style>
  <w:style w:type="character" w:customStyle="1" w:styleId="StyleStyleBold12pt">
    <w:name w:val="Style Style Bold + 12 pt"/>
    <w:aliases w:val="Cite,Style Style Bold,Style Style Bold + 12pt"/>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cs="Times New Roman"/>
      <w:kern w:val="32"/>
      <w:szCs w:val="20"/>
    </w:rPr>
  </w:style>
  <w:style w:type="paragraph" w:styleId="ListParagraph">
    <w:name w:val="List Paragraph"/>
    <w:basedOn w:val="Normal"/>
    <w:uiPriority w:val="34"/>
    <w:semiHidden/>
    <w:rsid w:val="00E74808"/>
    <w:pPr>
      <w:ind w:left="720"/>
      <w:contextualSpacing/>
    </w:pPr>
  </w:style>
  <w:style w:type="character" w:customStyle="1" w:styleId="TitleChar1">
    <w:name w:val="Title Char1"/>
    <w:basedOn w:val="DefaultParagraphFont"/>
    <w:uiPriority w:val="10"/>
    <w:semiHidden/>
    <w:rsid w:val="00E74808"/>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74808"/>
    <w:rPr>
      <w:b/>
      <w:sz w:val="20"/>
      <w:u w:val="single"/>
    </w:rPr>
  </w:style>
  <w:style w:type="paragraph" w:customStyle="1" w:styleId="card">
    <w:name w:val="card"/>
    <w:basedOn w:val="Normal"/>
    <w:link w:val="cardChar"/>
    <w:qFormat/>
    <w:rsid w:val="00E74808"/>
    <w:pPr>
      <w:ind w:left="288" w:right="288"/>
    </w:pPr>
    <w:rPr>
      <w:rFonts w:eastAsia="Times New Roman" w:cs="Times New Roman"/>
      <w:kern w:val="32"/>
      <w:szCs w:val="20"/>
      <w:lang w:val="x-none" w:eastAsia="x-none"/>
    </w:rPr>
  </w:style>
  <w:style w:type="character" w:customStyle="1" w:styleId="cardChar">
    <w:name w:val="card Char"/>
    <w:link w:val="card"/>
    <w:rsid w:val="00E74808"/>
    <w:rPr>
      <w:rFonts w:ascii="Times New Roman" w:eastAsia="Times New Roman" w:hAnsi="Times New Roman" w:cs="Times New Roman"/>
      <w:kern w:val="32"/>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4808"/>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Char Char Char Char Char Char Char,Heading 3 Char Char,Char Char, Char Char, Char Char Char Char Char Char Char,Text 7"/>
    <w:basedOn w:val="Normal"/>
    <w:link w:val="Heading3Char"/>
    <w:uiPriority w:val="3"/>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aliases w:val="Evidence,Minimized,minimized,Highlighted,tag2,Size 10,emphasis in card"/>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 Char Char Char Char Char Char,Heading 3 Char Char Char,Char Char Char, Char Char Char, Char Char Char Char Char Char Char Char,Text 7 Char"/>
    <w:basedOn w:val="DefaultParagraphFont"/>
    <w:link w:val="Heading3"/>
    <w:uiPriority w:val="3"/>
    <w:qFormat/>
    <w:rsid w:val="002018D2"/>
    <w:rPr>
      <w:rFonts w:ascii="Times New Roman" w:eastAsiaTheme="majorEastAsia" w:hAnsi="Times New Roman" w:cstheme="majorBidi"/>
      <w:b/>
      <w:bCs/>
      <w:sz w:val="24"/>
    </w:rPr>
  </w:style>
  <w:style w:type="character" w:customStyle="1" w:styleId="StyleBoldUnderline">
    <w:name w:val="Style Bold Underline"/>
    <w:aliases w:val="Underline,apple-style-span + 6 pt,Bold,Kern at 16 pt,Intense Emphasis1,Intense Emphasis2,Underline Char,Title Char,HHeading 3 + 12 pt,Cards + Font: 12 pt Char"/>
    <w:basedOn w:val="DefaultParagraphFont"/>
    <w:uiPriority w:val="5"/>
    <w:qFormat/>
    <w:rsid w:val="006A0FED"/>
    <w:rPr>
      <w:b w:val="0"/>
      <w:bCs/>
      <w:u w:val="single"/>
    </w:rPr>
  </w:style>
  <w:style w:type="character" w:customStyle="1" w:styleId="StyleStyleBold12pt">
    <w:name w:val="Style Style Bold + 12 pt"/>
    <w:aliases w:val="Cite,Style Style Bold,Style Style Bold + 12pt"/>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cs="Times New Roman"/>
      <w:kern w:val="32"/>
      <w:szCs w:val="20"/>
    </w:rPr>
  </w:style>
  <w:style w:type="paragraph" w:styleId="ListParagraph">
    <w:name w:val="List Paragraph"/>
    <w:basedOn w:val="Normal"/>
    <w:uiPriority w:val="34"/>
    <w:semiHidden/>
    <w:rsid w:val="00E74808"/>
    <w:pPr>
      <w:ind w:left="720"/>
      <w:contextualSpacing/>
    </w:pPr>
  </w:style>
  <w:style w:type="character" w:customStyle="1" w:styleId="TitleChar1">
    <w:name w:val="Title Char1"/>
    <w:basedOn w:val="DefaultParagraphFont"/>
    <w:uiPriority w:val="10"/>
    <w:semiHidden/>
    <w:rsid w:val="00E74808"/>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74808"/>
    <w:rPr>
      <w:b/>
      <w:sz w:val="20"/>
      <w:u w:val="single"/>
    </w:rPr>
  </w:style>
  <w:style w:type="paragraph" w:customStyle="1" w:styleId="card">
    <w:name w:val="card"/>
    <w:basedOn w:val="Normal"/>
    <w:link w:val="cardChar"/>
    <w:qFormat/>
    <w:rsid w:val="00E74808"/>
    <w:pPr>
      <w:ind w:left="288" w:right="288"/>
    </w:pPr>
    <w:rPr>
      <w:rFonts w:eastAsia="Times New Roman" w:cs="Times New Roman"/>
      <w:kern w:val="32"/>
      <w:szCs w:val="20"/>
      <w:lang w:val="x-none" w:eastAsia="x-none"/>
    </w:rPr>
  </w:style>
  <w:style w:type="character" w:customStyle="1" w:styleId="cardChar">
    <w:name w:val="card Char"/>
    <w:link w:val="card"/>
    <w:rsid w:val="00E74808"/>
    <w:rPr>
      <w:rFonts w:ascii="Times New Roman" w:eastAsia="Times New Roman" w:hAnsi="Times New Roman" w:cs="Times New Roman"/>
      <w:kern w:val="32"/>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okings.edu/~/media/Files/rc/pape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hepublicdiscourse.com/2011/09/40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4</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2012-01-03T20:52:00Z</dcterms:created>
  <dcterms:modified xsi:type="dcterms:W3CDTF">2012-01-03T20:56:00Z</dcterms:modified>
</cp:coreProperties>
</file>