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45" w:rsidRDefault="006B6645" w:rsidP="006B6645">
      <w:pPr>
        <w:pStyle w:val="Heading4"/>
      </w:pPr>
      <w:bookmarkStart w:id="0" w:name="_GoBack"/>
      <w:bookmarkEnd w:id="0"/>
      <w:r>
        <w:t>Romney will win – best models</w:t>
      </w:r>
    </w:p>
    <w:p w:rsidR="006B6645" w:rsidRDefault="006B6645" w:rsidP="006B6645">
      <w:pPr>
        <w:rPr>
          <w:sz w:val="16"/>
        </w:rPr>
      </w:pPr>
      <w:proofErr w:type="spellStart"/>
      <w:r w:rsidRPr="000D72A2">
        <w:rPr>
          <w:rStyle w:val="StyleStyleBold12pt"/>
        </w:rPr>
        <w:t>Anas</w:t>
      </w:r>
      <w:proofErr w:type="spellEnd"/>
      <w:r w:rsidRPr="000D72A2">
        <w:rPr>
          <w:rStyle w:val="StyleStyleBold12pt"/>
        </w:rPr>
        <w:t xml:space="preserve"> 10-4 </w:t>
      </w:r>
      <w:r w:rsidRPr="000D72A2">
        <w:rPr>
          <w:sz w:val="16"/>
        </w:rPr>
        <w:t xml:space="preserve">(Brittany, CU-Boulder </w:t>
      </w:r>
      <w:proofErr w:type="spellStart"/>
      <w:r w:rsidRPr="000D72A2">
        <w:rPr>
          <w:sz w:val="16"/>
        </w:rPr>
        <w:t>prof's</w:t>
      </w:r>
      <w:proofErr w:type="spellEnd"/>
      <w:r w:rsidRPr="000D72A2">
        <w:rPr>
          <w:sz w:val="16"/>
        </w:rPr>
        <w:t xml:space="preserve"> updated forecast still gives win to Mitt Romney, Times Call, 4 October 2012, http://www.timescall.com/news/longmont-local-news/ci_21698333/cu-boulder-profs-updated-forecast-still-gives-win, </w:t>
      </w:r>
      <w:proofErr w:type="spellStart"/>
      <w:r w:rsidRPr="000D72A2">
        <w:rPr>
          <w:sz w:val="16"/>
        </w:rPr>
        <w:t>da</w:t>
      </w:r>
      <w:proofErr w:type="spellEnd"/>
      <w:r w:rsidRPr="000D72A2">
        <w:rPr>
          <w:sz w:val="16"/>
        </w:rPr>
        <w:t xml:space="preserve"> 10-5-12)</w:t>
      </w:r>
    </w:p>
    <w:p w:rsidR="006B6645" w:rsidRDefault="006B6645" w:rsidP="006B6645"/>
    <w:p w:rsidR="006B6645" w:rsidRDefault="006B6645" w:rsidP="006B6645">
      <w:pPr>
        <w:rPr>
          <w:sz w:val="16"/>
        </w:rPr>
      </w:pPr>
      <w:r w:rsidRPr="000D72A2">
        <w:rPr>
          <w:sz w:val="16"/>
        </w:rPr>
        <w:t xml:space="preserve">President Barack </w:t>
      </w:r>
      <w:r w:rsidRPr="000D72A2">
        <w:rPr>
          <w:rStyle w:val="StyleBoldUnderline"/>
          <w:highlight w:val="yellow"/>
        </w:rPr>
        <w:t>Obama is expected to receive 208 votes</w:t>
      </w:r>
      <w:r w:rsidRPr="000D72A2">
        <w:rPr>
          <w:sz w:val="16"/>
        </w:rPr>
        <w:t>, which is down five from the initial prediction that the professors announced on Aug. 22.</w:t>
      </w:r>
      <w:r w:rsidRPr="000D72A2">
        <w:rPr>
          <w:sz w:val="12"/>
        </w:rPr>
        <w:t>¶</w:t>
      </w:r>
      <w:r w:rsidRPr="000D72A2">
        <w:rPr>
          <w:sz w:val="16"/>
        </w:rPr>
        <w:t xml:space="preserve"> </w:t>
      </w:r>
      <w:r w:rsidRPr="000D72A2">
        <w:rPr>
          <w:rStyle w:val="StyleBoldUnderline"/>
          <w:highlight w:val="yellow"/>
        </w:rPr>
        <w:t>Bickers said that economic conditions continue to favor Romney, even though</w:t>
      </w:r>
      <w:r w:rsidRPr="000D72A2">
        <w:rPr>
          <w:rStyle w:val="StyleBoldUnderline"/>
        </w:rPr>
        <w:t xml:space="preserve"> many </w:t>
      </w:r>
      <w:r w:rsidRPr="000D72A2">
        <w:rPr>
          <w:rStyle w:val="StyleBoldUnderline"/>
          <w:highlight w:val="yellow"/>
        </w:rPr>
        <w:t>polls are showing the president in the lead</w:t>
      </w:r>
      <w:r w:rsidRPr="000D72A2">
        <w:rPr>
          <w:sz w:val="16"/>
        </w:rPr>
        <w:t>.</w:t>
      </w:r>
      <w:r w:rsidRPr="000D72A2">
        <w:rPr>
          <w:sz w:val="12"/>
        </w:rPr>
        <w:t>¶</w:t>
      </w:r>
      <w:r w:rsidRPr="000D72A2">
        <w:rPr>
          <w:sz w:val="16"/>
        </w:rPr>
        <w:t xml:space="preserve"> </w:t>
      </w:r>
      <w:r w:rsidRPr="000D72A2">
        <w:rPr>
          <w:rStyle w:val="StyleBoldUnderline"/>
        </w:rPr>
        <w:t xml:space="preserve">Bickers recalled that </w:t>
      </w:r>
      <w:r w:rsidRPr="000D72A2">
        <w:rPr>
          <w:sz w:val="16"/>
        </w:rPr>
        <w:t xml:space="preserve">incumbent Jimmy </w:t>
      </w:r>
      <w:r w:rsidRPr="000D72A2">
        <w:rPr>
          <w:rStyle w:val="StyleBoldUnderline"/>
          <w:highlight w:val="yellow"/>
        </w:rPr>
        <w:t>Carter led</w:t>
      </w:r>
      <w:r w:rsidRPr="000D72A2">
        <w:rPr>
          <w:rStyle w:val="StyleBoldUnderline"/>
        </w:rPr>
        <w:t xml:space="preserve"> </w:t>
      </w:r>
      <w:r w:rsidRPr="000D72A2">
        <w:rPr>
          <w:sz w:val="16"/>
        </w:rPr>
        <w:t xml:space="preserve">Ronald </w:t>
      </w:r>
      <w:r w:rsidRPr="000D72A2">
        <w:rPr>
          <w:rStyle w:val="StyleBoldUnderline"/>
          <w:highlight w:val="yellow"/>
        </w:rPr>
        <w:t>Reagan in the polls</w:t>
      </w:r>
      <w:r w:rsidRPr="000D72A2">
        <w:rPr>
          <w:rStyle w:val="StyleBoldUnderline"/>
        </w:rPr>
        <w:t xml:space="preserve"> well </w:t>
      </w:r>
      <w:r w:rsidRPr="000D72A2">
        <w:rPr>
          <w:rStyle w:val="StyleBoldUnderline"/>
          <w:highlight w:val="yellow"/>
        </w:rPr>
        <w:t>into October</w:t>
      </w:r>
      <w:r w:rsidRPr="000D72A2">
        <w:rPr>
          <w:rStyle w:val="StyleBoldUnderline"/>
        </w:rPr>
        <w:t xml:space="preserve"> </w:t>
      </w:r>
      <w:r w:rsidRPr="000D72A2">
        <w:rPr>
          <w:sz w:val="16"/>
        </w:rPr>
        <w:t xml:space="preserve">during the 1980 election that </w:t>
      </w:r>
      <w:r w:rsidRPr="000D72A2">
        <w:rPr>
          <w:rStyle w:val="StyleBoldUnderline"/>
          <w:highlight w:val="yellow"/>
        </w:rPr>
        <w:t>Reagan ended up winning</w:t>
      </w:r>
      <w:r w:rsidRPr="000D72A2">
        <w:rPr>
          <w:rStyle w:val="StyleBoldUnderline"/>
        </w:rPr>
        <w:t xml:space="preserve"> in a landslide</w:t>
      </w:r>
      <w:r w:rsidRPr="000D72A2">
        <w:rPr>
          <w:sz w:val="16"/>
        </w:rPr>
        <w:t>.</w:t>
      </w:r>
      <w:r w:rsidRPr="000D72A2">
        <w:rPr>
          <w:sz w:val="12"/>
        </w:rPr>
        <w:t>¶</w:t>
      </w:r>
      <w:r w:rsidRPr="000D72A2">
        <w:rPr>
          <w:sz w:val="16"/>
        </w:rPr>
        <w:t xml:space="preserve"> </w:t>
      </w:r>
      <w:r w:rsidRPr="000D72A2">
        <w:rPr>
          <w:rStyle w:val="StyleBoldUnderline"/>
          <w:highlight w:val="yellow"/>
        </w:rPr>
        <w:t>The model developed by Bickers and Berry is based on the Electoral College and</w:t>
      </w:r>
      <w:r w:rsidRPr="000D72A2">
        <w:rPr>
          <w:sz w:val="16"/>
        </w:rPr>
        <w:t xml:space="preserve">, they say, </w:t>
      </w:r>
      <w:r w:rsidRPr="000D72A2">
        <w:rPr>
          <w:rStyle w:val="StyleBoldUnderline"/>
        </w:rPr>
        <w:t xml:space="preserve">it </w:t>
      </w:r>
      <w:r w:rsidRPr="000D72A2">
        <w:rPr>
          <w:rStyle w:val="StyleBoldUnderline"/>
          <w:highlight w:val="yellow"/>
        </w:rPr>
        <w:t>is the only one</w:t>
      </w:r>
      <w:r w:rsidRPr="000D72A2">
        <w:rPr>
          <w:rStyle w:val="StyleBoldUnderline"/>
        </w:rPr>
        <w:t xml:space="preserve"> </w:t>
      </w:r>
      <w:r w:rsidRPr="000D72A2">
        <w:rPr>
          <w:sz w:val="16"/>
        </w:rPr>
        <w:t xml:space="preserve">of its type </w:t>
      </w:r>
      <w:r w:rsidRPr="000D72A2">
        <w:rPr>
          <w:rStyle w:val="StyleBoldUnderline"/>
          <w:highlight w:val="yellow"/>
        </w:rPr>
        <w:t>to include more than one state-level measure of economic conditions</w:t>
      </w:r>
      <w:r w:rsidRPr="000D72A2">
        <w:rPr>
          <w:rStyle w:val="StyleBoldUnderline"/>
        </w:rPr>
        <w:t xml:space="preserve">. </w:t>
      </w:r>
      <w:r w:rsidRPr="000D72A2">
        <w:rPr>
          <w:sz w:val="16"/>
        </w:rPr>
        <w:t xml:space="preserve">To make their predictions, </w:t>
      </w:r>
      <w:r w:rsidRPr="000D72A2">
        <w:rPr>
          <w:rStyle w:val="StyleBoldUnderline"/>
        </w:rPr>
        <w:t xml:space="preserve">the professors comb economic data from all 50 states and </w:t>
      </w:r>
      <w:r w:rsidRPr="000D72A2">
        <w:rPr>
          <w:sz w:val="16"/>
        </w:rPr>
        <w:t xml:space="preserve">the </w:t>
      </w:r>
      <w:r w:rsidRPr="000D72A2">
        <w:rPr>
          <w:rStyle w:val="Emphasis"/>
        </w:rPr>
        <w:t>D</w:t>
      </w:r>
      <w:r w:rsidRPr="000D72A2">
        <w:rPr>
          <w:sz w:val="16"/>
        </w:rPr>
        <w:t xml:space="preserve">istrict of </w:t>
      </w:r>
      <w:r w:rsidRPr="000D72A2">
        <w:rPr>
          <w:rStyle w:val="Emphasis"/>
        </w:rPr>
        <w:t>C</w:t>
      </w:r>
      <w:r w:rsidRPr="000D72A2">
        <w:rPr>
          <w:sz w:val="16"/>
        </w:rPr>
        <w:t>olumbia.</w:t>
      </w:r>
      <w:r w:rsidRPr="000D72A2">
        <w:rPr>
          <w:sz w:val="12"/>
        </w:rPr>
        <w:t>¶</w:t>
      </w:r>
      <w:r w:rsidRPr="000D72A2">
        <w:rPr>
          <w:sz w:val="16"/>
        </w:rPr>
        <w:t xml:space="preserve"> </w:t>
      </w:r>
      <w:r w:rsidRPr="000D72A2">
        <w:rPr>
          <w:rStyle w:val="StyleBoldUnderline"/>
        </w:rPr>
        <w:t xml:space="preserve">The </w:t>
      </w:r>
      <w:r w:rsidRPr="000D72A2">
        <w:rPr>
          <w:sz w:val="16"/>
        </w:rPr>
        <w:t xml:space="preserve">professors' </w:t>
      </w:r>
      <w:r w:rsidRPr="000D72A2">
        <w:rPr>
          <w:rStyle w:val="StyleBoldUnderline"/>
        </w:rPr>
        <w:t>model includes state and national unemployment figures as well as changes in income</w:t>
      </w:r>
      <w:r w:rsidRPr="000D72A2">
        <w:rPr>
          <w:sz w:val="16"/>
        </w:rPr>
        <w:t>.</w:t>
      </w:r>
    </w:p>
    <w:p w:rsidR="006B6645" w:rsidRPr="0073080B" w:rsidRDefault="006B6645" w:rsidP="006B6645">
      <w:pPr>
        <w:pStyle w:val="Heading4"/>
        <w:rPr>
          <w:rStyle w:val="StyleStyleBold12pt"/>
          <w:b/>
        </w:rPr>
      </w:pPr>
      <w:r w:rsidRPr="0073080B">
        <w:rPr>
          <w:rStyle w:val="StyleStyleBold12pt"/>
          <w:b/>
        </w:rPr>
        <w:t>Silver’s model is too conservative for now – doesn’t take into account debates</w:t>
      </w:r>
      <w:r>
        <w:rPr>
          <w:rStyle w:val="StyleStyleBold12pt"/>
          <w:b/>
        </w:rPr>
        <w:t xml:space="preserve">. This is the conclusion to what they read. </w:t>
      </w:r>
    </w:p>
    <w:p w:rsidR="006B6645" w:rsidRDefault="006B6645" w:rsidP="006B6645">
      <w:r w:rsidRPr="007561EF">
        <w:rPr>
          <w:rStyle w:val="StyleStyleBold12pt"/>
        </w:rPr>
        <w:t>Silver 10/5</w:t>
      </w:r>
      <w:r>
        <w:t xml:space="preserve"> (</w:t>
      </w:r>
      <w:r w:rsidRPr="007561EF">
        <w:t>http://fivethirtyeight.blogs.nytimes.com/2012/10/05/oct-5-day-after-debate-strong-swing-state-polls-for-romney/</w:t>
      </w:r>
      <w:r>
        <w:t>)</w:t>
      </w:r>
    </w:p>
    <w:p w:rsidR="006B6645" w:rsidRPr="007561EF" w:rsidRDefault="006B6645" w:rsidP="006B6645"/>
    <w:p w:rsidR="006B6645" w:rsidRPr="006B6645" w:rsidRDefault="006B6645" w:rsidP="006B6645">
      <w:pPr>
        <w:rPr>
          <w:rStyle w:val="StyleStyleBold12pt"/>
          <w:bCs w:val="0"/>
          <w:sz w:val="22"/>
          <w:u w:val="single"/>
        </w:rPr>
      </w:pPr>
      <w:r w:rsidRPr="007561EF">
        <w:rPr>
          <w:sz w:val="16"/>
        </w:rPr>
        <w:t xml:space="preserve">My subjective view is that, </w:t>
      </w:r>
      <w:r w:rsidRPr="007561EF">
        <w:rPr>
          <w:rStyle w:val="StyleBoldUnderline"/>
        </w:rPr>
        <w:t xml:space="preserve">despite the somewhat mixed messages that </w:t>
      </w:r>
      <w:r w:rsidRPr="005C7276">
        <w:rPr>
          <w:rStyle w:val="StyleBoldUnderline"/>
          <w:highlight w:val="yellow"/>
        </w:rPr>
        <w:t>the polls</w:t>
      </w:r>
      <w:r w:rsidRPr="007561EF">
        <w:rPr>
          <w:rStyle w:val="StyleBoldUnderline"/>
        </w:rPr>
        <w:t xml:space="preserve"> gave </w:t>
      </w:r>
      <w:r w:rsidRPr="005C7276">
        <w:rPr>
          <w:rStyle w:val="StyleBoldUnderline"/>
          <w:highlight w:val="yellow"/>
        </w:rPr>
        <w:t>about the magnitude of</w:t>
      </w:r>
      <w:r w:rsidRPr="007561EF">
        <w:rPr>
          <w:rStyle w:val="StyleBoldUnderline"/>
        </w:rPr>
        <w:t xml:space="preserve"> Mr. </w:t>
      </w:r>
      <w:r w:rsidRPr="005C7276">
        <w:rPr>
          <w:rStyle w:val="StyleBoldUnderline"/>
          <w:highlight w:val="yellow"/>
        </w:rPr>
        <w:t>Romney’s bounce</w:t>
      </w:r>
      <w:r w:rsidRPr="007561EF">
        <w:rPr>
          <w:rStyle w:val="StyleBoldUnderline"/>
        </w:rPr>
        <w:t xml:space="preserve">, this </w:t>
      </w:r>
      <w:r w:rsidRPr="005C7276">
        <w:rPr>
          <w:rStyle w:val="Emphasis"/>
          <w:highlight w:val="yellow"/>
        </w:rPr>
        <w:t>is still too conservative</w:t>
      </w:r>
      <w:r w:rsidRPr="007561EF">
        <w:rPr>
          <w:rStyle w:val="StyleBoldUnderline"/>
        </w:rPr>
        <w:t>. The forecast model</w:t>
      </w:r>
      <w:r w:rsidRPr="007561EF">
        <w:rPr>
          <w:sz w:val="16"/>
        </w:rPr>
        <w:t xml:space="preserve"> is pretty “smart” about distinguishing random movements in the polls from real ones, and so </w:t>
      </w:r>
      <w:r w:rsidRPr="007561EF">
        <w:rPr>
          <w:rStyle w:val="StyleBoldUnderline"/>
        </w:rPr>
        <w:t xml:space="preserve">can be fairly conservative in interpreting the data. However, </w:t>
      </w:r>
      <w:r w:rsidRPr="005C7276">
        <w:rPr>
          <w:rStyle w:val="StyleBoldUnderline"/>
          <w:highlight w:val="yellow"/>
        </w:rPr>
        <w:t>it does not have the advantage of knowing that the shifts may have come for a good reason</w:t>
      </w:r>
      <w:r w:rsidRPr="007561EF">
        <w:rPr>
          <w:rStyle w:val="StyleBoldUnderline"/>
        </w:rPr>
        <w:t xml:space="preserve"> — in this case, Mr. </w:t>
      </w:r>
      <w:r w:rsidRPr="005C7276">
        <w:rPr>
          <w:rStyle w:val="StyleBoldUnderline"/>
          <w:highlight w:val="yellow"/>
        </w:rPr>
        <w:t>Romney’s strong performance in the debate</w:t>
      </w:r>
      <w:r w:rsidRPr="007561EF">
        <w:rPr>
          <w:rStyle w:val="StyleBoldUnderline"/>
        </w:rPr>
        <w:t>.</w:t>
      </w:r>
      <w:r w:rsidRPr="007561EF">
        <w:rPr>
          <w:rStyle w:val="StyleBoldUnderline"/>
          <w:b w:val="0"/>
          <w:sz w:val="12"/>
          <w:u w:val="none"/>
        </w:rPr>
        <w:t>¶</w:t>
      </w:r>
      <w:r w:rsidRPr="007561EF">
        <w:rPr>
          <w:rStyle w:val="StyleBoldUnderline"/>
        </w:rPr>
        <w:t xml:space="preserve"> So I would bet on Mr. Romney right now </w:t>
      </w:r>
      <w:r w:rsidRPr="007561EF">
        <w:rPr>
          <w:sz w:val="16"/>
        </w:rPr>
        <w:t>given the odds the model offers — but I’d have done so more confidently before the morning’s jobs report.</w:t>
      </w:r>
      <w:r w:rsidRPr="007561EF">
        <w:rPr>
          <w:sz w:val="12"/>
        </w:rPr>
        <w:t>¶</w:t>
      </w:r>
      <w:r w:rsidRPr="007561EF">
        <w:rPr>
          <w:sz w:val="16"/>
        </w:rPr>
        <w:t xml:space="preserve"> </w:t>
      </w:r>
      <w:r w:rsidRPr="005C7276">
        <w:rPr>
          <w:rStyle w:val="Emphasis"/>
          <w:highlight w:val="yellow"/>
        </w:rPr>
        <w:t>It’s going to take a few more days for the forecast model to catch up</w:t>
      </w:r>
      <w:r w:rsidRPr="007561EF">
        <w:rPr>
          <w:rStyle w:val="StyleBoldUnderline"/>
        </w:rPr>
        <w:t xml:space="preserve"> to the news, and I don’t think there’s any alternative but to keep an open mind about the polls for right now.</w:t>
      </w:r>
    </w:p>
    <w:p w:rsidR="006B6645" w:rsidRPr="006B6645" w:rsidRDefault="006B6645" w:rsidP="006B6645">
      <w:pPr>
        <w:pStyle w:val="Heading4"/>
        <w:rPr>
          <w:rStyle w:val="StyleStyleBold12pt"/>
          <w:b/>
        </w:rPr>
      </w:pPr>
      <w:r w:rsidRPr="006B6645">
        <w:rPr>
          <w:rStyle w:val="StyleStyleBold12pt"/>
          <w:b/>
        </w:rPr>
        <w:t>Turn: Plan key to Ohio – spun as necessary for economic growth and emissions reductions.</w:t>
      </w:r>
    </w:p>
    <w:p w:rsidR="006B6645" w:rsidRDefault="006B6645" w:rsidP="006B6645">
      <w:proofErr w:type="spellStart"/>
      <w:r>
        <w:rPr>
          <w:rStyle w:val="StyleStyleBold12pt"/>
        </w:rPr>
        <w:t>CASEnergy</w:t>
      </w:r>
      <w:proofErr w:type="spellEnd"/>
      <w:r>
        <w:rPr>
          <w:rStyle w:val="StyleStyleBold12pt"/>
        </w:rPr>
        <w:t xml:space="preserve"> Coalition</w:t>
      </w:r>
      <w:r w:rsidRPr="005A05AB">
        <w:rPr>
          <w:rStyle w:val="StyleStyleBold12pt"/>
        </w:rPr>
        <w:t>,</w:t>
      </w:r>
      <w:r>
        <w:t xml:space="preserve"> </w:t>
      </w:r>
      <w:r>
        <w:rPr>
          <w:rStyle w:val="StyleStyleBold12pt"/>
        </w:rPr>
        <w:t>‘12</w:t>
      </w:r>
    </w:p>
    <w:p w:rsidR="006B6645" w:rsidRDefault="006B6645" w:rsidP="006B6645">
      <w:r>
        <w:t>[“Nuclear Energy in Ohio”, 5-13-12, RSR]</w:t>
      </w:r>
    </w:p>
    <w:p w:rsidR="006B6645" w:rsidRDefault="006B6645" w:rsidP="006B6645">
      <w:pPr>
        <w:rPr>
          <w:rStyle w:val="StyleBoldUnderline"/>
        </w:rPr>
      </w:pPr>
      <w:r w:rsidRPr="00A34255">
        <w:rPr>
          <w:sz w:val="16"/>
        </w:rPr>
        <w:t xml:space="preserve">Moving forward with the next generation of </w:t>
      </w:r>
      <w:r w:rsidRPr="0051116D">
        <w:rPr>
          <w:rStyle w:val="StyleBoldUnderline"/>
          <w:highlight w:val="yellow"/>
        </w:rPr>
        <w:t>new nuclear energy facilities will ensure economic prosperity and</w:t>
      </w:r>
      <w:r w:rsidRPr="00A34255">
        <w:rPr>
          <w:rStyle w:val="StyleBoldUnderline"/>
        </w:rPr>
        <w:t xml:space="preserve"> the continued development of </w:t>
      </w:r>
      <w:r w:rsidRPr="0051116D">
        <w:rPr>
          <w:rStyle w:val="StyleBoldUnderline"/>
          <w:highlight w:val="yellow"/>
        </w:rPr>
        <w:t>sustainable energy in Ohio</w:t>
      </w:r>
      <w:r w:rsidRPr="00A34255">
        <w:rPr>
          <w:sz w:val="16"/>
        </w:rPr>
        <w:t xml:space="preserve"> and across the U.S. </w:t>
      </w:r>
      <w:r w:rsidRPr="0051116D">
        <w:rPr>
          <w:rStyle w:val="StyleBoldUnderline"/>
          <w:highlight w:val="yellow"/>
        </w:rPr>
        <w:t>According to the</w:t>
      </w:r>
      <w:r w:rsidRPr="00A34255">
        <w:rPr>
          <w:rStyle w:val="StyleBoldUnderline"/>
        </w:rPr>
        <w:t xml:space="preserve"> U.S. </w:t>
      </w:r>
      <w:r w:rsidRPr="0051116D">
        <w:rPr>
          <w:rStyle w:val="StyleBoldUnderline"/>
          <w:highlight w:val="yellow"/>
        </w:rPr>
        <w:t>D</w:t>
      </w:r>
      <w:r w:rsidRPr="00A34255">
        <w:rPr>
          <w:rStyle w:val="StyleBoldUnderline"/>
        </w:rPr>
        <w:t xml:space="preserve">epartment </w:t>
      </w:r>
      <w:r w:rsidRPr="0051116D">
        <w:rPr>
          <w:rStyle w:val="StyleBoldUnderline"/>
          <w:highlight w:val="yellow"/>
        </w:rPr>
        <w:t>o</w:t>
      </w:r>
      <w:r w:rsidRPr="00A34255">
        <w:rPr>
          <w:rStyle w:val="StyleBoldUnderline"/>
        </w:rPr>
        <w:t xml:space="preserve">f </w:t>
      </w:r>
      <w:r w:rsidRPr="0051116D">
        <w:rPr>
          <w:rStyle w:val="StyleBoldUnderline"/>
          <w:highlight w:val="yellow"/>
        </w:rPr>
        <w:t>E</w:t>
      </w:r>
      <w:r w:rsidRPr="00A34255">
        <w:rPr>
          <w:rStyle w:val="StyleBoldUnderline"/>
        </w:rPr>
        <w:t xml:space="preserve">nergy, </w:t>
      </w:r>
      <w:r w:rsidRPr="0051116D">
        <w:rPr>
          <w:rStyle w:val="StyleBoldUnderline"/>
          <w:highlight w:val="yellow"/>
        </w:rPr>
        <w:t>with additional capital investment</w:t>
      </w:r>
      <w:r w:rsidRPr="00A34255">
        <w:rPr>
          <w:rStyle w:val="StyleBoldUnderline"/>
        </w:rPr>
        <w:t xml:space="preserve"> to increase power output capacity at Ohio’s </w:t>
      </w:r>
      <w:r w:rsidRPr="0051116D">
        <w:rPr>
          <w:rStyle w:val="StyleBoldUnderline"/>
          <w:highlight w:val="yellow"/>
        </w:rPr>
        <w:t>nuclear energy</w:t>
      </w:r>
      <w:r w:rsidRPr="00A34255">
        <w:rPr>
          <w:rStyle w:val="StyleBoldUnderline"/>
        </w:rPr>
        <w:t xml:space="preserve"> facilities</w:t>
      </w:r>
      <w:r w:rsidRPr="00A34255">
        <w:rPr>
          <w:sz w:val="16"/>
        </w:rPr>
        <w:t>, Davis-</w:t>
      </w:r>
      <w:proofErr w:type="spellStart"/>
      <w:r w:rsidRPr="00A34255">
        <w:rPr>
          <w:sz w:val="16"/>
        </w:rPr>
        <w:t>Besse</w:t>
      </w:r>
      <w:proofErr w:type="spellEnd"/>
      <w:r w:rsidRPr="00A34255">
        <w:rPr>
          <w:sz w:val="16"/>
        </w:rPr>
        <w:t xml:space="preserve"> and Perry </w:t>
      </w:r>
      <w:r w:rsidRPr="0051116D">
        <w:rPr>
          <w:rStyle w:val="StyleBoldUnderline"/>
          <w:highlight w:val="yellow"/>
        </w:rPr>
        <w:t>could supply eight percent more electricity and avoid</w:t>
      </w:r>
      <w:r w:rsidRPr="00A34255">
        <w:rPr>
          <w:rStyle w:val="StyleBoldUnderline"/>
        </w:rPr>
        <w:t xml:space="preserve"> annual emissions of 3,700 tons of SO2, 1,000 tons of </w:t>
      </w:r>
      <w:proofErr w:type="spellStart"/>
      <w:r w:rsidRPr="00A34255">
        <w:rPr>
          <w:rStyle w:val="StyleBoldUnderline"/>
        </w:rPr>
        <w:t>NOx</w:t>
      </w:r>
      <w:proofErr w:type="spellEnd"/>
      <w:r w:rsidRPr="00A34255">
        <w:rPr>
          <w:rStyle w:val="StyleBoldUnderline"/>
        </w:rPr>
        <w:t xml:space="preserve"> and </w:t>
      </w:r>
      <w:r w:rsidRPr="0051116D">
        <w:rPr>
          <w:rStyle w:val="StyleBoldUnderline"/>
          <w:highlight w:val="yellow"/>
        </w:rPr>
        <w:t>1.2 million metric tons of CO2</w:t>
      </w:r>
      <w:r w:rsidRPr="00A34255">
        <w:rPr>
          <w:rStyle w:val="StyleBoldUnderline"/>
        </w:rPr>
        <w:t>.</w:t>
      </w:r>
    </w:p>
    <w:p w:rsidR="000022F2" w:rsidRPr="000022F2" w:rsidRDefault="000022F2" w:rsidP="004D3987"/>
    <w:sectPr w:rsidR="000022F2" w:rsidRPr="000022F2" w:rsidSect="00B2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018" w:rsidRDefault="00417018" w:rsidP="005F5576">
      <w:r>
        <w:separator/>
      </w:r>
    </w:p>
  </w:endnote>
  <w:endnote w:type="continuationSeparator" w:id="0">
    <w:p w:rsidR="00417018" w:rsidRDefault="00417018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018" w:rsidRDefault="00417018" w:rsidP="005F5576">
      <w:r>
        <w:separator/>
      </w:r>
    </w:p>
  </w:footnote>
  <w:footnote w:type="continuationSeparator" w:id="0">
    <w:p w:rsidR="00417018" w:rsidRDefault="00417018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018"/>
    <w:rsid w:val="000022F2"/>
    <w:rsid w:val="00021F29"/>
    <w:rsid w:val="00027EED"/>
    <w:rsid w:val="00033028"/>
    <w:rsid w:val="000360A7"/>
    <w:rsid w:val="00052A1D"/>
    <w:rsid w:val="00055E12"/>
    <w:rsid w:val="00064A59"/>
    <w:rsid w:val="0007162E"/>
    <w:rsid w:val="00090287"/>
    <w:rsid w:val="00090BA2"/>
    <w:rsid w:val="00097D7E"/>
    <w:rsid w:val="000A1D39"/>
    <w:rsid w:val="000A4FA5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40397"/>
    <w:rsid w:val="0014072D"/>
    <w:rsid w:val="00141F7D"/>
    <w:rsid w:val="00141FBF"/>
    <w:rsid w:val="0016509D"/>
    <w:rsid w:val="0016711C"/>
    <w:rsid w:val="00175018"/>
    <w:rsid w:val="00177A1E"/>
    <w:rsid w:val="00182D51"/>
    <w:rsid w:val="0019587B"/>
    <w:rsid w:val="001A4F0E"/>
    <w:rsid w:val="001C1D82"/>
    <w:rsid w:val="001C2147"/>
    <w:rsid w:val="001C7C90"/>
    <w:rsid w:val="001D0D51"/>
    <w:rsid w:val="0020006E"/>
    <w:rsid w:val="002009AE"/>
    <w:rsid w:val="002101DA"/>
    <w:rsid w:val="0024023F"/>
    <w:rsid w:val="00240C4E"/>
    <w:rsid w:val="00243DC0"/>
    <w:rsid w:val="00250E16"/>
    <w:rsid w:val="00257696"/>
    <w:rsid w:val="0026382E"/>
    <w:rsid w:val="00272786"/>
    <w:rsid w:val="00287AB7"/>
    <w:rsid w:val="002A213E"/>
    <w:rsid w:val="002A612B"/>
    <w:rsid w:val="002C5772"/>
    <w:rsid w:val="002D2946"/>
    <w:rsid w:val="002D6BD6"/>
    <w:rsid w:val="002E4DD9"/>
    <w:rsid w:val="002F0314"/>
    <w:rsid w:val="0031182D"/>
    <w:rsid w:val="00314B9D"/>
    <w:rsid w:val="00315CA2"/>
    <w:rsid w:val="00326EEB"/>
    <w:rsid w:val="0033078A"/>
    <w:rsid w:val="00341D6C"/>
    <w:rsid w:val="00347123"/>
    <w:rsid w:val="0034756E"/>
    <w:rsid w:val="00347E74"/>
    <w:rsid w:val="00354B5B"/>
    <w:rsid w:val="00383E0A"/>
    <w:rsid w:val="00385298"/>
    <w:rsid w:val="00395C83"/>
    <w:rsid w:val="003A2A3B"/>
    <w:rsid w:val="003A440C"/>
    <w:rsid w:val="003B024E"/>
    <w:rsid w:val="003B0C84"/>
    <w:rsid w:val="003B183E"/>
    <w:rsid w:val="003B2F3E"/>
    <w:rsid w:val="003E4831"/>
    <w:rsid w:val="003E48DE"/>
    <w:rsid w:val="003E7E8B"/>
    <w:rsid w:val="00403971"/>
    <w:rsid w:val="004138EF"/>
    <w:rsid w:val="00417018"/>
    <w:rsid w:val="00450882"/>
    <w:rsid w:val="00451C20"/>
    <w:rsid w:val="00452001"/>
    <w:rsid w:val="0045442E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D3745"/>
    <w:rsid w:val="004D3987"/>
    <w:rsid w:val="004E3132"/>
    <w:rsid w:val="004E552E"/>
    <w:rsid w:val="004E656D"/>
    <w:rsid w:val="004F0849"/>
    <w:rsid w:val="004F173C"/>
    <w:rsid w:val="004F1B8C"/>
    <w:rsid w:val="004F45B0"/>
    <w:rsid w:val="005020C3"/>
    <w:rsid w:val="005111F8"/>
    <w:rsid w:val="00513FA2"/>
    <w:rsid w:val="00514387"/>
    <w:rsid w:val="00516459"/>
    <w:rsid w:val="005349E1"/>
    <w:rsid w:val="00537EF5"/>
    <w:rsid w:val="005420CC"/>
    <w:rsid w:val="005434D0"/>
    <w:rsid w:val="0054437C"/>
    <w:rsid w:val="00546D61"/>
    <w:rsid w:val="005579BF"/>
    <w:rsid w:val="00563468"/>
    <w:rsid w:val="00565EAE"/>
    <w:rsid w:val="00573677"/>
    <w:rsid w:val="00575F7D"/>
    <w:rsid w:val="00580383"/>
    <w:rsid w:val="00580E40"/>
    <w:rsid w:val="00590731"/>
    <w:rsid w:val="005A506B"/>
    <w:rsid w:val="005A701C"/>
    <w:rsid w:val="005B3140"/>
    <w:rsid w:val="005C0B05"/>
    <w:rsid w:val="005D1156"/>
    <w:rsid w:val="005E0681"/>
    <w:rsid w:val="005E3FE4"/>
    <w:rsid w:val="005E572E"/>
    <w:rsid w:val="005F5576"/>
    <w:rsid w:val="006014AB"/>
    <w:rsid w:val="0061680A"/>
    <w:rsid w:val="00623B70"/>
    <w:rsid w:val="0063578B"/>
    <w:rsid w:val="00636B3D"/>
    <w:rsid w:val="00641025"/>
    <w:rsid w:val="006672D8"/>
    <w:rsid w:val="00670D96"/>
    <w:rsid w:val="00672877"/>
    <w:rsid w:val="00683154"/>
    <w:rsid w:val="00690115"/>
    <w:rsid w:val="00690898"/>
    <w:rsid w:val="00693039"/>
    <w:rsid w:val="006B6645"/>
    <w:rsid w:val="006C64D4"/>
    <w:rsid w:val="006E53F0"/>
    <w:rsid w:val="006F7CDF"/>
    <w:rsid w:val="00700BDB"/>
    <w:rsid w:val="0070121B"/>
    <w:rsid w:val="00701E73"/>
    <w:rsid w:val="00711FE2"/>
    <w:rsid w:val="00712649"/>
    <w:rsid w:val="00725623"/>
    <w:rsid w:val="00743059"/>
    <w:rsid w:val="00744F58"/>
    <w:rsid w:val="00760A29"/>
    <w:rsid w:val="00771E18"/>
    <w:rsid w:val="007739F1"/>
    <w:rsid w:val="007745C6"/>
    <w:rsid w:val="007755F6"/>
    <w:rsid w:val="007815E5"/>
    <w:rsid w:val="00787343"/>
    <w:rsid w:val="00790BFA"/>
    <w:rsid w:val="00791121"/>
    <w:rsid w:val="00791C88"/>
    <w:rsid w:val="007A3D06"/>
    <w:rsid w:val="007D65A7"/>
    <w:rsid w:val="008133F9"/>
    <w:rsid w:val="00823AAC"/>
    <w:rsid w:val="00854C66"/>
    <w:rsid w:val="008553E1"/>
    <w:rsid w:val="0087643B"/>
    <w:rsid w:val="00877669"/>
    <w:rsid w:val="00897F92"/>
    <w:rsid w:val="008A64C9"/>
    <w:rsid w:val="008B24B7"/>
    <w:rsid w:val="008C68EE"/>
    <w:rsid w:val="008C7F44"/>
    <w:rsid w:val="008D4273"/>
    <w:rsid w:val="008D4EF3"/>
    <w:rsid w:val="008E0E4F"/>
    <w:rsid w:val="008F322F"/>
    <w:rsid w:val="00907DFE"/>
    <w:rsid w:val="00914596"/>
    <w:rsid w:val="009146BF"/>
    <w:rsid w:val="00930D1F"/>
    <w:rsid w:val="00935127"/>
    <w:rsid w:val="0094025E"/>
    <w:rsid w:val="0094256C"/>
    <w:rsid w:val="009706C1"/>
    <w:rsid w:val="00984B38"/>
    <w:rsid w:val="009A0636"/>
    <w:rsid w:val="009A6FF5"/>
    <w:rsid w:val="009B2B47"/>
    <w:rsid w:val="009C4298"/>
    <w:rsid w:val="009D318C"/>
    <w:rsid w:val="00A10B8B"/>
    <w:rsid w:val="00A26733"/>
    <w:rsid w:val="00A3595E"/>
    <w:rsid w:val="00A46C7F"/>
    <w:rsid w:val="00A77145"/>
    <w:rsid w:val="00A82989"/>
    <w:rsid w:val="00A904FE"/>
    <w:rsid w:val="00AC222F"/>
    <w:rsid w:val="00AC7B3B"/>
    <w:rsid w:val="00AD3CE6"/>
    <w:rsid w:val="00AE1307"/>
    <w:rsid w:val="00AE7586"/>
    <w:rsid w:val="00AF7A65"/>
    <w:rsid w:val="00B06710"/>
    <w:rsid w:val="00B166CB"/>
    <w:rsid w:val="00B235E1"/>
    <w:rsid w:val="00B26E4E"/>
    <w:rsid w:val="00B3145D"/>
    <w:rsid w:val="00B357BA"/>
    <w:rsid w:val="00B564DB"/>
    <w:rsid w:val="00B768B6"/>
    <w:rsid w:val="00B816A3"/>
    <w:rsid w:val="00B908D1"/>
    <w:rsid w:val="00BE2408"/>
    <w:rsid w:val="00BE3EC6"/>
    <w:rsid w:val="00BE5BEB"/>
    <w:rsid w:val="00BE6528"/>
    <w:rsid w:val="00C27212"/>
    <w:rsid w:val="00C34185"/>
    <w:rsid w:val="00C42DD6"/>
    <w:rsid w:val="00C66858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E55A6"/>
    <w:rsid w:val="00CF6C18"/>
    <w:rsid w:val="00CF7EA8"/>
    <w:rsid w:val="00D004DA"/>
    <w:rsid w:val="00D01673"/>
    <w:rsid w:val="00D07BA4"/>
    <w:rsid w:val="00D109BA"/>
    <w:rsid w:val="00D215F6"/>
    <w:rsid w:val="00D2765B"/>
    <w:rsid w:val="00D31DF7"/>
    <w:rsid w:val="00D33B91"/>
    <w:rsid w:val="00D415C6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B0F7E"/>
    <w:rsid w:val="00DB5489"/>
    <w:rsid w:val="00DB6C98"/>
    <w:rsid w:val="00DC701C"/>
    <w:rsid w:val="00E00376"/>
    <w:rsid w:val="00E01016"/>
    <w:rsid w:val="00E14EBD"/>
    <w:rsid w:val="00E16734"/>
    <w:rsid w:val="00E2367A"/>
    <w:rsid w:val="00E35FC9"/>
    <w:rsid w:val="00E377A4"/>
    <w:rsid w:val="00E420E9"/>
    <w:rsid w:val="00E4635D"/>
    <w:rsid w:val="00E61D76"/>
    <w:rsid w:val="00E70912"/>
    <w:rsid w:val="00E90AA6"/>
    <w:rsid w:val="00E977B8"/>
    <w:rsid w:val="00E97AD1"/>
    <w:rsid w:val="00EA109B"/>
    <w:rsid w:val="00EA2926"/>
    <w:rsid w:val="00EC1A81"/>
    <w:rsid w:val="00EC7E5C"/>
    <w:rsid w:val="00ED5E6F"/>
    <w:rsid w:val="00ED78F1"/>
    <w:rsid w:val="00EF0F62"/>
    <w:rsid w:val="00F007E1"/>
    <w:rsid w:val="00F057C6"/>
    <w:rsid w:val="00F5019D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E380E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B6645"/>
    <w:pPr>
      <w:spacing w:after="0" w:line="240" w:lineRule="auto"/>
    </w:pPr>
    <w:rPr>
      <w:rFonts w:ascii="Calibri" w:eastAsiaTheme="minorEastAsia" w:hAnsi="Calibri"/>
      <w:szCs w:val="24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354B5B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0D0B76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712649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szCs w:val="2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qFormat/>
    <w:rsid w:val="00516459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354B5B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0D0B76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"/>
    <w:basedOn w:val="DefaultParagraphFont"/>
    <w:uiPriority w:val="7"/>
    <w:qFormat/>
    <w:rsid w:val="00BE5BEB"/>
    <w:rPr>
      <w:rFonts w:ascii="Calibri" w:hAnsi="Calibri"/>
      <w:b/>
      <w:i w:val="0"/>
      <w:iCs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712649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cite"/>
    <w:basedOn w:val="DefaultParagraphFont"/>
    <w:uiPriority w:val="1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"/>
    <w:basedOn w:val="StyleBold"/>
    <w:uiPriority w:val="1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HAnsi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  <w:rPr>
      <w:rFonts w:eastAsiaTheme="minorHAnsi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4"/>
    <w:qFormat/>
    <w:rsid w:val="00516459"/>
    <w:rPr>
      <w:rFonts w:ascii="Calibri" w:eastAsiaTheme="majorEastAsia" w:hAnsi="Calibr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rsid w:val="006B66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664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2012-10-06T13:09:00Z</dcterms:created>
  <dcterms:modified xsi:type="dcterms:W3CDTF">2012-10-06T13:11:00Z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