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958" w:rsidRPr="00521DBF" w:rsidRDefault="000F0958" w:rsidP="000F0958">
      <w:pPr>
        <w:pStyle w:val="Heading4"/>
      </w:pPr>
      <w:r>
        <w:t xml:space="preserve">They </w:t>
      </w:r>
      <w:r w:rsidRPr="00054396">
        <w:t xml:space="preserve">dooms us to extinction – only pragmatic political action can solve and allow the space for metaphysical investigation.  This also answers their argument that ontology outweighs nuclear war </w:t>
      </w:r>
    </w:p>
    <w:p w:rsidR="000F0958" w:rsidRDefault="000F0958" w:rsidP="000F09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r w:rsidRPr="00054396">
        <w:rPr>
          <w:rStyle w:val="StyleStyleBold12pt"/>
        </w:rPr>
        <w:t>Santoni 85</w:t>
      </w:r>
      <w:r>
        <w:rPr>
          <w:szCs w:val="20"/>
        </w:rPr>
        <w:t xml:space="preserve"> </w:t>
      </w:r>
      <w:r w:rsidRPr="00054396">
        <w:rPr>
          <w:szCs w:val="20"/>
        </w:rPr>
        <w:t xml:space="preserve"> </w:t>
      </w:r>
      <w:r>
        <w:rPr>
          <w:szCs w:val="20"/>
        </w:rPr>
        <w:t>(</w:t>
      </w:r>
      <w:r w:rsidRPr="00054396">
        <w:rPr>
          <w:szCs w:val="20"/>
        </w:rPr>
        <w:t xml:space="preserve">Ronald E. Phil. Prof @ Denison, Nuclear War, ed. Fox and Groarke, p. 156-7 </w:t>
      </w:r>
      <w:r>
        <w:rPr>
          <w:szCs w:val="20"/>
        </w:rPr>
        <w:t>)</w:t>
      </w:r>
    </w:p>
    <w:p w:rsidR="000F0958" w:rsidRPr="00054396" w:rsidRDefault="000F0958" w:rsidP="000F09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p>
    <w:p w:rsidR="000F0958" w:rsidRPr="00B769FD" w:rsidRDefault="000F0958" w:rsidP="000F09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B769FD">
        <w:rPr>
          <w:sz w:val="16"/>
          <w:szCs w:val="20"/>
        </w:rPr>
        <w:t xml:space="preserve">To be sure, Fox sees the need for our undergoing “certain fundamental changes” in our “thinking, beliefs, attitudes, values” and </w:t>
      </w:r>
      <w:r w:rsidRPr="00C419B9">
        <w:rPr>
          <w:rStyle w:val="StyleBoldUnderline"/>
        </w:rPr>
        <w:t>Zimmerman calls for a “paradigm shift” in our thinking about ourselves, other, and the Earth.  But it is not clear that</w:t>
      </w:r>
      <w:r w:rsidRPr="00B769FD">
        <w:rPr>
          <w:sz w:val="16"/>
          <w:szCs w:val="20"/>
        </w:rPr>
        <w:t xml:space="preserve"> what either offers as </w:t>
      </w:r>
      <w:r w:rsidRPr="00C419B9">
        <w:rPr>
          <w:rStyle w:val="StyleBoldUnderline"/>
        </w:rPr>
        <w:t>suggestions</w:t>
      </w:r>
      <w:r w:rsidRPr="00B769FD">
        <w:rPr>
          <w:sz w:val="16"/>
          <w:szCs w:val="20"/>
        </w:rPr>
        <w:t xml:space="preserve"> for what we can, must, or should do in the face of a runaway arms race </w:t>
      </w:r>
      <w:r w:rsidRPr="00C419B9">
        <w:rPr>
          <w:rStyle w:val="StyleBoldUnderline"/>
        </w:rPr>
        <w:t>are sufficient to “wind down” the arms race before it leads to omnicide</w:t>
      </w:r>
      <w:r w:rsidRPr="00B769FD">
        <w:rPr>
          <w:sz w:val="16"/>
          <w:szCs w:val="20"/>
        </w:rPr>
        <w:t>.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 Similarly</w:t>
      </w:r>
      <w:r w:rsidRPr="00C419B9">
        <w:rPr>
          <w:rStyle w:val="StyleBoldUnderline"/>
        </w:rPr>
        <w:t xml:space="preserve">, in respect to Zimmerman: </w:t>
      </w:r>
      <w:r w:rsidRPr="00A62FAC">
        <w:rPr>
          <w:rStyle w:val="StyleBoldUnderline"/>
        </w:rPr>
        <w:t>in spite of the challenging Heideggerian insights</w:t>
      </w:r>
      <w:r w:rsidRPr="00B769FD">
        <w:rPr>
          <w:sz w:val="16"/>
          <w:szCs w:val="20"/>
        </w:rPr>
        <w:t xml:space="preserve"> he brings out regarding what motivates the arms race, </w:t>
      </w:r>
      <w:r w:rsidRPr="00C419B9">
        <w:rPr>
          <w:rStyle w:val="StyleBoldUnderline"/>
        </w:rPr>
        <w:t xml:space="preserve">many questions may be raised about his prescribed “solutions.” ¶ Given our need for a paradigm shift in our (distorted) understanding of ourselves and the rest of ¶ being, are we merely left “to prepare for a possible shift in our self-understanding? (italics mine)? Is this all we can do? Is it necessarily the case that such a shift “cannot come as a result of our own will?” – and work – but only from “a destiny outside our control?” Does this mean we leave to God the matter of bringing about a paradigm shift? </w:t>
      </w:r>
      <w:r w:rsidRPr="00B769FD">
        <w:rPr>
          <w:sz w:val="16"/>
          <w:szCs w:val="20"/>
        </w:rPr>
        <w:t xml:space="preserve"> Granted our fears and the importance of not being controlled by fears, as well as our “anthropocentric leanings,” should we be as cautious as Zimmerman suggests about out disposition “to want to do something” or “to act decisively in the face of the current threat?”  </w:t>
      </w:r>
      <w:r w:rsidRPr="00C419B9">
        <w:rPr>
          <w:rStyle w:val="StyleBoldUnderline"/>
        </w:rPr>
        <w:t xml:space="preserve">In spite of the importance of our taking on the anxiety of our finitude and our present limitation, </w:t>
      </w:r>
      <w:r w:rsidRPr="00A62FAC">
        <w:rPr>
          <w:rStyle w:val="StyleBoldUnderline"/>
        </w:rPr>
        <w:t>does it follow that “we should be willing for the worst (i.e. an all-out nuclear war) to occur”?</w:t>
      </w:r>
      <w:r w:rsidRPr="0043206D">
        <w:rPr>
          <w:rStyle w:val="StyleBoldUnderline"/>
          <w:highlight w:val="yellow"/>
        </w:rPr>
        <w:t xml:space="preserve"> Zimmerman wrongly</w:t>
      </w:r>
      <w:r w:rsidRPr="00C419B9">
        <w:rPr>
          <w:rStyle w:val="StyleBoldUnderline"/>
        </w:rPr>
        <w:t xml:space="preserve">, I contend, </w:t>
      </w:r>
      <w:r w:rsidRPr="0043206D">
        <w:rPr>
          <w:rStyle w:val="StyleBoldUnderline"/>
          <w:highlight w:val="yellow"/>
        </w:rPr>
        <w:t>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B769FD">
        <w:rPr>
          <w:sz w:val="16"/>
          <w:szCs w:val="20"/>
        </w:rPr>
        <w:t xml:space="preserve"> I submit, against Zimmerman, that </w:t>
      </w:r>
      <w:r w:rsidRPr="00C419B9">
        <w:rPr>
          <w:rStyle w:val="StyleBoldUnderline"/>
        </w:rPr>
        <w:t>we should not, in any sense, be willing for nuclear war or omnicide to occur.</w:t>
      </w:r>
      <w:r w:rsidRPr="00976059">
        <w:rPr>
          <w:rStyle w:val="StyleBoldUnderline"/>
        </w:rPr>
        <w:t xml:space="preserve"> </w:t>
      </w:r>
      <w:r w:rsidRPr="00B769FD">
        <w:rPr>
          <w:sz w:val="16"/>
          <w:szCs w:val="20"/>
        </w:rPr>
        <w:t xml:space="preserve">(This is </w:t>
      </w:r>
      <w:r w:rsidRPr="00B769FD">
        <w:rPr>
          <w:i/>
          <w:sz w:val="16"/>
          <w:szCs w:val="20"/>
        </w:rPr>
        <w:t>not</w:t>
      </w:r>
      <w:r w:rsidRPr="00B769FD">
        <w:rPr>
          <w:sz w:val="16"/>
          <w:szCs w:val="20"/>
        </w:rPr>
        <w:t xml:space="preserve"> to suggest that we should be numb to the possibility of its occurrence.) Despite Zimmerman’s elaborations and refinements </w:t>
      </w:r>
      <w:r w:rsidRPr="0043206D">
        <w:rPr>
          <w:rStyle w:val="StyleBoldUnderline"/>
          <w:highlight w:val="yellow"/>
        </w:rPr>
        <w:t xml:space="preserve">his Heideggerian notion of “letting beings be” </w:t>
      </w:r>
      <w:r w:rsidRPr="0043206D">
        <w:rPr>
          <w:rStyle w:val="StyleBoldUnderline"/>
          <w:sz w:val="12"/>
          <w:highlight w:val="yellow"/>
        </w:rPr>
        <w:t xml:space="preserve">¶ </w:t>
      </w:r>
      <w:r w:rsidRPr="0043206D">
        <w:rPr>
          <w:rStyle w:val="StyleBoldUnderline"/>
          <w:highlight w:val="yellow"/>
        </w:rPr>
        <w:t>continues to be too permissive</w:t>
      </w:r>
      <w:r w:rsidRPr="00C419B9">
        <w:rPr>
          <w:rStyle w:val="StyleBoldUnderline"/>
        </w:rPr>
        <w:t xml:space="preserve"> in this regard.</w:t>
      </w:r>
      <w:r>
        <w:rPr>
          <w:rStyle w:val="StyleBoldUnderline"/>
        </w:rPr>
        <w:t xml:space="preserve"> </w:t>
      </w:r>
      <w:r w:rsidRPr="00C419B9">
        <w:rPr>
          <w:rStyle w:val="StyleBoldUnderline"/>
        </w:rPr>
        <w:t xml:space="preserve">In my judgment, </w:t>
      </w:r>
      <w:r w:rsidRPr="0043206D">
        <w:rPr>
          <w:rStyle w:val="StyleBoldUnderline"/>
          <w:highlight w:val="yellow"/>
        </w:rPr>
        <w:t>an individual’s decision not to act against and resist his or her government’s preparations for nuclear holocaust is,</w:t>
      </w:r>
      <w:r w:rsidRPr="00B769FD">
        <w:rPr>
          <w:sz w:val="16"/>
          <w:szCs w:val="20"/>
        </w:rPr>
        <w:t xml:space="preserve"> as I have argued elsewhere, </w:t>
      </w:r>
      <w:r w:rsidRPr="00C419B9">
        <w:rPr>
          <w:rStyle w:val="StyleBoldUnderline"/>
        </w:rPr>
        <w:t>to be an early accomplice to the most horrendous crime against life imaginable – its annihilation.</w:t>
      </w:r>
      <w:r>
        <w:rPr>
          <w:rStyle w:val="StyleBoldUnderline"/>
        </w:rPr>
        <w:t xml:space="preserve"> </w:t>
      </w:r>
      <w:r w:rsidRPr="00C419B9">
        <w:rPr>
          <w:rStyle w:val="StyleBoldUnderline"/>
        </w:rPr>
        <w:t xml:space="preserve">The </w:t>
      </w:r>
      <w:r w:rsidRPr="00B769FD">
        <w:rPr>
          <w:sz w:val="16"/>
          <w:szCs w:val="20"/>
        </w:rPr>
        <w:t xml:space="preserve">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976059">
        <w:rPr>
          <w:rStyle w:val="StyleBoldUnderline"/>
        </w:rPr>
        <w:t xml:space="preserve">We must </w:t>
      </w:r>
      <w:r w:rsidRPr="00B769FD">
        <w:rPr>
          <w:sz w:val="16"/>
          <w:szCs w:val="20"/>
        </w:rPr>
        <w:t xml:space="preserve">not only “come face to face with the unthinkable in image and thought” (Fox) but must </w:t>
      </w:r>
      <w:r w:rsidRPr="00976059">
        <w:rPr>
          <w:rStyle w:val="StyleBoldUnderline"/>
        </w:rPr>
        <w:t>act</w:t>
      </w:r>
      <w:r w:rsidRPr="00B769FD">
        <w:rPr>
          <w:sz w:val="16"/>
          <w:szCs w:val="20"/>
        </w:rPr>
        <w:t xml:space="preserve"> now - with a “new consciousness” and conscience - to prevent the unthinkable, by cleansing the earth of nuclear weaponry.  </w:t>
      </w:r>
      <w:r w:rsidRPr="00976059">
        <w:rPr>
          <w:rStyle w:val="StyleBoldUnderline"/>
        </w:rPr>
        <w:t>Only when that is achieved wll ultimate violence be removed as the final arbiter of our planet’s fate</w:t>
      </w:r>
      <w:r w:rsidRPr="00B769FD">
        <w:rPr>
          <w:sz w:val="16"/>
          <w:szCs w:val="20"/>
        </w:rPr>
        <w:t xml:space="preserve">.  </w:t>
      </w:r>
    </w:p>
    <w:p w:rsidR="000F0958" w:rsidRPr="00A62FAC" w:rsidRDefault="000F0958" w:rsidP="000F0958"/>
    <w:p w:rsidR="000F0958" w:rsidRPr="00F75C5B" w:rsidRDefault="000F0958" w:rsidP="000F0958">
      <w:pPr>
        <w:pStyle w:val="Heading4"/>
        <w:rPr>
          <w:rFonts w:asciiTheme="minorHAnsi" w:hAnsiTheme="minorHAnsi" w:cstheme="minorHAnsi"/>
        </w:rPr>
      </w:pPr>
      <w:r w:rsidRPr="00F75C5B">
        <w:rPr>
          <w:rFonts w:asciiTheme="minorHAnsi" w:hAnsiTheme="minorHAnsi" w:cstheme="minorHAnsi"/>
        </w:rPr>
        <w:lastRenderedPageBreak/>
        <w:t>The plan is not the dangerous technological mindset that Heidegger warns against – using technology is not the same as relying on tech enframing.</w:t>
      </w:r>
    </w:p>
    <w:p w:rsidR="000F0958" w:rsidRDefault="000F0958" w:rsidP="000F0958">
      <w:pPr>
        <w:rPr>
          <w:rFonts w:asciiTheme="minorHAnsi" w:hAnsiTheme="minorHAnsi" w:cstheme="minorHAnsi"/>
        </w:rPr>
      </w:pPr>
      <w:r w:rsidRPr="005E0446">
        <w:rPr>
          <w:rStyle w:val="StyleStyleBold12pt"/>
          <w:rFonts w:asciiTheme="minorHAnsi" w:hAnsiTheme="minorHAnsi" w:cstheme="minorHAnsi"/>
        </w:rPr>
        <w:t>Dreyfus 96</w:t>
      </w:r>
      <w:r w:rsidRPr="005E0446">
        <w:rPr>
          <w:rFonts w:asciiTheme="minorHAnsi" w:hAnsiTheme="minorHAnsi" w:cstheme="minorHAnsi"/>
        </w:rPr>
        <w:t xml:space="preserve"> [Hubert, “Being and Power: Heidegger and Foucault” University of California Berkeley </w:t>
      </w:r>
      <w:hyperlink r:id="rId5" w:history="1">
        <w:r w:rsidRPr="005E0446">
          <w:rPr>
            <w:rFonts w:asciiTheme="minorHAnsi" w:hAnsiTheme="minorHAnsi" w:cstheme="minorHAnsi"/>
          </w:rPr>
          <w:t>http://socrates.berkeley.edu/~hdreyfus/html/paper_being.html</w:t>
        </w:r>
      </w:hyperlink>
      <w:r w:rsidRPr="005E0446">
        <w:rPr>
          <w:rFonts w:asciiTheme="minorHAnsi" w:hAnsiTheme="minorHAnsi" w:cstheme="minorHAnsi"/>
        </w:rPr>
        <w:t>]</w:t>
      </w:r>
    </w:p>
    <w:p w:rsidR="000F0958" w:rsidRPr="005E0446" w:rsidRDefault="000F0958" w:rsidP="000F0958">
      <w:pPr>
        <w:rPr>
          <w:rFonts w:asciiTheme="minorHAnsi" w:hAnsiTheme="minorHAnsi" w:cstheme="minorHAnsi"/>
        </w:rPr>
      </w:pPr>
    </w:p>
    <w:p w:rsidR="000F0958" w:rsidRDefault="000F0958" w:rsidP="000F0958">
      <w:pPr>
        <w:rPr>
          <w:rFonts w:asciiTheme="minorHAnsi" w:hAnsiTheme="minorHAnsi" w:cstheme="minorHAnsi"/>
          <w:sz w:val="16"/>
        </w:rPr>
      </w:pPr>
      <w:r w:rsidRPr="00165579">
        <w:rPr>
          <w:rStyle w:val="StyleBoldUnderline"/>
        </w:rPr>
        <w:t>Heidegger and Foucault are clear, then, that what is uniquely oppressive in our current practices is not that they are illegitimate nor that they cause ecological devastation.</w:t>
      </w:r>
      <w:r w:rsidRPr="00B42FB2">
        <w:rPr>
          <w:rFonts w:asciiTheme="minorHAnsi" w:hAnsiTheme="minorHAnsi" w:cstheme="minorHAnsi"/>
          <w:sz w:val="16"/>
        </w:rPr>
        <w:t xml:space="preserve"> According to Foucault legitimacy is a red herring; our current society becomes more oppressive as it becomes more protective of rights and more permissive, and productive. </w:t>
      </w:r>
      <w:r w:rsidRPr="00165579">
        <w:rPr>
          <w:rStyle w:val="StyleBoldUnderline"/>
        </w:rPr>
        <w:t>Heidegger, on his part, distinguishes the current problems of technology</w:t>
      </w:r>
      <w:r w:rsidRPr="00B42FB2">
        <w:rPr>
          <w:rFonts w:asciiTheme="minorHAnsi" w:hAnsiTheme="minorHAnsi" w:cstheme="minorHAnsi"/>
          <w:sz w:val="16"/>
        </w:rPr>
        <w:t xml:space="preserve"> -- ecological destruction, urbanization, nuclear danger, etc. -- </w:t>
      </w:r>
      <w:r w:rsidRPr="00165579">
        <w:rPr>
          <w:rStyle w:val="StyleBoldUnderline"/>
        </w:rPr>
        <w:t xml:space="preserve">from the devastation that would result if technology solved all our problems.      </w:t>
      </w:r>
      <w:r w:rsidRPr="00A3527A">
        <w:rPr>
          <w:rStyle w:val="StyleBoldUnderline"/>
          <w:highlight w:val="yellow"/>
        </w:rPr>
        <w:t>What threatens [hu]man in [its</w:t>
      </w:r>
      <w:r w:rsidRPr="00165579">
        <w:rPr>
          <w:rStyle w:val="StyleBoldUnderline"/>
        </w:rPr>
        <w:t>]</w:t>
      </w:r>
      <w:r w:rsidRPr="00B42FB2">
        <w:rPr>
          <w:rFonts w:asciiTheme="minorHAnsi" w:hAnsiTheme="minorHAnsi" w:cstheme="minorHAnsi"/>
          <w:sz w:val="16"/>
        </w:rPr>
        <w:t>his</w:t>
      </w:r>
      <w:r w:rsidRPr="00165579">
        <w:rPr>
          <w:rStyle w:val="StyleBoldUnderline"/>
        </w:rPr>
        <w:t xml:space="preserve"> very </w:t>
      </w:r>
      <w:r w:rsidRPr="00A3527A">
        <w:rPr>
          <w:rStyle w:val="StyleBoldUnderline"/>
          <w:highlight w:val="yellow"/>
        </w:rPr>
        <w:t>nature is the</w:t>
      </w:r>
      <w:r w:rsidRPr="00A3527A">
        <w:rPr>
          <w:rFonts w:asciiTheme="minorHAnsi" w:hAnsiTheme="minorHAnsi" w:cstheme="minorHAnsi"/>
          <w:sz w:val="16"/>
          <w:highlight w:val="yellow"/>
        </w:rPr>
        <w:t xml:space="preserve"> ... </w:t>
      </w:r>
      <w:r w:rsidRPr="00A3527A">
        <w:rPr>
          <w:rStyle w:val="StyleBoldUnderline"/>
          <w:highlight w:val="yellow"/>
        </w:rPr>
        <w:t>view that [hu]man, by the peaceful release</w:t>
      </w:r>
      <w:r w:rsidRPr="00165579">
        <w:rPr>
          <w:rStyle w:val="StyleBoldUnderline"/>
        </w:rPr>
        <w:t xml:space="preserve">, transformation, storage, and channeling </w:t>
      </w:r>
      <w:r w:rsidRPr="00A3527A">
        <w:rPr>
          <w:rStyle w:val="StyleBoldUnderline"/>
          <w:highlight w:val="yellow"/>
        </w:rPr>
        <w:t xml:space="preserve">of the energies </w:t>
      </w:r>
      <w:r w:rsidRPr="00165579">
        <w:rPr>
          <w:rStyle w:val="StyleBoldUnderline"/>
        </w:rPr>
        <w:t xml:space="preserve">of physical nature, </w:t>
      </w:r>
      <w:r w:rsidRPr="00A3527A">
        <w:rPr>
          <w:rStyle w:val="StyleBoldUnderline"/>
          <w:highlight w:val="yellow"/>
        </w:rPr>
        <w:t>could render the human condition</w:t>
      </w:r>
      <w:r w:rsidRPr="00165579">
        <w:rPr>
          <w:rStyle w:val="StyleBoldUnderline"/>
        </w:rPr>
        <w:t xml:space="preserve">, [hu]man's being, </w:t>
      </w:r>
      <w:r w:rsidRPr="00A3527A">
        <w:rPr>
          <w:rStyle w:val="StyleBoldUnderline"/>
          <w:highlight w:val="yellow"/>
        </w:rPr>
        <w:t xml:space="preserve">tolerable for everybody </w:t>
      </w:r>
      <w:r w:rsidRPr="00165579">
        <w:rPr>
          <w:rStyle w:val="StyleBoldUnderline"/>
        </w:rPr>
        <w:t>and happy in all respects.</w:t>
      </w:r>
      <w:r w:rsidRPr="00B42FB2">
        <w:rPr>
          <w:rFonts w:asciiTheme="minorHAnsi" w:hAnsiTheme="minorHAnsi" w:cstheme="minorHAnsi"/>
          <w:sz w:val="16"/>
        </w:rPr>
        <w:t xml:space="preserve">   </w:t>
      </w:r>
      <w:r w:rsidRPr="00A3527A">
        <w:rPr>
          <w:rStyle w:val="StyleBoldUnderline"/>
          <w:highlight w:val="yellow"/>
        </w:rPr>
        <w:t xml:space="preserve">Their </w:t>
      </w:r>
      <w:r w:rsidRPr="00165579">
        <w:rPr>
          <w:rStyle w:val="StyleBoldUnderline"/>
        </w:rPr>
        <w:t xml:space="preserve">common </w:t>
      </w:r>
      <w:r w:rsidRPr="00A3527A">
        <w:rPr>
          <w:rStyle w:val="StyleBoldUnderline"/>
          <w:highlight w:val="yellow"/>
        </w:rPr>
        <w:t>critique of techno</w:t>
      </w:r>
      <w:r w:rsidRPr="00165579">
        <w:rPr>
          <w:rStyle w:val="StyleBoldUnderline"/>
        </w:rPr>
        <w:t xml:space="preserve">/bio-power </w:t>
      </w:r>
      <w:r w:rsidRPr="00A3527A">
        <w:rPr>
          <w:rStyle w:val="StyleBoldUnderline"/>
          <w:highlight w:val="yellow"/>
        </w:rPr>
        <w:t>does not</w:t>
      </w:r>
      <w:r w:rsidRPr="00165579">
        <w:rPr>
          <w:rStyle w:val="StyleBoldUnderline"/>
        </w:rPr>
        <w:t>,</w:t>
      </w:r>
      <w:r w:rsidRPr="00B42FB2">
        <w:rPr>
          <w:rFonts w:asciiTheme="minorHAnsi" w:hAnsiTheme="minorHAnsi" w:cstheme="minorHAnsi"/>
          <w:sz w:val="16"/>
        </w:rPr>
        <w:t xml:space="preserve"> however, </w:t>
      </w:r>
      <w:r w:rsidRPr="00A3527A">
        <w:rPr>
          <w:rStyle w:val="StyleBoldUnderline"/>
          <w:highlight w:val="yellow"/>
        </w:rPr>
        <w:t>lead Heidegger</w:t>
      </w:r>
      <w:r w:rsidRPr="00A3527A">
        <w:rPr>
          <w:rFonts w:asciiTheme="minorHAnsi" w:hAnsiTheme="minorHAnsi" w:cstheme="minorHAnsi"/>
          <w:sz w:val="16"/>
          <w:highlight w:val="yellow"/>
        </w:rPr>
        <w:t xml:space="preserve"> </w:t>
      </w:r>
      <w:r w:rsidRPr="00B42FB2">
        <w:rPr>
          <w:rFonts w:asciiTheme="minorHAnsi" w:hAnsiTheme="minorHAnsi" w:cstheme="minorHAnsi"/>
          <w:sz w:val="16"/>
        </w:rPr>
        <w:t xml:space="preserve">or Foucault </w:t>
      </w:r>
      <w:r w:rsidRPr="00A3527A">
        <w:rPr>
          <w:rStyle w:val="StyleBoldUnderline"/>
          <w:highlight w:val="yellow"/>
        </w:rPr>
        <w:t xml:space="preserve">to oppose the use of </w:t>
      </w:r>
      <w:r w:rsidRPr="00165579">
        <w:rPr>
          <w:rStyle w:val="StyleBoldUnderline"/>
        </w:rPr>
        <w:t xml:space="preserve">technological </w:t>
      </w:r>
      <w:r w:rsidRPr="00A3527A">
        <w:rPr>
          <w:rStyle w:val="StyleBoldUnderline"/>
          <w:highlight w:val="yellow"/>
        </w:rPr>
        <w:t>devices</w:t>
      </w:r>
      <w:r w:rsidRPr="00B42FB2">
        <w:rPr>
          <w:rFonts w:asciiTheme="minorHAnsi" w:hAnsiTheme="minorHAnsi" w:cstheme="minorHAnsi"/>
          <w:sz w:val="16"/>
        </w:rPr>
        <w:t xml:space="preserve">, nor specific welfare practices. </w:t>
      </w:r>
      <w:r w:rsidRPr="00165579">
        <w:rPr>
          <w:rStyle w:val="StyleBoldUnderline"/>
        </w:rPr>
        <w:t xml:space="preserve">Heidegger is clear that </w:t>
      </w:r>
      <w:r w:rsidRPr="00A3527A">
        <w:rPr>
          <w:rStyle w:val="StyleBoldUnderline"/>
          <w:highlight w:val="yellow"/>
        </w:rPr>
        <w:t xml:space="preserve">it is the </w:t>
      </w:r>
      <w:r w:rsidRPr="00165579">
        <w:rPr>
          <w:rStyle w:val="StyleBoldUnderline"/>
        </w:rPr>
        <w:t xml:space="preserve">essence of technology -- the </w:t>
      </w:r>
      <w:r w:rsidRPr="00A3527A">
        <w:rPr>
          <w:rStyle w:val="StyleBoldUnderline"/>
          <w:highlight w:val="yellow"/>
        </w:rPr>
        <w:t>technological understanding of being -- not technology, that causes our distress</w:t>
      </w:r>
      <w:r w:rsidRPr="00165579">
        <w:rPr>
          <w:rStyle w:val="StyleBoldUnderline"/>
        </w:rPr>
        <w:t>.</w:t>
      </w:r>
      <w:r w:rsidRPr="00B42FB2">
        <w:rPr>
          <w:rFonts w:asciiTheme="minorHAnsi" w:hAnsiTheme="minorHAnsi" w:cstheme="minorHAnsi"/>
          <w:sz w:val="16"/>
        </w:rPr>
        <w:t xml:space="preserve"> That the technological understanding of being can be disassociated from technological devices is clear if one looks at contemporary Japan where a traditional, non-technological understanding of being -- or, perhaps better, no single understanding of being at all, but a pluralistic understanding of multiple realities -- exists alongside the most advanced high-tech production and consumption.</w:t>
      </w:r>
    </w:p>
    <w:p w:rsidR="00B35254" w:rsidRDefault="00B35254"/>
    <w:p w:rsidR="000F0958" w:rsidRDefault="000F0958">
      <w:bookmarkStart w:id="0" w:name="_GoBack"/>
      <w:bookmarkEnd w:id="0"/>
    </w:p>
    <w:sectPr w:rsidR="000F0958"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58"/>
    <w:rsid w:val="00005C0E"/>
    <w:rsid w:val="00022F18"/>
    <w:rsid w:val="00096A83"/>
    <w:rsid w:val="00097825"/>
    <w:rsid w:val="000D4421"/>
    <w:rsid w:val="000F0958"/>
    <w:rsid w:val="001135AA"/>
    <w:rsid w:val="00141AFA"/>
    <w:rsid w:val="001824A5"/>
    <w:rsid w:val="001F7115"/>
    <w:rsid w:val="00211F71"/>
    <w:rsid w:val="002233CD"/>
    <w:rsid w:val="00223F89"/>
    <w:rsid w:val="00225B9C"/>
    <w:rsid w:val="0024647C"/>
    <w:rsid w:val="00270841"/>
    <w:rsid w:val="002A0D06"/>
    <w:rsid w:val="00307E62"/>
    <w:rsid w:val="00325047"/>
    <w:rsid w:val="0033137B"/>
    <w:rsid w:val="003C53FD"/>
    <w:rsid w:val="00404B2B"/>
    <w:rsid w:val="00473958"/>
    <w:rsid w:val="004B7028"/>
    <w:rsid w:val="004D5F5C"/>
    <w:rsid w:val="00533A70"/>
    <w:rsid w:val="00544116"/>
    <w:rsid w:val="0054699F"/>
    <w:rsid w:val="005553FA"/>
    <w:rsid w:val="00566FA0"/>
    <w:rsid w:val="00596255"/>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762D3"/>
    <w:rsid w:val="00887437"/>
    <w:rsid w:val="00892207"/>
    <w:rsid w:val="008B205A"/>
    <w:rsid w:val="0091042F"/>
    <w:rsid w:val="009341D6"/>
    <w:rsid w:val="00972181"/>
    <w:rsid w:val="009751F9"/>
    <w:rsid w:val="00992098"/>
    <w:rsid w:val="009B0064"/>
    <w:rsid w:val="009E6C21"/>
    <w:rsid w:val="009F79C5"/>
    <w:rsid w:val="00A125B3"/>
    <w:rsid w:val="00A35BA3"/>
    <w:rsid w:val="00A41327"/>
    <w:rsid w:val="00AA3079"/>
    <w:rsid w:val="00AA429C"/>
    <w:rsid w:val="00AD625E"/>
    <w:rsid w:val="00B0107B"/>
    <w:rsid w:val="00B15796"/>
    <w:rsid w:val="00B23B66"/>
    <w:rsid w:val="00B35254"/>
    <w:rsid w:val="00B46390"/>
    <w:rsid w:val="00B47DC4"/>
    <w:rsid w:val="00B52585"/>
    <w:rsid w:val="00B728E4"/>
    <w:rsid w:val="00B950B8"/>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66F79"/>
    <w:rsid w:val="00DC5686"/>
    <w:rsid w:val="00DD5A50"/>
    <w:rsid w:val="00DE7739"/>
    <w:rsid w:val="00E03803"/>
    <w:rsid w:val="00E253A4"/>
    <w:rsid w:val="00E469AF"/>
    <w:rsid w:val="00E54535"/>
    <w:rsid w:val="00E70AEA"/>
    <w:rsid w:val="00E70B69"/>
    <w:rsid w:val="00E74A68"/>
    <w:rsid w:val="00EE50D6"/>
    <w:rsid w:val="00FC0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0958"/>
    <w:rPr>
      <w:rFonts w:ascii="Calibri" w:eastAsiaTheme="minorHAnsi" w:hAnsi="Calibri"/>
      <w:sz w:val="22"/>
      <w:szCs w:val="22"/>
    </w:rPr>
  </w:style>
  <w:style w:type="paragraph" w:styleId="Heading4">
    <w:name w:val="heading 4"/>
    <w:aliases w:val="Tag"/>
    <w:basedOn w:val="Normal"/>
    <w:next w:val="Normal"/>
    <w:link w:val="Heading4Char"/>
    <w:qFormat/>
    <w:rsid w:val="000F09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rsid w:val="000F0958"/>
    <w:rPr>
      <w:rFonts w:ascii="Calibri" w:eastAsiaTheme="majorEastAsia" w:hAnsi="Calibri" w:cstheme="majorBidi"/>
      <w:b/>
      <w:bCs/>
      <w:iCs/>
      <w:sz w:val="26"/>
      <w:szCs w:val="22"/>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0F0958"/>
    <w:rPr>
      <w:b/>
      <w:bCs/>
      <w:u w:val="single"/>
    </w:rPr>
  </w:style>
  <w:style w:type="character" w:customStyle="1" w:styleId="StyleStyleBold12pt">
    <w:name w:val="Style Style Bold + 12 pt"/>
    <w:aliases w:val="Cite,Style Style Bold,Style Style Bold + 12pt"/>
    <w:basedOn w:val="DefaultParagraphFont"/>
    <w:uiPriority w:val="1"/>
    <w:qFormat/>
    <w:rsid w:val="000F0958"/>
    <w:rPr>
      <w:b/>
      <w:bCs/>
      <w:sz w:val="26"/>
    </w:rPr>
  </w:style>
  <w:style w:type="paragraph" w:styleId="DocumentMap">
    <w:name w:val="Document Map"/>
    <w:basedOn w:val="Normal"/>
    <w:link w:val="DocumentMapChar"/>
    <w:uiPriority w:val="99"/>
    <w:semiHidden/>
    <w:unhideWhenUsed/>
    <w:rsid w:val="000F095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F0958"/>
    <w:rPr>
      <w:rFonts w:ascii="Lucida Grande" w:eastAsiaTheme="minorHAnsi" w:hAnsi="Lucida Grande" w:cs="Lucida Grande"/>
    </w:rPr>
  </w:style>
  <w:style w:type="character" w:customStyle="1" w:styleId="underline">
    <w:name w:val="underline"/>
    <w:basedOn w:val="DefaultParagraphFont"/>
    <w:link w:val="textbold"/>
    <w:qFormat/>
    <w:rsid w:val="000F0958"/>
    <w:rPr>
      <w:b/>
      <w:u w:val="single"/>
    </w:rPr>
  </w:style>
  <w:style w:type="paragraph" w:customStyle="1" w:styleId="textbold">
    <w:name w:val="text bold"/>
    <w:basedOn w:val="Normal"/>
    <w:link w:val="underline"/>
    <w:rsid w:val="000F0958"/>
    <w:pPr>
      <w:ind w:left="720"/>
      <w:jc w:val="both"/>
    </w:pPr>
    <w:rPr>
      <w:rFonts w:asciiTheme="minorHAnsi" w:eastAsiaTheme="minorEastAsia" w:hAnsiTheme="minorHAnsi"/>
      <w:b/>
      <w:sz w:val="24"/>
      <w:szCs w:val="24"/>
      <w:u w:val="single"/>
    </w:rPr>
  </w:style>
  <w:style w:type="paragraph" w:customStyle="1" w:styleId="card">
    <w:name w:val="card"/>
    <w:basedOn w:val="Normal"/>
    <w:link w:val="cardChar"/>
    <w:qFormat/>
    <w:rsid w:val="000F0958"/>
    <w:pPr>
      <w:ind w:left="288" w:right="288"/>
    </w:pPr>
    <w:rPr>
      <w:rFonts w:eastAsia="MS Mincho" w:cs="Times New Roman"/>
      <w:szCs w:val="24"/>
    </w:rPr>
  </w:style>
  <w:style w:type="character" w:customStyle="1" w:styleId="cardChar">
    <w:name w:val="card Char"/>
    <w:basedOn w:val="DefaultParagraphFont"/>
    <w:link w:val="card"/>
    <w:rsid w:val="000F0958"/>
    <w:rPr>
      <w:rFonts w:ascii="Calibri" w:eastAsia="MS Mincho" w:hAnsi="Calibri"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0958"/>
    <w:rPr>
      <w:rFonts w:ascii="Calibri" w:eastAsiaTheme="minorHAnsi" w:hAnsi="Calibri"/>
      <w:sz w:val="22"/>
      <w:szCs w:val="22"/>
    </w:rPr>
  </w:style>
  <w:style w:type="paragraph" w:styleId="Heading4">
    <w:name w:val="heading 4"/>
    <w:aliases w:val="Tag"/>
    <w:basedOn w:val="Normal"/>
    <w:next w:val="Normal"/>
    <w:link w:val="Heading4Char"/>
    <w:qFormat/>
    <w:rsid w:val="000F09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rsid w:val="000F0958"/>
    <w:rPr>
      <w:rFonts w:ascii="Calibri" w:eastAsiaTheme="majorEastAsia" w:hAnsi="Calibri" w:cstheme="majorBidi"/>
      <w:b/>
      <w:bCs/>
      <w:iCs/>
      <w:sz w:val="26"/>
      <w:szCs w:val="22"/>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0F0958"/>
    <w:rPr>
      <w:b/>
      <w:bCs/>
      <w:u w:val="single"/>
    </w:rPr>
  </w:style>
  <w:style w:type="character" w:customStyle="1" w:styleId="StyleStyleBold12pt">
    <w:name w:val="Style Style Bold + 12 pt"/>
    <w:aliases w:val="Cite,Style Style Bold,Style Style Bold + 12pt"/>
    <w:basedOn w:val="DefaultParagraphFont"/>
    <w:uiPriority w:val="1"/>
    <w:qFormat/>
    <w:rsid w:val="000F0958"/>
    <w:rPr>
      <w:b/>
      <w:bCs/>
      <w:sz w:val="26"/>
    </w:rPr>
  </w:style>
  <w:style w:type="paragraph" w:styleId="DocumentMap">
    <w:name w:val="Document Map"/>
    <w:basedOn w:val="Normal"/>
    <w:link w:val="DocumentMapChar"/>
    <w:uiPriority w:val="99"/>
    <w:semiHidden/>
    <w:unhideWhenUsed/>
    <w:rsid w:val="000F095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F0958"/>
    <w:rPr>
      <w:rFonts w:ascii="Lucida Grande" w:eastAsiaTheme="minorHAnsi" w:hAnsi="Lucida Grande" w:cs="Lucida Grande"/>
    </w:rPr>
  </w:style>
  <w:style w:type="character" w:customStyle="1" w:styleId="underline">
    <w:name w:val="underline"/>
    <w:basedOn w:val="DefaultParagraphFont"/>
    <w:link w:val="textbold"/>
    <w:qFormat/>
    <w:rsid w:val="000F0958"/>
    <w:rPr>
      <w:b/>
      <w:u w:val="single"/>
    </w:rPr>
  </w:style>
  <w:style w:type="paragraph" w:customStyle="1" w:styleId="textbold">
    <w:name w:val="text bold"/>
    <w:basedOn w:val="Normal"/>
    <w:link w:val="underline"/>
    <w:rsid w:val="000F0958"/>
    <w:pPr>
      <w:ind w:left="720"/>
      <w:jc w:val="both"/>
    </w:pPr>
    <w:rPr>
      <w:rFonts w:asciiTheme="minorHAnsi" w:eastAsiaTheme="minorEastAsia" w:hAnsiTheme="minorHAnsi"/>
      <w:b/>
      <w:sz w:val="24"/>
      <w:szCs w:val="24"/>
      <w:u w:val="single"/>
    </w:rPr>
  </w:style>
  <w:style w:type="paragraph" w:customStyle="1" w:styleId="card">
    <w:name w:val="card"/>
    <w:basedOn w:val="Normal"/>
    <w:link w:val="cardChar"/>
    <w:qFormat/>
    <w:rsid w:val="000F0958"/>
    <w:pPr>
      <w:ind w:left="288" w:right="288"/>
    </w:pPr>
    <w:rPr>
      <w:rFonts w:eastAsia="MS Mincho" w:cs="Times New Roman"/>
      <w:szCs w:val="24"/>
    </w:rPr>
  </w:style>
  <w:style w:type="character" w:customStyle="1" w:styleId="cardChar">
    <w:name w:val="card Char"/>
    <w:basedOn w:val="DefaultParagraphFont"/>
    <w:link w:val="card"/>
    <w:rsid w:val="000F0958"/>
    <w:rPr>
      <w:rFonts w:ascii="Calibri" w:eastAsia="MS Mincho"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rates.berkeley.edu/~hdreyfus/html/paper_being.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924</Words>
  <Characters>5270</Characters>
  <Application>Microsoft Macintosh Word</Application>
  <DocSecurity>0</DocSecurity>
  <Lines>43</Lines>
  <Paragraphs>12</Paragraphs>
  <ScaleCrop>false</ScaleCrop>
  <Company>University of Oregon</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2012-09-22T18:12:00Z</dcterms:created>
  <dcterms:modified xsi:type="dcterms:W3CDTF">2012-09-22T18:12:00Z</dcterms:modified>
</cp:coreProperties>
</file>