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1C9" w:rsidRDefault="002111C9" w:rsidP="002111C9">
      <w:pPr>
        <w:pStyle w:val="Heading3"/>
        <w:jc w:val="left"/>
      </w:pPr>
      <w:bookmarkStart w:id="0" w:name="_GoBack"/>
      <w:bookmarkEnd w:id="0"/>
    </w:p>
    <w:p w:rsidR="002111C9" w:rsidRDefault="002111C9" w:rsidP="002111C9"/>
    <w:p w:rsidR="002111C9" w:rsidRDefault="002111C9" w:rsidP="002111C9">
      <w:pPr>
        <w:pStyle w:val="Heading3"/>
      </w:pPr>
      <w:r>
        <w:lastRenderedPageBreak/>
        <w:t>1NC</w:t>
      </w:r>
    </w:p>
    <w:p w:rsidR="002111C9" w:rsidRDefault="002111C9" w:rsidP="002111C9">
      <w:pPr>
        <w:pStyle w:val="Heading4"/>
      </w:pPr>
      <w:r>
        <w:t>A. Interpretation: crude oil is raw petroleum, as it comes from the ground</w:t>
      </w:r>
    </w:p>
    <w:p w:rsidR="002111C9" w:rsidRDefault="002111C9" w:rsidP="002111C9">
      <w:r>
        <w:rPr>
          <w:rStyle w:val="StyleStyleBold12pt"/>
        </w:rPr>
        <w:t xml:space="preserve">Hunt 79 </w:t>
      </w:r>
      <w:r w:rsidRPr="00C26165">
        <w:t>[</w:t>
      </w:r>
      <w:r>
        <w:t>Manager, Energy Systems Division, McLaughlin Research Corporation]</w:t>
      </w:r>
    </w:p>
    <w:p w:rsidR="002111C9" w:rsidRDefault="002111C9" w:rsidP="002111C9">
      <w:r>
        <w:t>V. Daniel, ENERGY DICTIONARY, p. 106]</w:t>
      </w:r>
    </w:p>
    <w:p w:rsidR="002111C9" w:rsidRPr="00C26165" w:rsidRDefault="002111C9" w:rsidP="002111C9">
      <w:pPr>
        <w:rPr>
          <w:b/>
          <w:u w:val="single"/>
        </w:rPr>
      </w:pPr>
      <w:proofErr w:type="gramStart"/>
      <w:r w:rsidRPr="00C26165">
        <w:rPr>
          <w:b/>
        </w:rPr>
        <w:t>crude</w:t>
      </w:r>
      <w:proofErr w:type="gramEnd"/>
      <w:r w:rsidRPr="00C26165">
        <w:rPr>
          <w:b/>
        </w:rPr>
        <w:t xml:space="preserve"> oil</w:t>
      </w:r>
      <w:r>
        <w:t xml:space="preserve">. </w:t>
      </w:r>
      <w:r w:rsidRPr="00C26165">
        <w:rPr>
          <w:b/>
          <w:u w:val="single"/>
        </w:rPr>
        <w:t>Raw petroleum as it comes from the earth, in its natural unprocessed,</w:t>
      </w:r>
    </w:p>
    <w:p w:rsidR="002111C9" w:rsidRDefault="002111C9" w:rsidP="002111C9">
      <w:proofErr w:type="gramStart"/>
      <w:r w:rsidRPr="00C26165">
        <w:rPr>
          <w:b/>
          <w:u w:val="single"/>
        </w:rPr>
        <w:t>unrefined</w:t>
      </w:r>
      <w:proofErr w:type="gramEnd"/>
      <w:r w:rsidRPr="00C26165">
        <w:rPr>
          <w:b/>
          <w:u w:val="single"/>
        </w:rPr>
        <w:t xml:space="preserve"> state</w:t>
      </w:r>
      <w:r>
        <w:t>. It is composed principally of hydrocarbons with traces of sulfur,</w:t>
      </w:r>
    </w:p>
    <w:p w:rsidR="002111C9" w:rsidRDefault="002111C9" w:rsidP="002111C9">
      <w:proofErr w:type="gramStart"/>
      <w:r>
        <w:t>nitrogen</w:t>
      </w:r>
      <w:proofErr w:type="gramEnd"/>
      <w:r>
        <w:t>, or oxygen compounds. It is liquid at atmospheric pressure after passing</w:t>
      </w:r>
    </w:p>
    <w:p w:rsidR="002111C9" w:rsidRDefault="002111C9" w:rsidP="002111C9">
      <w:proofErr w:type="gramStart"/>
      <w:r>
        <w:t>through</w:t>
      </w:r>
      <w:proofErr w:type="gramEnd"/>
      <w:r>
        <w:t xml:space="preserve"> surface separating processes and does not include natural gas products.</w:t>
      </w:r>
    </w:p>
    <w:p w:rsidR="002111C9" w:rsidRPr="003D7C0A" w:rsidRDefault="002111C9" w:rsidP="002111C9">
      <w:pPr>
        <w:pStyle w:val="Heading4"/>
        <w:rPr>
          <w:rStyle w:val="StyleStyleBold12pt"/>
          <w:b/>
          <w:bCs/>
        </w:rPr>
      </w:pPr>
      <w:r w:rsidRPr="003D7C0A">
        <w:rPr>
          <w:rStyle w:val="StyleStyleBold12pt"/>
          <w:b/>
        </w:rPr>
        <w:t>The newest definitions exclude biofuels from oil production</w:t>
      </w:r>
    </w:p>
    <w:p w:rsidR="002111C9" w:rsidRDefault="002111C9" w:rsidP="002111C9">
      <w:r w:rsidRPr="003D7C0A">
        <w:rPr>
          <w:rStyle w:val="StyleStyleBold12pt"/>
        </w:rPr>
        <w:t>EPI 7</w:t>
      </w:r>
      <w:r>
        <w:t xml:space="preserve"> (Earth Policy Institute, “World Oil Production, 1950-2007,” November, www.earthpolicy.org/datacenter/xls/book_pb3_ch2_1.xls)</w:t>
      </w:r>
    </w:p>
    <w:p w:rsidR="002111C9" w:rsidRDefault="002111C9" w:rsidP="002111C9">
      <w:r>
        <w:t xml:space="preserve">Note: </w:t>
      </w:r>
      <w:r w:rsidRPr="003D7C0A">
        <w:rPr>
          <w:rStyle w:val="StyleBoldUnderline"/>
        </w:rPr>
        <w:t>Oil production includes natural gas liquids, oil from non-conventional sources, and processing gains. IEA oil production data has been corrected to remove biofuel production</w:t>
      </w:r>
      <w:r>
        <w:t>, and so differs from values given in Chapter 2 text.</w:t>
      </w:r>
    </w:p>
    <w:p w:rsidR="002111C9" w:rsidRDefault="002111C9" w:rsidP="002111C9">
      <w:pPr>
        <w:pStyle w:val="Heading4"/>
      </w:pPr>
      <w:r>
        <w:t xml:space="preserve">B. Violation—the plan directly subsidizes ALGAE production NOT one of the energies listed in the topic </w:t>
      </w:r>
    </w:p>
    <w:p w:rsidR="002111C9" w:rsidRDefault="002111C9" w:rsidP="002111C9">
      <w:pPr>
        <w:pStyle w:val="Heading4"/>
      </w:pPr>
      <w:r>
        <w:t>C. Reasons to prefer:</w:t>
      </w:r>
    </w:p>
    <w:p w:rsidR="002111C9" w:rsidRDefault="002111C9" w:rsidP="002111C9">
      <w:pPr>
        <w:pStyle w:val="Heading4"/>
      </w:pPr>
      <w:r>
        <w:t>1. Limits: allowing non-listed energies explodes the topic—they could literally invest in ANY plant in existence and claim that it provides energy</w:t>
      </w:r>
    </w:p>
    <w:p w:rsidR="002111C9" w:rsidRDefault="002111C9" w:rsidP="002111C9">
      <w:pPr>
        <w:pStyle w:val="Heading4"/>
      </w:pPr>
      <w:r>
        <w:t xml:space="preserve">2. Ground: they can spike out of all our crude oil strategies by claiming to be a different form of oil—means we can’t read any of our generic strategies which are key to </w:t>
      </w:r>
      <w:proofErr w:type="spellStart"/>
      <w:r>
        <w:t>neg</w:t>
      </w:r>
      <w:proofErr w:type="spellEnd"/>
      <w:r>
        <w:t xml:space="preserve"> ground on an already very large topic</w:t>
      </w:r>
    </w:p>
    <w:p w:rsidR="002111C9" w:rsidRDefault="002111C9" w:rsidP="002111C9">
      <w:pPr>
        <w:pStyle w:val="Heading4"/>
      </w:pPr>
      <w:r>
        <w:t xml:space="preserve">2. Effects bad: Plan is a direct investment in </w:t>
      </w:r>
      <w:r w:rsidRPr="0033418B">
        <w:rPr>
          <w:i/>
        </w:rPr>
        <w:t>algae</w:t>
      </w:r>
      <w:r>
        <w:t xml:space="preserve"> and not crude oil itself. They’ll say it can be converted but that means it’s NOT crude oil—this is from their 1AC card:</w:t>
      </w:r>
    </w:p>
    <w:p w:rsidR="002111C9" w:rsidRDefault="002111C9" w:rsidP="002111C9">
      <w:r w:rsidRPr="00995E4C">
        <w:rPr>
          <w:rStyle w:val="StyleStyleBold12pt"/>
        </w:rPr>
        <w:t>UPI 12</w:t>
      </w:r>
      <w:r>
        <w:t xml:space="preserve"> (UPI, Energy Resources: U.S. Energy Department backs plan to produce algae crude oil Jan 16, 2012, United Press International, 8-13-12</w:t>
      </w:r>
      <w:proofErr w:type="gramStart"/>
      <w:r>
        <w:t>,  http</w:t>
      </w:r>
      <w:proofErr w:type="gramEnd"/>
      <w:r>
        <w:t>://www.upi.com/Business_News/Energy-Resources/2012/01/16/US-Energy-Department-backs-plan-to-produce-algae-crude-oil/UPI-61091326752182/#ixzz22yEYbJZ6)</w:t>
      </w:r>
    </w:p>
    <w:p w:rsidR="002111C9" w:rsidRDefault="002111C9" w:rsidP="002111C9">
      <w:r w:rsidRPr="00995E4C">
        <w:rPr>
          <w:rStyle w:val="StyleBoldUnderline"/>
        </w:rPr>
        <w:t xml:space="preserve">Raw algae can be converted into </w:t>
      </w:r>
      <w:r w:rsidRPr="00995E4C">
        <w:rPr>
          <w:rStyle w:val="Emphasis"/>
        </w:rPr>
        <w:t>a</w:t>
      </w:r>
      <w:r w:rsidRPr="00995E4C">
        <w:rPr>
          <w:rStyle w:val="StyleBoldUnderline"/>
        </w:rPr>
        <w:t xml:space="preserve"> crude oil</w:t>
      </w:r>
      <w:r>
        <w:t xml:space="preserve"> that can be processed at existing petroleum refineries before distribution as a substitute for gasoline and other processed fuels, new research has found.</w:t>
      </w:r>
    </w:p>
    <w:p w:rsidR="002111C9" w:rsidRPr="00995E4C" w:rsidRDefault="002111C9" w:rsidP="002111C9"/>
    <w:p w:rsidR="002111C9" w:rsidRDefault="002111C9" w:rsidP="002111C9">
      <w:pPr>
        <w:pStyle w:val="Heading4"/>
        <w:ind w:left="720"/>
      </w:pPr>
      <w:r>
        <w:t xml:space="preserve">A. </w:t>
      </w:r>
      <w:proofErr w:type="spellStart"/>
      <w:r>
        <w:t>Unlimits</w:t>
      </w:r>
      <w:proofErr w:type="spellEnd"/>
      <w:r>
        <w:t xml:space="preserve"> the topic and means any action taken could eventually be topical</w:t>
      </w:r>
    </w:p>
    <w:p w:rsidR="002111C9" w:rsidRDefault="002111C9" w:rsidP="002111C9">
      <w:pPr>
        <w:pStyle w:val="Heading4"/>
        <w:ind w:left="720"/>
      </w:pPr>
      <w:r>
        <w:t xml:space="preserve">B. Unpredictable and unfair research burden: we can’t predict and research the rash of </w:t>
      </w:r>
      <w:proofErr w:type="spellStart"/>
      <w:r>
        <w:t>untopical</w:t>
      </w:r>
      <w:proofErr w:type="spellEnd"/>
      <w:r>
        <w:t xml:space="preserve"> actions that they justify</w:t>
      </w:r>
    </w:p>
    <w:p w:rsidR="002111C9" w:rsidRDefault="002111C9" w:rsidP="002111C9">
      <w:pPr>
        <w:pStyle w:val="Heading4"/>
      </w:pPr>
      <w:r>
        <w:t>3. Voter for fairness and education</w:t>
      </w:r>
    </w:p>
    <w:p w:rsidR="002111C9" w:rsidRDefault="002111C9" w:rsidP="002111C9">
      <w:pPr>
        <w:pStyle w:val="Heading4"/>
      </w:pPr>
      <w:r>
        <w:tab/>
      </w:r>
    </w:p>
    <w:p w:rsidR="002111C9" w:rsidRDefault="002111C9" w:rsidP="002111C9">
      <w:pPr>
        <w:pStyle w:val="Heading3"/>
      </w:pPr>
      <w:r>
        <w:lastRenderedPageBreak/>
        <w:t>A2: Perm – Do Both</w:t>
      </w:r>
    </w:p>
    <w:p w:rsidR="002111C9" w:rsidRDefault="002111C9" w:rsidP="002111C9">
      <w:pPr>
        <w:pStyle w:val="Heading4"/>
      </w:pPr>
      <w:r>
        <w:t>-- Links to politics – includes immediate federal action</w:t>
      </w:r>
      <w:r w:rsidRPr="00C673EF">
        <w:t xml:space="preserve">. </w:t>
      </w:r>
      <w:smartTag w:uri="urn:schemas-microsoft-com:office:smarttags" w:element="City">
        <w:smartTag w:uri="urn:schemas-microsoft-com:office:smarttags" w:element="place">
          <w:r w:rsidRPr="00C673EF">
            <w:t>Perm</w:t>
          </w:r>
        </w:smartTag>
      </w:smartTag>
      <w:r w:rsidRPr="00C673EF">
        <w:t xml:space="preserve"> doesn’t shield: state support is slow. Delay means it won’t take effect until after the vote.</w:t>
      </w:r>
      <w:r>
        <w:t xml:space="preserve"> </w:t>
      </w:r>
    </w:p>
    <w:p w:rsidR="002111C9" w:rsidRDefault="002111C9" w:rsidP="002111C9">
      <w:pPr>
        <w:pStyle w:val="Heading4"/>
      </w:pPr>
      <w:r>
        <w:t xml:space="preserve">*-- Impossible – CP transfers authority to the states. The federal government can’t do it while transferring authority to the states – if they can – it’s intrinsic because it adds a new time element that is neither in the plan or counterplan – that’s a voting issue </w:t>
      </w:r>
    </w:p>
    <w:p w:rsidR="002111C9" w:rsidRDefault="002111C9" w:rsidP="002111C9">
      <w:pPr>
        <w:pStyle w:val="Heading4"/>
      </w:pPr>
      <w:r>
        <w:t>Federal policies crowd out the states—reduces demand for state action</w:t>
      </w:r>
    </w:p>
    <w:p w:rsidR="002111C9" w:rsidRDefault="002111C9" w:rsidP="002111C9">
      <w:r w:rsidRPr="001B1482">
        <w:rPr>
          <w:rStyle w:val="StyleStyleBold12pt"/>
        </w:rPr>
        <w:t>Adler 7</w:t>
      </w:r>
      <w:r>
        <w:t xml:space="preserve"> (Jonathan H – Professor of Law and Co-Director, Center for Business Law and Regulation, Case Western Reserve University School of Law, ., “WHEN IS TWO A CROWD? THE IMPACT OF</w:t>
      </w:r>
    </w:p>
    <w:p w:rsidR="002111C9" w:rsidRDefault="002111C9" w:rsidP="002111C9">
      <w:r>
        <w:t xml:space="preserve">FEDERAL ACTION ON STATE ENVIRONMENTAL REGULATION”, 31 </w:t>
      </w:r>
      <w:proofErr w:type="spellStart"/>
      <w:r>
        <w:t>Harv</w:t>
      </w:r>
      <w:proofErr w:type="spellEnd"/>
      <w:r>
        <w:t xml:space="preserve">. </w:t>
      </w:r>
      <w:proofErr w:type="spellStart"/>
      <w:proofErr w:type="gramStart"/>
      <w:r>
        <w:t>Envtl</w:t>
      </w:r>
      <w:proofErr w:type="spellEnd"/>
      <w:r>
        <w:t>.</w:t>
      </w:r>
      <w:proofErr w:type="gramEnd"/>
      <w:r>
        <w:t xml:space="preserve"> L. Rev. 67, Lexis)</w:t>
      </w:r>
    </w:p>
    <w:p w:rsidR="002111C9" w:rsidRDefault="002111C9" w:rsidP="002111C9">
      <w:r w:rsidRPr="002111C9">
        <w:t xml:space="preserve">A second potential negative indirect effect of federal regulation on state regulatory choices is crowding </w:t>
      </w:r>
    </w:p>
    <w:p w:rsidR="002111C9" w:rsidRDefault="002111C9" w:rsidP="002111C9">
      <w:r>
        <w:t>AND</w:t>
      </w:r>
    </w:p>
    <w:p w:rsidR="002111C9" w:rsidRPr="002111C9" w:rsidRDefault="002111C9" w:rsidP="002111C9">
      <w:proofErr w:type="gramStart"/>
      <w:r w:rsidRPr="002111C9">
        <w:t>lower</w:t>
      </w:r>
      <w:proofErr w:type="gramEnd"/>
      <w:r w:rsidRPr="002111C9">
        <w:t xml:space="preserve"> with federal regulation than it would be without it. [*102]</w:t>
      </w:r>
    </w:p>
    <w:p w:rsidR="002111C9" w:rsidRPr="006A5CAF" w:rsidRDefault="002111C9" w:rsidP="002111C9">
      <w:pPr>
        <w:pStyle w:val="Heading4"/>
      </w:pPr>
      <w:r w:rsidRPr="006A5CAF">
        <w:t xml:space="preserve">Perm fails </w:t>
      </w:r>
      <w:r>
        <w:t>–</w:t>
      </w:r>
      <w:r w:rsidRPr="006A5CAF">
        <w:t xml:space="preserve"> preemption</w:t>
      </w:r>
      <w:r>
        <w:t xml:space="preserve"> means it’s net worse</w:t>
      </w:r>
    </w:p>
    <w:p w:rsidR="002111C9" w:rsidRPr="006A5CAF" w:rsidRDefault="002111C9" w:rsidP="002111C9">
      <w:proofErr w:type="spellStart"/>
      <w:r w:rsidRPr="006A5CAF">
        <w:rPr>
          <w:rStyle w:val="StyleStyleBold12pt"/>
        </w:rPr>
        <w:t>Leshy</w:t>
      </w:r>
      <w:proofErr w:type="spellEnd"/>
      <w:r w:rsidRPr="006A5CAF">
        <w:rPr>
          <w:rStyle w:val="StyleStyleBold12pt"/>
        </w:rPr>
        <w:t xml:space="preserve"> 4</w:t>
      </w:r>
      <w:r w:rsidRPr="006A5CAF">
        <w:t xml:space="preserve"> (John D., Distinguished Professor of Law – University of California Hastings College of the Law, “Natural Resources Policy in the Bush Administration: an Outsider's Somewhat Jaundiced Assessment,” Duke Environmental Law &amp; Policy Forum, </w:t>
      </w:r>
      <w:proofErr w:type="gramStart"/>
      <w:r w:rsidRPr="006A5CAF">
        <w:t>Spring</w:t>
      </w:r>
      <w:proofErr w:type="gramEnd"/>
      <w:r w:rsidRPr="006A5CAF">
        <w:t xml:space="preserve">, 14 Duke </w:t>
      </w:r>
      <w:proofErr w:type="spellStart"/>
      <w:r w:rsidRPr="006A5CAF">
        <w:t>Envtl</w:t>
      </w:r>
      <w:proofErr w:type="spellEnd"/>
      <w:r w:rsidRPr="006A5CAF">
        <w:t xml:space="preserve">. L. &amp; </w:t>
      </w:r>
      <w:proofErr w:type="spellStart"/>
      <w:r w:rsidRPr="006A5CAF">
        <w:t>Pol'y</w:t>
      </w:r>
      <w:proofErr w:type="spellEnd"/>
      <w:r w:rsidRPr="006A5CAF">
        <w:t xml:space="preserve"> F. 347, Lexis)</w:t>
      </w:r>
    </w:p>
    <w:p w:rsidR="002111C9" w:rsidRDefault="002111C9" w:rsidP="002111C9">
      <w:r w:rsidRPr="002111C9">
        <w:t xml:space="preserve">VI. Traditional conservative principles, like promoting free markets and devolving governmental responsibilities to </w:t>
      </w:r>
    </w:p>
    <w:p w:rsidR="002111C9" w:rsidRDefault="002111C9" w:rsidP="002111C9">
      <w:r>
        <w:t>AND</w:t>
      </w:r>
    </w:p>
    <w:p w:rsidR="002111C9" w:rsidRPr="002111C9" w:rsidRDefault="002111C9" w:rsidP="002111C9">
      <w:proofErr w:type="gramStart"/>
      <w:r w:rsidRPr="002111C9">
        <w:t>preempt</w:t>
      </w:r>
      <w:proofErr w:type="gramEnd"/>
      <w:r w:rsidRPr="002111C9">
        <w:t xml:space="preserve"> state regulation of rights-of-way for energy facilities. n42</w:t>
      </w:r>
    </w:p>
    <w:p w:rsidR="002111C9" w:rsidRDefault="002111C9" w:rsidP="002111C9">
      <w:pPr>
        <w:pStyle w:val="Heading4"/>
      </w:pPr>
      <w:r>
        <w:t>Doesn’t solve</w:t>
      </w:r>
    </w:p>
    <w:p w:rsidR="002111C9" w:rsidRDefault="002111C9" w:rsidP="002111C9">
      <w:r w:rsidRPr="006F1CC9">
        <w:rPr>
          <w:rStyle w:val="StyleStyleBold12pt"/>
        </w:rPr>
        <w:t>Zimmerman 1</w:t>
      </w:r>
      <w:r>
        <w:t xml:space="preserve"> (</w:t>
      </w:r>
      <w:r w:rsidRPr="00283B8B">
        <w:t xml:space="preserve">Joseph F., Professor of Political Science </w:t>
      </w:r>
      <w:r>
        <w:t xml:space="preserve">– </w:t>
      </w:r>
      <w:r w:rsidRPr="00283B8B">
        <w:t xml:space="preserve">State University of New York at Albany, </w:t>
      </w:r>
      <w:proofErr w:type="spellStart"/>
      <w:r w:rsidRPr="00283B8B">
        <w:t>Publius</w:t>
      </w:r>
      <w:proofErr w:type="spellEnd"/>
      <w:r>
        <w:t>, Spring, p 16)</w:t>
      </w:r>
    </w:p>
    <w:p w:rsidR="002111C9" w:rsidRDefault="002111C9" w:rsidP="002111C9">
      <w:r w:rsidRPr="002111C9">
        <w:t xml:space="preserve">Examining this list, it becomes apparent that different institutional features of the federal structure </w:t>
      </w:r>
    </w:p>
    <w:p w:rsidR="002111C9" w:rsidRDefault="002111C9" w:rsidP="002111C9">
      <w:r>
        <w:t>AND</w:t>
      </w:r>
    </w:p>
    <w:p w:rsidR="002111C9" w:rsidRPr="002111C9" w:rsidRDefault="002111C9" w:rsidP="002111C9">
      <w:proofErr w:type="gramStart"/>
      <w:r w:rsidRPr="002111C9">
        <w:t>definition</w:t>
      </w:r>
      <w:proofErr w:type="gramEnd"/>
      <w:r w:rsidRPr="002111C9">
        <w:t xml:space="preserve"> requires that different states attempt different solutions to the same social problems.</w:t>
      </w:r>
    </w:p>
    <w:p w:rsidR="002111C9" w:rsidRDefault="002111C9" w:rsidP="002111C9"/>
    <w:p w:rsidR="002111C9" w:rsidRDefault="002111C9" w:rsidP="002111C9">
      <w:pPr>
        <w:pStyle w:val="Heading3"/>
      </w:pPr>
      <w:r>
        <w:lastRenderedPageBreak/>
        <w:t>Solves – 2NC – 50 States</w:t>
      </w:r>
    </w:p>
    <w:p w:rsidR="002111C9" w:rsidRDefault="002111C9" w:rsidP="002111C9">
      <w:pPr>
        <w:pStyle w:val="Heading4"/>
      </w:pPr>
      <w:r>
        <w:t xml:space="preserve">Counterplan solves 100% of case – </w:t>
      </w:r>
    </w:p>
    <w:p w:rsidR="002111C9" w:rsidRDefault="002111C9" w:rsidP="002111C9">
      <w:pPr>
        <w:pStyle w:val="Heading4"/>
      </w:pPr>
      <w:r>
        <w:t>CP solves better - Closer ties to the market mean that states solve better through a bottom up approach to energy policy that allows them to be more responsive to challenges than the federal government – that’s Milford 10</w:t>
      </w:r>
    </w:p>
    <w:p w:rsidR="002111C9" w:rsidRDefault="002111C9" w:rsidP="002111C9">
      <w:pPr>
        <w:pStyle w:val="Heading4"/>
      </w:pPr>
      <w:r>
        <w:t>Incentives from states work just as well</w:t>
      </w:r>
    </w:p>
    <w:p w:rsidR="002111C9" w:rsidRPr="00E93660" w:rsidRDefault="002111C9" w:rsidP="002111C9">
      <w:pPr>
        <w:rPr>
          <w:rStyle w:val="StyleStyleBold12pt"/>
          <w:b w:val="0"/>
        </w:rPr>
      </w:pPr>
      <w:proofErr w:type="spellStart"/>
      <w:r>
        <w:rPr>
          <w:rStyle w:val="StyleStyleBold12pt"/>
        </w:rPr>
        <w:t>Zaidi</w:t>
      </w:r>
      <w:proofErr w:type="spellEnd"/>
      <w:r>
        <w:rPr>
          <w:rStyle w:val="StyleStyleBold12pt"/>
        </w:rPr>
        <w:t xml:space="preserve"> 7 </w:t>
      </w:r>
      <w:r>
        <w:rPr>
          <w:rStyle w:val="StyleStyleBold12pt"/>
          <w:b w:val="0"/>
        </w:rPr>
        <w:t>(</w:t>
      </w:r>
      <w:proofErr w:type="spellStart"/>
      <w:r>
        <w:rPr>
          <w:rStyle w:val="StyleStyleBold12pt"/>
          <w:b w:val="0"/>
        </w:rPr>
        <w:t>Kamaal</w:t>
      </w:r>
      <w:proofErr w:type="spellEnd"/>
      <w:r>
        <w:rPr>
          <w:rStyle w:val="StyleStyleBold12pt"/>
          <w:b w:val="0"/>
        </w:rPr>
        <w:t xml:space="preserve">, “WIND ENERGY AND ITS IMPACT ON FUTURE ENVIRONMENTAL POLICY PLANNING: POWERING RENEWABLE ENERGY IN CANADA AND ABROAD”, 2007, 11 Alb. L. </w:t>
      </w:r>
      <w:proofErr w:type="spellStart"/>
      <w:r>
        <w:rPr>
          <w:rStyle w:val="StyleStyleBold12pt"/>
          <w:b w:val="0"/>
        </w:rPr>
        <w:t>Envtl</w:t>
      </w:r>
      <w:proofErr w:type="spellEnd"/>
      <w:r>
        <w:rPr>
          <w:rStyle w:val="StyleStyleBold12pt"/>
          <w:b w:val="0"/>
        </w:rPr>
        <w:t>. Outlook 198, lexis)</w:t>
      </w:r>
    </w:p>
    <w:p w:rsidR="002111C9" w:rsidRDefault="002111C9" w:rsidP="002111C9">
      <w:r w:rsidRPr="002111C9">
        <w:t>The growing emergence of renewable energy highlights the importance of searching for cheaper, cleaner</w:t>
      </w:r>
    </w:p>
    <w:p w:rsidR="002111C9" w:rsidRDefault="002111C9" w:rsidP="002111C9">
      <w:r>
        <w:t>AND</w:t>
      </w:r>
    </w:p>
    <w:p w:rsidR="002111C9" w:rsidRPr="002111C9" w:rsidRDefault="002111C9" w:rsidP="002111C9">
      <w:proofErr w:type="gramStart"/>
      <w:r w:rsidRPr="002111C9">
        <w:t>wind</w:t>
      </w:r>
      <w:proofErr w:type="gramEnd"/>
      <w:r w:rsidRPr="002111C9">
        <w:t xml:space="preserve"> energy that minimizes [*274] the impact on local environments. n523</w:t>
      </w:r>
    </w:p>
    <w:p w:rsidR="002111C9" w:rsidRDefault="002111C9" w:rsidP="002111C9">
      <w:pPr>
        <w:rPr>
          <w:sz w:val="16"/>
        </w:rPr>
      </w:pPr>
    </w:p>
    <w:p w:rsidR="002111C9" w:rsidRPr="00054826" w:rsidRDefault="002111C9" w:rsidP="002111C9">
      <w:pPr>
        <w:rPr>
          <w:b/>
        </w:rPr>
      </w:pPr>
      <w:r w:rsidRPr="00054826">
        <w:rPr>
          <w:b/>
        </w:rPr>
        <w:t xml:space="preserve">States have the resources – are already providing some financial incentives and implementing energy policy details related to these incentives – that’s </w:t>
      </w:r>
      <w:proofErr w:type="spellStart"/>
      <w:r w:rsidRPr="00054826">
        <w:rPr>
          <w:b/>
        </w:rPr>
        <w:t>Piscitello</w:t>
      </w:r>
      <w:proofErr w:type="spellEnd"/>
      <w:r w:rsidRPr="00054826">
        <w:rPr>
          <w:b/>
        </w:rPr>
        <w:t xml:space="preserve"> and </w:t>
      </w:r>
      <w:proofErr w:type="spellStart"/>
      <w:r w:rsidRPr="00054826">
        <w:rPr>
          <w:b/>
        </w:rPr>
        <w:t>Bogach</w:t>
      </w:r>
      <w:proofErr w:type="spellEnd"/>
    </w:p>
    <w:p w:rsidR="002111C9" w:rsidRPr="00CE7D65" w:rsidRDefault="002111C9" w:rsidP="002111C9">
      <w:pPr>
        <w:pStyle w:val="Heading4"/>
        <w:rPr>
          <w:rStyle w:val="Emphasis"/>
          <w:rFonts w:cstheme="majorBidi"/>
          <w:b/>
          <w:iCs/>
          <w:u w:val="none"/>
          <w:bdr w:val="none" w:sz="0" w:space="0" w:color="auto"/>
        </w:rPr>
      </w:pPr>
      <w:r>
        <w:rPr>
          <w:rStyle w:val="Emphasis"/>
          <w:rFonts w:cstheme="majorBidi"/>
          <w:b/>
          <w:iCs/>
          <w:u w:val="none"/>
          <w:bdr w:val="none" w:sz="0" w:space="0" w:color="auto"/>
        </w:rPr>
        <w:t xml:space="preserve">Federal energy policy is implemented by the states anyway – any solvency deficit to the CP is a solvency deficit to the </w:t>
      </w:r>
      <w:proofErr w:type="spellStart"/>
      <w:r>
        <w:rPr>
          <w:rStyle w:val="Emphasis"/>
          <w:rFonts w:cstheme="majorBidi"/>
          <w:b/>
          <w:iCs/>
          <w:u w:val="none"/>
          <w:bdr w:val="none" w:sz="0" w:space="0" w:color="auto"/>
        </w:rPr>
        <w:t>aff</w:t>
      </w:r>
      <w:proofErr w:type="spellEnd"/>
    </w:p>
    <w:p w:rsidR="002111C9" w:rsidRPr="00CE7D65" w:rsidRDefault="002111C9" w:rsidP="002111C9">
      <w:pPr>
        <w:rPr>
          <w:rStyle w:val="Emphasis"/>
          <w:b w:val="0"/>
          <w:bCs/>
          <w:iCs w:val="0"/>
          <w:u w:val="none"/>
          <w:bdr w:val="none" w:sz="0" w:space="0" w:color="auto"/>
        </w:rPr>
      </w:pPr>
      <w:proofErr w:type="spellStart"/>
      <w:r>
        <w:rPr>
          <w:rStyle w:val="StyleStyleBold12pt"/>
        </w:rPr>
        <w:t>Rabe</w:t>
      </w:r>
      <w:proofErr w:type="spellEnd"/>
      <w:r>
        <w:rPr>
          <w:rStyle w:val="StyleStyleBold12pt"/>
        </w:rPr>
        <w:t xml:space="preserve"> 4 </w:t>
      </w:r>
      <w:r>
        <w:rPr>
          <w:rStyle w:val="StyleStyleBold12pt"/>
          <w:b w:val="0"/>
        </w:rPr>
        <w:t>(Barry G. – Professor of Environmental policy, University of Michigan, and Director – Program in the Environment, 2004, “Statehouse and Greenhouse: The Emerging Politics of American Climate Change”</w:t>
      </w:r>
      <w:proofErr w:type="gramStart"/>
      <w:r>
        <w:rPr>
          <w:rStyle w:val="StyleStyleBold12pt"/>
          <w:b w:val="0"/>
        </w:rPr>
        <w:t>,  pg</w:t>
      </w:r>
      <w:proofErr w:type="gramEnd"/>
      <w:r>
        <w:rPr>
          <w:rStyle w:val="StyleStyleBold12pt"/>
          <w:b w:val="0"/>
        </w:rPr>
        <w:t>. 17)</w:t>
      </w:r>
    </w:p>
    <w:p w:rsidR="002111C9" w:rsidRDefault="002111C9" w:rsidP="002111C9">
      <w:r w:rsidRPr="002111C9">
        <w:t xml:space="preserve">Climate change has not figured prominently in these studies, and yet many policy areas </w:t>
      </w:r>
    </w:p>
    <w:p w:rsidR="002111C9" w:rsidRDefault="002111C9" w:rsidP="002111C9">
      <w:r>
        <w:t>AND</w:t>
      </w:r>
    </w:p>
    <w:p w:rsidR="002111C9" w:rsidRPr="002111C9" w:rsidRDefault="002111C9" w:rsidP="002111C9">
      <w:proofErr w:type="gramStart"/>
      <w:r w:rsidRPr="002111C9">
        <w:t>continue</w:t>
      </w:r>
      <w:proofErr w:type="gramEnd"/>
      <w:r w:rsidRPr="002111C9">
        <w:t xml:space="preserve"> to be heavily influenced by regulatory initiatives form California and northeastern states.</w:t>
      </w:r>
    </w:p>
    <w:p w:rsidR="002111C9" w:rsidRDefault="002111C9" w:rsidP="002111C9">
      <w:pPr>
        <w:pStyle w:val="Heading4"/>
      </w:pPr>
      <w:r>
        <w:t>States can enact energy policy everywhere – solves the case</w:t>
      </w:r>
    </w:p>
    <w:p w:rsidR="002111C9" w:rsidRDefault="002111C9" w:rsidP="002111C9">
      <w:pPr>
        <w:rPr>
          <w:rStyle w:val="StyleStyleBold12pt"/>
          <w:b w:val="0"/>
        </w:rPr>
      </w:pPr>
      <w:proofErr w:type="spellStart"/>
      <w:r>
        <w:rPr>
          <w:rStyle w:val="StyleStyleBold12pt"/>
        </w:rPr>
        <w:t>Rabe</w:t>
      </w:r>
      <w:proofErr w:type="spellEnd"/>
      <w:r>
        <w:rPr>
          <w:rStyle w:val="StyleStyleBold12pt"/>
        </w:rPr>
        <w:t xml:space="preserve"> 4 </w:t>
      </w:r>
      <w:r>
        <w:rPr>
          <w:rStyle w:val="StyleStyleBold12pt"/>
          <w:b w:val="0"/>
        </w:rPr>
        <w:t>(Barry G. – Professor of Environmental policy, University of Michigan, and Director – Program in the Environment, 2004, “Statehouse and Greenhouse: The Emerging Politics of American Climate Change”</w:t>
      </w:r>
      <w:proofErr w:type="gramStart"/>
      <w:r>
        <w:rPr>
          <w:rStyle w:val="StyleStyleBold12pt"/>
          <w:b w:val="0"/>
        </w:rPr>
        <w:t>,  pg</w:t>
      </w:r>
      <w:proofErr w:type="gramEnd"/>
      <w:r>
        <w:rPr>
          <w:rStyle w:val="StyleStyleBold12pt"/>
          <w:b w:val="0"/>
        </w:rPr>
        <w:t>. 151)</w:t>
      </w:r>
    </w:p>
    <w:p w:rsidR="002111C9" w:rsidRDefault="002111C9" w:rsidP="002111C9">
      <w:r w:rsidRPr="002111C9">
        <w:t xml:space="preserve">Collectively, these policies may point to </w:t>
      </w:r>
      <w:proofErr w:type="gramStart"/>
      <w:r w:rsidRPr="002111C9">
        <w:t>an alternative</w:t>
      </w:r>
      <w:proofErr w:type="gramEnd"/>
      <w:r w:rsidRPr="002111C9">
        <w:t xml:space="preserve"> policy architecture for addressing climate change</w:t>
      </w:r>
    </w:p>
    <w:p w:rsidR="002111C9" w:rsidRDefault="002111C9" w:rsidP="002111C9">
      <w:r>
        <w:t>AND</w:t>
      </w:r>
    </w:p>
    <w:p w:rsidR="002111C9" w:rsidRPr="002111C9" w:rsidRDefault="002111C9" w:rsidP="002111C9">
      <w:proofErr w:type="gramStart"/>
      <w:r w:rsidRPr="002111C9">
        <w:t>programs</w:t>
      </w:r>
      <w:proofErr w:type="gramEnd"/>
      <w:r w:rsidRPr="002111C9">
        <w:t xml:space="preserve"> that disclose carbon dioxide emission levels to the state and general citizenry. </w:t>
      </w:r>
    </w:p>
    <w:p w:rsidR="002111C9" w:rsidRPr="00522845" w:rsidRDefault="002111C9" w:rsidP="002111C9"/>
    <w:p w:rsidR="002111C9" w:rsidRDefault="002111C9" w:rsidP="002111C9">
      <w:r>
        <w:t>Micro manage indict – block grants</w:t>
      </w:r>
    </w:p>
    <w:p w:rsidR="002111C9" w:rsidRDefault="002111C9" w:rsidP="002111C9"/>
    <w:p w:rsidR="002111C9" w:rsidRDefault="002111C9" w:rsidP="002111C9">
      <w:pPr>
        <w:pStyle w:val="Heading4"/>
      </w:pPr>
      <w:r>
        <w:t>Empirically false – we’ve had federalism for over 200 years with no impact</w:t>
      </w:r>
    </w:p>
    <w:p w:rsidR="002111C9" w:rsidRDefault="002111C9" w:rsidP="002111C9">
      <w:pPr>
        <w:pStyle w:val="Heading4"/>
      </w:pPr>
      <w:r>
        <w:t xml:space="preserve">No link – even if modeling occurs, NO evidence says they model </w:t>
      </w:r>
      <w:r>
        <w:rPr>
          <w:u w:val="single"/>
        </w:rPr>
        <w:t>individual</w:t>
      </w:r>
      <w:r>
        <w:t xml:space="preserve"> decisions; it assumes structure of government</w:t>
      </w:r>
    </w:p>
    <w:p w:rsidR="002111C9" w:rsidRDefault="002111C9" w:rsidP="002111C9">
      <w:pPr>
        <w:pStyle w:val="Heading4"/>
      </w:pPr>
      <w:r>
        <w:t>Energy decisions are already decentralized – the CP is a drop in the bucket</w:t>
      </w:r>
    </w:p>
    <w:p w:rsidR="002111C9" w:rsidRPr="00E140D0" w:rsidRDefault="002111C9" w:rsidP="002111C9">
      <w:pPr>
        <w:rPr>
          <w:rStyle w:val="StyleStyleBold12pt"/>
          <w:b w:val="0"/>
        </w:rPr>
      </w:pPr>
      <w:proofErr w:type="spellStart"/>
      <w:r>
        <w:rPr>
          <w:rStyle w:val="StyleStyleBold12pt"/>
        </w:rPr>
        <w:t>Klass</w:t>
      </w:r>
      <w:proofErr w:type="spellEnd"/>
      <w:r>
        <w:rPr>
          <w:rStyle w:val="StyleStyleBold12pt"/>
        </w:rPr>
        <w:t xml:space="preserve"> 12 </w:t>
      </w:r>
      <w:r>
        <w:rPr>
          <w:rStyle w:val="StyleStyleBold12pt"/>
          <w:b w:val="0"/>
        </w:rPr>
        <w:t xml:space="preserve">(Alexandra - Professor of Law, Associate Dean for Academic Affairs, and </w:t>
      </w:r>
      <w:proofErr w:type="spellStart"/>
      <w:r>
        <w:rPr>
          <w:rStyle w:val="StyleStyleBold12pt"/>
          <w:b w:val="0"/>
        </w:rPr>
        <w:t>Solly</w:t>
      </w:r>
      <w:proofErr w:type="spellEnd"/>
      <w:r>
        <w:rPr>
          <w:rStyle w:val="StyleStyleBold12pt"/>
          <w:b w:val="0"/>
        </w:rPr>
        <w:t xml:space="preserve"> Robins Distinguished Research Fellow, University of Minnesota Law School, “Interstate Transmission Challenges for Renewable Energy: A Federalism Mismatch”, 2012, http://www.law.northwestern.edu/searlecenter/papers/Klass_Transmission_Article_2_12.pdf)</w:t>
      </w:r>
    </w:p>
    <w:p w:rsidR="002111C9" w:rsidRDefault="002111C9" w:rsidP="002111C9">
      <w:r w:rsidRPr="002111C9">
        <w:t xml:space="preserve">In the absence of U.S. comprehensive federal policies to reduce greenhouse gas </w:t>
      </w:r>
    </w:p>
    <w:p w:rsidR="002111C9" w:rsidRDefault="002111C9" w:rsidP="002111C9">
      <w:r>
        <w:t>AND</w:t>
      </w:r>
    </w:p>
    <w:p w:rsidR="002111C9" w:rsidRPr="002111C9" w:rsidRDefault="002111C9" w:rsidP="002111C9">
      <w:r w:rsidRPr="002111C9">
        <w:t>)</w:t>
      </w:r>
      <w:proofErr w:type="gramStart"/>
      <w:r w:rsidRPr="002111C9">
        <w:t>,25</w:t>
      </w:r>
      <w:proofErr w:type="gramEnd"/>
      <w:r w:rsidRPr="002111C9">
        <w:t xml:space="preserve"> feed-in tariffs, tax incentives, and taxes.26</w:t>
      </w:r>
    </w:p>
    <w:p w:rsidR="002111C9" w:rsidRDefault="002111C9" w:rsidP="002111C9">
      <w:pPr>
        <w:pStyle w:val="tag"/>
      </w:pPr>
      <w:r>
        <w:t>.  State policies cause growing production of Biofuels</w:t>
      </w:r>
    </w:p>
    <w:p w:rsidR="002111C9" w:rsidRDefault="002111C9" w:rsidP="002111C9">
      <w:pPr>
        <w:pStyle w:val="card"/>
        <w:ind w:left="0"/>
      </w:pPr>
      <w:r>
        <w:t xml:space="preserve">Doug </w:t>
      </w:r>
      <w:proofErr w:type="spellStart"/>
      <w:r w:rsidRPr="006373C1">
        <w:rPr>
          <w:rStyle w:val="cite"/>
        </w:rPr>
        <w:t>Koplow</w:t>
      </w:r>
      <w:proofErr w:type="spellEnd"/>
      <w:r>
        <w:t>, Earth Track, Inc.,</w:t>
      </w:r>
      <w:r w:rsidRPr="006373C1">
        <w:rPr>
          <w:rStyle w:val="cite"/>
        </w:rPr>
        <w:t xml:space="preserve"> 2006</w:t>
      </w:r>
      <w:r>
        <w:t xml:space="preserve">, “BIOFUELS - AT WHAT </w:t>
      </w:r>
      <w:proofErr w:type="gramStart"/>
      <w:r>
        <w:t>COST ?</w:t>
      </w:r>
      <w:proofErr w:type="gramEnd"/>
      <w:r>
        <w:t xml:space="preserve"> Government support for ethanol and biodiesel in the United States,” http://www.globalsubsidies.org/files/assets/pdf/Brochure_-_US_Report.pdf MH</w:t>
      </w:r>
    </w:p>
    <w:p w:rsidR="002111C9" w:rsidRDefault="002111C9" w:rsidP="002111C9">
      <w:r w:rsidRPr="002111C9">
        <w:t>Tracking government subsidies to ethanol and biodiesel across the United States presents a major challenge</w:t>
      </w:r>
    </w:p>
    <w:p w:rsidR="002111C9" w:rsidRDefault="002111C9" w:rsidP="002111C9">
      <w:r>
        <w:t>AND</w:t>
      </w:r>
    </w:p>
    <w:p w:rsidR="002111C9" w:rsidRPr="006373C1" w:rsidRDefault="002111C9" w:rsidP="002111C9">
      <w:proofErr w:type="gramStart"/>
      <w:r w:rsidRPr="002111C9">
        <w:lastRenderedPageBreak/>
        <w:t>number</w:t>
      </w:r>
      <w:proofErr w:type="gramEnd"/>
      <w:r w:rsidRPr="002111C9">
        <w:t xml:space="preserve"> of large state subsidies that currently apply to only a small base. </w:t>
      </w:r>
    </w:p>
    <w:p w:rsidR="002111C9" w:rsidRPr="006373C1" w:rsidRDefault="002111C9" w:rsidP="002111C9">
      <w:pPr>
        <w:pStyle w:val="card"/>
      </w:pPr>
    </w:p>
    <w:p w:rsidR="002111C9" w:rsidRPr="006373C1" w:rsidRDefault="002111C9" w:rsidP="002111C9">
      <w:pPr>
        <w:pStyle w:val="card"/>
      </w:pPr>
    </w:p>
    <w:p w:rsidR="002111C9" w:rsidRDefault="002111C9" w:rsidP="002111C9">
      <w:pPr>
        <w:pStyle w:val="tag"/>
      </w:pPr>
      <w:r>
        <w:t>2. States can encourage private sector development for clean energy use by the military</w:t>
      </w:r>
    </w:p>
    <w:p w:rsidR="002111C9" w:rsidRDefault="002111C9" w:rsidP="002111C9">
      <w:pPr>
        <w:pStyle w:val="card"/>
        <w:ind w:left="0"/>
      </w:pPr>
      <w:r w:rsidRPr="00DE290D">
        <w:rPr>
          <w:rStyle w:val="cite"/>
        </w:rPr>
        <w:t>Associated Press, 7-24</w:t>
      </w:r>
      <w:r>
        <w:t>-2008, “Air Force sign clean energy agreements,” Lexis MH</w:t>
      </w:r>
    </w:p>
    <w:p w:rsidR="002111C9" w:rsidRDefault="002111C9" w:rsidP="002111C9">
      <w:r w:rsidRPr="002111C9">
        <w:t xml:space="preserve">The state, the U.S. Air Force and three New Mexico cities </w:t>
      </w:r>
    </w:p>
    <w:p w:rsidR="002111C9" w:rsidRDefault="002111C9" w:rsidP="002111C9">
      <w:r>
        <w:t>AND</w:t>
      </w:r>
    </w:p>
    <w:p w:rsidR="002111C9" w:rsidRPr="002111C9" w:rsidRDefault="002111C9" w:rsidP="002111C9">
      <w:proofErr w:type="gramStart"/>
      <w:r w:rsidRPr="002111C9">
        <w:t>could</w:t>
      </w:r>
      <w:proofErr w:type="gramEnd"/>
      <w:r w:rsidRPr="002111C9">
        <w:t xml:space="preserve"> be a cogeneration project to generate electricity and bio-methane gas.</w:t>
      </w:r>
    </w:p>
    <w:p w:rsidR="002111C9" w:rsidRPr="00D17C4E" w:rsidRDefault="002111C9" w:rsidP="002111C9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A36" w:rsidRDefault="00045A36" w:rsidP="005F5576">
      <w:r>
        <w:separator/>
      </w:r>
    </w:p>
  </w:endnote>
  <w:endnote w:type="continuationSeparator" w:id="0">
    <w:p w:rsidR="00045A36" w:rsidRDefault="00045A36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A36" w:rsidRDefault="00045A36" w:rsidP="005F5576">
      <w:r>
        <w:separator/>
      </w:r>
    </w:p>
  </w:footnote>
  <w:footnote w:type="continuationSeparator" w:id="0">
    <w:p w:rsidR="00045A36" w:rsidRDefault="00045A36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C9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5A36"/>
    <w:rsid w:val="00052A1D"/>
    <w:rsid w:val="00055E12"/>
    <w:rsid w:val="00064A59"/>
    <w:rsid w:val="0007162E"/>
    <w:rsid w:val="00073B9A"/>
    <w:rsid w:val="00090287"/>
    <w:rsid w:val="00090BA2"/>
    <w:rsid w:val="000978A3"/>
    <w:rsid w:val="00097BC1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479AD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11C9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255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E57AC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109E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 Char,Char1,Heading 3 Char3,Heading 3 Char4 Char Char,Heading 3 Char3 Char Char Char,Heading 3 Char1 Char Char Char Char,Heading 3 Char Char Char Char Char Char,Heading 3 Char1 Char Char Char Char Char Char"/>
    <w:basedOn w:val="Normal"/>
    <w:next w:val="Normal"/>
    <w:link w:val="Heading3Char"/>
    <w:uiPriority w:val="3"/>
    <w:qFormat/>
    <w:rsid w:val="00097BC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 Char Char, Char Char,Char1 Char,Heading 3 Char3 Char,Heading 3 Char4 Char Char Char,Heading 3 Char3 Char Char Char Char,Heading 3 Char1 Char Char Char Char Char,Heading 3 Char Char Char Char Char Char Char"/>
    <w:basedOn w:val="DefaultParagraphFont"/>
    <w:link w:val="Heading3"/>
    <w:uiPriority w:val="3"/>
    <w:rsid w:val="00097BC1"/>
    <w:rPr>
      <w:rFonts w:ascii="Times New Roman" w:eastAsiaTheme="majorEastAsia" w:hAnsi="Times New Roman" w:cstheme="majorBidi"/>
      <w:b/>
      <w:bCs/>
      <w:sz w:val="20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Cards + Font: 12 pt Char,Bold Cite Char,Citation Char Char Char,Heading 3 Char1 Char Char Char,ci,c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Style1">
    <w:name w:val="Style1"/>
    <w:basedOn w:val="Normal"/>
    <w:link w:val="Style1Char"/>
    <w:rsid w:val="002111C9"/>
    <w:rPr>
      <w:rFonts w:eastAsia="SimSu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locked/>
    <w:rsid w:val="002111C9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character" w:customStyle="1" w:styleId="cite">
    <w:name w:val="cite"/>
    <w:rsid w:val="002111C9"/>
    <w:rPr>
      <w:rFonts w:ascii="Times New Roman" w:hAnsi="Times New Roman"/>
      <w:b/>
      <w:sz w:val="24"/>
    </w:rPr>
  </w:style>
  <w:style w:type="paragraph" w:customStyle="1" w:styleId="tag">
    <w:name w:val="tag"/>
    <w:basedOn w:val="Normal"/>
    <w:rsid w:val="002111C9"/>
    <w:rPr>
      <w:rFonts w:eastAsia="Times New Roman"/>
      <w:b/>
      <w:sz w:val="24"/>
      <w:szCs w:val="20"/>
    </w:rPr>
  </w:style>
  <w:style w:type="paragraph" w:customStyle="1" w:styleId="card">
    <w:name w:val="card"/>
    <w:basedOn w:val="Normal"/>
    <w:rsid w:val="002111C9"/>
    <w:pPr>
      <w:ind w:left="288" w:right="288"/>
    </w:pPr>
    <w:rPr>
      <w:rFonts w:eastAsia="Times New Roman"/>
      <w:szCs w:val="20"/>
    </w:rPr>
  </w:style>
  <w:style w:type="character" w:customStyle="1" w:styleId="underline">
    <w:name w:val="underline"/>
    <w:rsid w:val="002111C9"/>
    <w:rPr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 Char,Char1,Heading 3 Char3,Heading 3 Char4 Char Char,Heading 3 Char3 Char Char Char,Heading 3 Char1 Char Char Char Char,Heading 3 Char Char Char Char Char Char,Heading 3 Char1 Char Char Char Char Char Char"/>
    <w:basedOn w:val="Normal"/>
    <w:next w:val="Normal"/>
    <w:link w:val="Heading3Char"/>
    <w:uiPriority w:val="3"/>
    <w:qFormat/>
    <w:rsid w:val="00097BC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 Char Char, Char Char,Char1 Char,Heading 3 Char3 Char,Heading 3 Char4 Char Char Char,Heading 3 Char3 Char Char Char Char,Heading 3 Char1 Char Char Char Char Char,Heading 3 Char Char Char Char Char Char Char"/>
    <w:basedOn w:val="DefaultParagraphFont"/>
    <w:link w:val="Heading3"/>
    <w:uiPriority w:val="3"/>
    <w:rsid w:val="00097BC1"/>
    <w:rPr>
      <w:rFonts w:ascii="Times New Roman" w:eastAsiaTheme="majorEastAsia" w:hAnsi="Times New Roman" w:cstheme="majorBidi"/>
      <w:b/>
      <w:bCs/>
      <w:sz w:val="20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Cards + Font: 12 pt Char,Bold Cite Char,Citation Char Char Char,Heading 3 Char1 Char Char Char,ci,c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Style1">
    <w:name w:val="Style1"/>
    <w:basedOn w:val="Normal"/>
    <w:link w:val="Style1Char"/>
    <w:rsid w:val="002111C9"/>
    <w:rPr>
      <w:rFonts w:eastAsia="SimSu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locked/>
    <w:rsid w:val="002111C9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character" w:customStyle="1" w:styleId="cite">
    <w:name w:val="cite"/>
    <w:rsid w:val="002111C9"/>
    <w:rPr>
      <w:rFonts w:ascii="Times New Roman" w:hAnsi="Times New Roman"/>
      <w:b/>
      <w:sz w:val="24"/>
    </w:rPr>
  </w:style>
  <w:style w:type="paragraph" w:customStyle="1" w:styleId="tag">
    <w:name w:val="tag"/>
    <w:basedOn w:val="Normal"/>
    <w:rsid w:val="002111C9"/>
    <w:rPr>
      <w:rFonts w:eastAsia="Times New Roman"/>
      <w:b/>
      <w:sz w:val="24"/>
      <w:szCs w:val="20"/>
    </w:rPr>
  </w:style>
  <w:style w:type="paragraph" w:customStyle="1" w:styleId="card">
    <w:name w:val="card"/>
    <w:basedOn w:val="Normal"/>
    <w:rsid w:val="002111C9"/>
    <w:pPr>
      <w:ind w:left="288" w:right="288"/>
    </w:pPr>
    <w:rPr>
      <w:rFonts w:eastAsia="Times New Roman"/>
      <w:szCs w:val="20"/>
    </w:rPr>
  </w:style>
  <w:style w:type="character" w:customStyle="1" w:styleId="underline">
    <w:name w:val="underline"/>
    <w:rsid w:val="002111C9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cey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5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</dc:creator>
  <cp:lastModifiedBy>Stacey</cp:lastModifiedBy>
  <cp:revision>1</cp:revision>
  <dcterms:created xsi:type="dcterms:W3CDTF">2012-09-27T18:01:00Z</dcterms:created>
  <dcterms:modified xsi:type="dcterms:W3CDTF">2012-09-27T18:02:00Z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