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AD9" w:rsidRPr="00405AD9" w:rsidRDefault="00405AD9" w:rsidP="00405AD9">
      <w:pPr>
        <w:pageBreakBefore/>
        <w:spacing w:after="0" w:line="240" w:lineRule="auto"/>
        <w:jc w:val="center"/>
        <w:outlineLvl w:val="1"/>
        <w:rPr>
          <w:rFonts w:eastAsia="Times New Roman" w:cstheme="minorHAnsi"/>
          <w:b/>
          <w:bCs/>
          <w:sz w:val="32"/>
          <w:szCs w:val="28"/>
          <w:u w:val="single"/>
        </w:rPr>
      </w:pPr>
      <w:bookmarkStart w:id="0" w:name="_Toc337030055"/>
      <w:r w:rsidRPr="00405AD9">
        <w:rPr>
          <w:rFonts w:eastAsia="Times New Roman" w:cstheme="minorHAnsi"/>
          <w:b/>
          <w:bCs/>
          <w:sz w:val="32"/>
          <w:szCs w:val="28"/>
          <w:u w:val="single"/>
        </w:rPr>
        <w:t>1NC -- Framework</w:t>
      </w:r>
      <w:bookmarkEnd w:id="0"/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</w:rPr>
      </w:pPr>
    </w:p>
    <w:p w:rsidR="00405AD9" w:rsidRPr="00405AD9" w:rsidRDefault="00405AD9" w:rsidP="00405AD9">
      <w:pPr>
        <w:keepNext/>
        <w:keepLines/>
        <w:spacing w:before="120" w:after="0" w:line="240" w:lineRule="auto"/>
        <w:outlineLvl w:val="2"/>
        <w:rPr>
          <w:rFonts w:eastAsiaTheme="majorEastAsia" w:cstheme="minorHAnsi"/>
          <w:b/>
          <w:bCs/>
          <w:sz w:val="26"/>
          <w:szCs w:val="20"/>
        </w:rPr>
      </w:pPr>
      <w:r w:rsidRPr="00405AD9">
        <w:rPr>
          <w:rFonts w:eastAsiaTheme="majorEastAsia" w:cstheme="minorHAnsi"/>
          <w:b/>
          <w:bCs/>
          <w:sz w:val="26"/>
          <w:szCs w:val="20"/>
        </w:rPr>
        <w:t xml:space="preserve">A. </w:t>
      </w:r>
      <w:r w:rsidRPr="00405AD9">
        <w:rPr>
          <w:rFonts w:eastAsiaTheme="majorEastAsia" w:cstheme="minorHAnsi"/>
          <w:b/>
          <w:bCs/>
          <w:sz w:val="26"/>
          <w:szCs w:val="20"/>
          <w:u w:val="single"/>
        </w:rPr>
        <w:t>Interpretation</w:t>
      </w:r>
      <w:r w:rsidRPr="00405AD9">
        <w:rPr>
          <w:rFonts w:eastAsiaTheme="majorEastAsia" w:cstheme="minorHAnsi"/>
          <w:b/>
          <w:bCs/>
          <w:sz w:val="26"/>
          <w:szCs w:val="20"/>
        </w:rPr>
        <w:t xml:space="preserve"> -- the role of the ballot is to evaluate the hypothetical enactment of a topical policy action</w:t>
      </w:r>
    </w:p>
    <w:p w:rsidR="00405AD9" w:rsidRPr="00405AD9" w:rsidRDefault="00405AD9" w:rsidP="00405AD9">
      <w:pPr>
        <w:keepNext/>
        <w:keepLines/>
        <w:spacing w:before="120" w:after="0" w:line="240" w:lineRule="auto"/>
        <w:outlineLvl w:val="2"/>
        <w:rPr>
          <w:rFonts w:eastAsiaTheme="majorEastAsia" w:cstheme="minorHAnsi"/>
          <w:b/>
          <w:bCs/>
          <w:sz w:val="26"/>
          <w:szCs w:val="20"/>
        </w:rPr>
      </w:pPr>
      <w:r w:rsidRPr="00405AD9">
        <w:rPr>
          <w:rFonts w:eastAsiaTheme="majorEastAsia" w:cstheme="minorHAnsi"/>
          <w:b/>
          <w:bCs/>
          <w:sz w:val="26"/>
          <w:szCs w:val="20"/>
        </w:rPr>
        <w:t>1. “Resolved” before a colon introduces a formal resolution</w:t>
      </w:r>
    </w:p>
    <w:p w:rsidR="00405AD9" w:rsidRPr="00405AD9" w:rsidRDefault="00405AD9" w:rsidP="00405AD9">
      <w:pPr>
        <w:spacing w:after="0" w:line="240" w:lineRule="auto"/>
        <w:rPr>
          <w:rFonts w:cstheme="minorHAnsi"/>
          <w:b/>
          <w:u w:val="single"/>
        </w:rPr>
      </w:pPr>
      <w:r w:rsidRPr="00405AD9">
        <w:rPr>
          <w:rFonts w:cstheme="minorHAnsi"/>
          <w:b/>
          <w:highlight w:val="yellow"/>
          <w:u w:val="single"/>
        </w:rPr>
        <w:t>Army Officer School 04</w:t>
      </w: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  <w:szCs w:val="14"/>
        </w:rPr>
      </w:pPr>
      <w:r w:rsidRPr="00405AD9">
        <w:rPr>
          <w:rFonts w:cstheme="minorHAnsi"/>
          <w:sz w:val="16"/>
          <w:szCs w:val="14"/>
        </w:rPr>
        <w:t xml:space="preserve">(5-12, “# 12, Punctuation -- The Colon and Semicolon”, </w:t>
      </w:r>
      <w:hyperlink r:id="rId4" w:history="1">
        <w:r w:rsidRPr="00405AD9">
          <w:rPr>
            <w:rFonts w:cstheme="minorHAnsi"/>
            <w:sz w:val="16"/>
          </w:rPr>
          <w:t>http://usawocc.army.mil/IMI/wg12.htm</w:t>
        </w:r>
      </w:hyperlink>
      <w:r w:rsidRPr="00405AD9">
        <w:rPr>
          <w:rFonts w:cstheme="minorHAnsi"/>
          <w:sz w:val="16"/>
          <w:szCs w:val="14"/>
        </w:rPr>
        <w:t>)</w:t>
      </w: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  <w:szCs w:val="14"/>
        </w:rPr>
      </w:pP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  <w:szCs w:val="14"/>
        </w:rPr>
      </w:pPr>
      <w:r w:rsidRPr="00405AD9">
        <w:rPr>
          <w:rFonts w:cstheme="minorHAnsi"/>
          <w:b/>
          <w:szCs w:val="24"/>
          <w:highlight w:val="yellow"/>
          <w:u w:val="single"/>
        </w:rPr>
        <w:t>The colon introduces</w:t>
      </w:r>
      <w:r w:rsidRPr="00405AD9">
        <w:rPr>
          <w:rFonts w:cstheme="minorHAnsi"/>
          <w:sz w:val="16"/>
          <w:highlight w:val="yellow"/>
        </w:rPr>
        <w:t xml:space="preserve"> </w:t>
      </w:r>
      <w:r>
        <w:rPr>
          <w:rFonts w:cstheme="minorHAnsi"/>
          <w:sz w:val="16"/>
        </w:rPr>
        <w:t>….</w:t>
      </w:r>
      <w:r w:rsidRPr="00405AD9">
        <w:rPr>
          <w:rFonts w:cstheme="minorHAnsi"/>
          <w:sz w:val="16"/>
          <w:szCs w:val="14"/>
        </w:rPr>
        <w:t xml:space="preserve"> That this council </w:t>
      </w:r>
      <w:proofErr w:type="gramStart"/>
      <w:r w:rsidRPr="00405AD9">
        <w:rPr>
          <w:rFonts w:cstheme="minorHAnsi"/>
          <w:sz w:val="16"/>
          <w:szCs w:val="14"/>
        </w:rPr>
        <w:t>petition</w:t>
      </w:r>
      <w:proofErr w:type="gramEnd"/>
      <w:r w:rsidRPr="00405AD9">
        <w:rPr>
          <w:rFonts w:cstheme="minorHAnsi"/>
          <w:sz w:val="16"/>
          <w:szCs w:val="14"/>
        </w:rPr>
        <w:t xml:space="preserve"> the mayor.</w:t>
      </w:r>
    </w:p>
    <w:p w:rsidR="00405AD9" w:rsidRPr="00405AD9" w:rsidRDefault="00405AD9" w:rsidP="00405AD9">
      <w:pPr>
        <w:keepNext/>
        <w:keepLines/>
        <w:spacing w:before="120" w:after="0" w:line="240" w:lineRule="auto"/>
        <w:outlineLvl w:val="2"/>
        <w:rPr>
          <w:rFonts w:eastAsiaTheme="majorEastAsia" w:cstheme="minorHAnsi"/>
          <w:b/>
          <w:bCs/>
          <w:sz w:val="26"/>
          <w:szCs w:val="20"/>
        </w:rPr>
      </w:pPr>
      <w:r w:rsidRPr="00405AD9">
        <w:rPr>
          <w:rFonts w:eastAsiaTheme="majorEastAsia" w:cstheme="minorHAnsi"/>
          <w:b/>
          <w:bCs/>
          <w:sz w:val="26"/>
          <w:szCs w:val="20"/>
        </w:rPr>
        <w:t xml:space="preserve">2. “The United States federal government should” means the debate is </w:t>
      </w:r>
      <w:r w:rsidRPr="00405AD9">
        <w:rPr>
          <w:rFonts w:eastAsiaTheme="majorEastAsia" w:cstheme="minorHAnsi"/>
          <w:b/>
          <w:bCs/>
          <w:sz w:val="26"/>
          <w:szCs w:val="20"/>
          <w:u w:val="single"/>
        </w:rPr>
        <w:t>solely</w:t>
      </w:r>
      <w:r w:rsidRPr="00405AD9">
        <w:rPr>
          <w:rFonts w:eastAsiaTheme="majorEastAsia" w:cstheme="minorHAnsi"/>
          <w:b/>
          <w:bCs/>
          <w:sz w:val="26"/>
          <w:szCs w:val="20"/>
        </w:rPr>
        <w:t xml:space="preserve"> about hypothetical policy action</w:t>
      </w:r>
    </w:p>
    <w:p w:rsidR="00405AD9" w:rsidRPr="00405AD9" w:rsidRDefault="00405AD9" w:rsidP="00405AD9">
      <w:pPr>
        <w:spacing w:after="0" w:line="240" w:lineRule="auto"/>
        <w:rPr>
          <w:rFonts w:cstheme="minorHAnsi"/>
          <w:b/>
          <w:u w:val="single"/>
        </w:rPr>
      </w:pPr>
      <w:r w:rsidRPr="00405AD9">
        <w:rPr>
          <w:rFonts w:cstheme="minorHAnsi"/>
          <w:b/>
          <w:highlight w:val="yellow"/>
          <w:u w:val="single"/>
        </w:rPr>
        <w:t>Ericson</w:t>
      </w:r>
      <w:r w:rsidRPr="00405AD9">
        <w:rPr>
          <w:rFonts w:cstheme="minorHAnsi"/>
          <w:b/>
          <w:u w:val="single"/>
        </w:rPr>
        <w:t xml:space="preserve"> et al. </w:t>
      </w:r>
      <w:r w:rsidRPr="00405AD9">
        <w:rPr>
          <w:rFonts w:cstheme="minorHAnsi"/>
          <w:b/>
          <w:highlight w:val="yellow"/>
          <w:u w:val="single"/>
        </w:rPr>
        <w:t>03</w:t>
      </w: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</w:rPr>
      </w:pPr>
      <w:r w:rsidRPr="00405AD9">
        <w:rPr>
          <w:rFonts w:cstheme="minorHAnsi"/>
          <w:sz w:val="16"/>
        </w:rPr>
        <w:t>(Jon M., Dean Emeritus of the College of Liberal Arts at California Polytechnic State University, 2003, “The Debater’s Guide,” Third Edition,” p. 7, accessed via Google Books on 3-29-12 //</w:t>
      </w:r>
      <w:proofErr w:type="spellStart"/>
      <w:r w:rsidRPr="00405AD9">
        <w:rPr>
          <w:rFonts w:cstheme="minorHAnsi"/>
          <w:sz w:val="16"/>
        </w:rPr>
        <w:t>Bosley</w:t>
      </w:r>
      <w:proofErr w:type="spellEnd"/>
      <w:r w:rsidRPr="00405AD9">
        <w:rPr>
          <w:rFonts w:cstheme="minorHAnsi"/>
          <w:sz w:val="16"/>
        </w:rPr>
        <w:t>)</w:t>
      </w: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</w:rPr>
      </w:pP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</w:rPr>
      </w:pPr>
      <w:r w:rsidRPr="00405AD9">
        <w:rPr>
          <w:rFonts w:cstheme="minorHAnsi"/>
          <w:sz w:val="16"/>
        </w:rPr>
        <w:t xml:space="preserve">The Proposition of Policy: </w:t>
      </w:r>
      <w:r>
        <w:rPr>
          <w:rFonts w:cstheme="minorHAnsi"/>
          <w:sz w:val="16"/>
        </w:rPr>
        <w:t>….</w:t>
      </w:r>
      <w:r w:rsidRPr="00405AD9">
        <w:rPr>
          <w:rFonts w:cstheme="minorHAnsi"/>
          <w:sz w:val="16"/>
        </w:rPr>
        <w:t xml:space="preserve"> that you propose. </w:t>
      </w: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</w:rPr>
      </w:pPr>
    </w:p>
    <w:p w:rsidR="00405AD9" w:rsidRPr="00405AD9" w:rsidRDefault="00405AD9" w:rsidP="00405AD9">
      <w:pPr>
        <w:keepNext/>
        <w:keepLines/>
        <w:spacing w:before="120" w:after="0" w:line="240" w:lineRule="auto"/>
        <w:outlineLvl w:val="2"/>
        <w:rPr>
          <w:rFonts w:eastAsiaTheme="majorEastAsia" w:cstheme="minorHAnsi"/>
          <w:b/>
          <w:bCs/>
          <w:sz w:val="26"/>
          <w:szCs w:val="20"/>
        </w:rPr>
      </w:pPr>
      <w:r w:rsidRPr="00405AD9">
        <w:rPr>
          <w:rFonts w:eastAsiaTheme="majorEastAsia" w:cstheme="minorHAnsi"/>
          <w:b/>
          <w:bCs/>
          <w:sz w:val="26"/>
          <w:szCs w:val="20"/>
        </w:rPr>
        <w:t>3. “The United States federal government” is the legislative, judicial, and executive branches</w:t>
      </w:r>
    </w:p>
    <w:p w:rsidR="00405AD9" w:rsidRPr="00405AD9" w:rsidRDefault="00405AD9" w:rsidP="00405AD9">
      <w:pPr>
        <w:spacing w:after="0" w:line="240" w:lineRule="auto"/>
        <w:rPr>
          <w:rFonts w:cstheme="minorHAnsi"/>
          <w:b/>
          <w:u w:val="single"/>
        </w:rPr>
      </w:pPr>
      <w:r w:rsidRPr="00405AD9">
        <w:rPr>
          <w:rFonts w:cstheme="minorHAnsi"/>
          <w:b/>
          <w:highlight w:val="yellow"/>
          <w:u w:val="single"/>
        </w:rPr>
        <w:t>USA.gov 12</w:t>
      </w: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</w:rPr>
      </w:pPr>
      <w:r w:rsidRPr="00405AD9">
        <w:rPr>
          <w:rFonts w:cstheme="minorHAnsi"/>
          <w:sz w:val="16"/>
        </w:rPr>
        <w:t xml:space="preserve">(Official US. Government Web Portal, “U.S. Federal Government, last updated 3-27-12, </w:t>
      </w:r>
      <w:hyperlink r:id="rId5" w:history="1">
        <w:r w:rsidRPr="00405AD9">
          <w:rPr>
            <w:rFonts w:cstheme="minorHAnsi"/>
            <w:sz w:val="16"/>
          </w:rPr>
          <w:t>http://www.usa.gov/Agencies/federal.shtml</w:t>
        </w:r>
      </w:hyperlink>
      <w:r w:rsidRPr="00405AD9">
        <w:rPr>
          <w:rFonts w:cstheme="minorHAnsi"/>
          <w:sz w:val="16"/>
        </w:rPr>
        <w:t>, accessed 3-29-12 //</w:t>
      </w:r>
      <w:proofErr w:type="spellStart"/>
      <w:r w:rsidRPr="00405AD9">
        <w:rPr>
          <w:rFonts w:cstheme="minorHAnsi"/>
          <w:sz w:val="16"/>
        </w:rPr>
        <w:t>Bosley</w:t>
      </w:r>
      <w:proofErr w:type="spellEnd"/>
      <w:r w:rsidRPr="00405AD9">
        <w:rPr>
          <w:rFonts w:cstheme="minorHAnsi"/>
          <w:sz w:val="16"/>
        </w:rPr>
        <w:t>)</w:t>
      </w: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</w:rPr>
      </w:pP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</w:rPr>
      </w:pPr>
      <w:proofErr w:type="gramStart"/>
      <w:r w:rsidRPr="00405AD9">
        <w:rPr>
          <w:rFonts w:cstheme="minorHAnsi"/>
          <w:b/>
          <w:u w:val="single"/>
        </w:rPr>
        <w:t xml:space="preserve">U.S. Federal Government </w:t>
      </w:r>
      <w:r>
        <w:rPr>
          <w:rFonts w:cstheme="minorHAnsi"/>
          <w:b/>
          <w:u w:val="single"/>
        </w:rPr>
        <w:t>….</w:t>
      </w:r>
      <w:r w:rsidRPr="00405AD9">
        <w:rPr>
          <w:rFonts w:cstheme="minorHAnsi"/>
          <w:sz w:val="16"/>
        </w:rPr>
        <w:t>t governmental power and functions.</w:t>
      </w:r>
      <w:proofErr w:type="gramEnd"/>
      <w:r w:rsidRPr="00405AD9">
        <w:rPr>
          <w:rFonts w:cstheme="minorHAnsi"/>
          <w:sz w:val="16"/>
        </w:rPr>
        <w:t xml:space="preserve"> </w:t>
      </w:r>
    </w:p>
    <w:p w:rsidR="00405AD9" w:rsidRPr="00405AD9" w:rsidRDefault="00405AD9" w:rsidP="00405AD9">
      <w:pPr>
        <w:keepNext/>
        <w:keepLines/>
        <w:spacing w:before="120" w:after="0" w:line="240" w:lineRule="auto"/>
        <w:outlineLvl w:val="2"/>
        <w:rPr>
          <w:rFonts w:eastAsiaTheme="majorEastAsia" w:cstheme="minorHAnsi"/>
          <w:b/>
          <w:bCs/>
          <w:sz w:val="26"/>
          <w:szCs w:val="20"/>
        </w:rPr>
      </w:pPr>
      <w:r w:rsidRPr="00405AD9">
        <w:rPr>
          <w:rFonts w:eastAsiaTheme="majorEastAsia" w:cstheme="minorHAnsi"/>
          <w:b/>
          <w:bCs/>
          <w:sz w:val="26"/>
          <w:szCs w:val="20"/>
        </w:rPr>
        <w:t xml:space="preserve">3. </w:t>
      </w:r>
      <w:r w:rsidRPr="00405AD9">
        <w:rPr>
          <w:rFonts w:eastAsiaTheme="majorEastAsia" w:cstheme="minorHAnsi"/>
          <w:b/>
          <w:bCs/>
          <w:sz w:val="26"/>
          <w:szCs w:val="20"/>
          <w:u w:val="single"/>
        </w:rPr>
        <w:t>Political pedagogy</w:t>
      </w:r>
      <w:r w:rsidRPr="00405AD9">
        <w:rPr>
          <w:rFonts w:eastAsiaTheme="majorEastAsia" w:cstheme="minorHAnsi"/>
          <w:b/>
          <w:bCs/>
          <w:sz w:val="26"/>
          <w:szCs w:val="20"/>
        </w:rPr>
        <w:t xml:space="preserve"> -- refusal to defend traditional political processes doesn’t open up politics but breeds disengagement that solidifies the dominant powers of the status quo</w:t>
      </w:r>
    </w:p>
    <w:p w:rsidR="00405AD9" w:rsidRPr="00405AD9" w:rsidRDefault="00405AD9" w:rsidP="00405AD9">
      <w:pPr>
        <w:spacing w:after="0" w:line="240" w:lineRule="auto"/>
        <w:rPr>
          <w:rFonts w:cstheme="minorHAnsi"/>
          <w:b/>
          <w:bCs/>
          <w:sz w:val="24"/>
          <w:u w:val="single"/>
        </w:rPr>
      </w:pPr>
      <w:r w:rsidRPr="00405AD9">
        <w:rPr>
          <w:rFonts w:cstheme="minorHAnsi"/>
          <w:b/>
          <w:bCs/>
          <w:sz w:val="24"/>
          <w:highlight w:val="yellow"/>
          <w:u w:val="single"/>
        </w:rPr>
        <w:t>Chandler</w:t>
      </w:r>
      <w:r w:rsidRPr="00405AD9">
        <w:rPr>
          <w:rFonts w:cstheme="minorHAnsi"/>
          <w:b/>
          <w:bCs/>
          <w:sz w:val="24"/>
          <w:u w:val="single"/>
        </w:rPr>
        <w:t xml:space="preserve">, Professor of IR at Westminster, </w:t>
      </w:r>
      <w:r w:rsidRPr="00405AD9">
        <w:rPr>
          <w:rFonts w:cstheme="minorHAnsi"/>
          <w:b/>
          <w:bCs/>
          <w:sz w:val="24"/>
          <w:highlight w:val="yellow"/>
          <w:u w:val="single"/>
        </w:rPr>
        <w:t>04</w:t>
      </w:r>
      <w:r w:rsidRPr="00405AD9">
        <w:rPr>
          <w:rFonts w:cstheme="minorHAnsi"/>
          <w:b/>
          <w:bCs/>
          <w:sz w:val="24"/>
          <w:u w:val="single"/>
        </w:rPr>
        <w:t xml:space="preserve"> </w:t>
      </w: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</w:rPr>
      </w:pPr>
      <w:r w:rsidRPr="00405AD9">
        <w:rPr>
          <w:rFonts w:cstheme="minorHAnsi"/>
          <w:sz w:val="16"/>
          <w:szCs w:val="16"/>
        </w:rPr>
        <w:t xml:space="preserve">(David Chandler is Professor of International Relations at the Department of Politics and International Relations, University of Westminster, Millennium, “Building Global Civil Society ‘From Below’?” </w:t>
      </w:r>
      <w:hyperlink r:id="rId6" w:tgtFrame="_blank" w:history="1">
        <w:r w:rsidRPr="00405AD9">
          <w:rPr>
            <w:rFonts w:cstheme="minorHAnsi"/>
            <w:sz w:val="16"/>
          </w:rPr>
          <w:t>http://www.davidchandler.org/pdf/journal_articles/Millennium%20-%20Building%20Global%20Civil%20Society.pdf</w:t>
        </w:r>
      </w:hyperlink>
      <w:r w:rsidRPr="00405AD9">
        <w:rPr>
          <w:rFonts w:cstheme="minorHAnsi"/>
          <w:sz w:val="16"/>
          <w:szCs w:val="16"/>
        </w:rPr>
        <w:t xml:space="preserve"> //</w:t>
      </w:r>
      <w:proofErr w:type="spellStart"/>
      <w:r w:rsidRPr="00405AD9">
        <w:rPr>
          <w:rFonts w:cstheme="minorHAnsi"/>
          <w:sz w:val="16"/>
          <w:szCs w:val="16"/>
        </w:rPr>
        <w:t>Bosley</w:t>
      </w:r>
      <w:proofErr w:type="spellEnd"/>
      <w:r w:rsidRPr="00405AD9">
        <w:rPr>
          <w:rFonts w:cstheme="minorHAnsi"/>
          <w:sz w:val="16"/>
          <w:szCs w:val="16"/>
        </w:rPr>
        <w:t>)</w:t>
      </w: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</w:rPr>
      </w:pPr>
      <w:r w:rsidRPr="00405AD9">
        <w:rPr>
          <w:rFonts w:cstheme="minorHAnsi"/>
          <w:sz w:val="16"/>
          <w:szCs w:val="16"/>
        </w:rPr>
        <w:t> </w:t>
      </w:r>
    </w:p>
    <w:p w:rsidR="00405AD9" w:rsidRPr="00405AD9" w:rsidRDefault="00405AD9" w:rsidP="00405AD9">
      <w:pPr>
        <w:spacing w:after="0" w:line="240" w:lineRule="auto"/>
        <w:rPr>
          <w:rFonts w:cstheme="minorHAnsi"/>
          <w:b/>
          <w:u w:val="single"/>
        </w:rPr>
      </w:pPr>
      <w:r w:rsidRPr="00405AD9">
        <w:rPr>
          <w:rFonts w:cstheme="minorHAnsi"/>
          <w:sz w:val="16"/>
        </w:rPr>
        <w:t xml:space="preserve">The struggle for </w:t>
      </w:r>
      <w:proofErr w:type="gramStart"/>
      <w:r w:rsidRPr="00405AD9">
        <w:rPr>
          <w:rFonts w:cstheme="minorHAnsi"/>
          <w:sz w:val="16"/>
        </w:rPr>
        <w:t xml:space="preserve">individual </w:t>
      </w:r>
      <w:r>
        <w:rPr>
          <w:rFonts w:cstheme="minorHAnsi"/>
          <w:sz w:val="16"/>
        </w:rPr>
        <w:t>..</w:t>
      </w:r>
      <w:r w:rsidRPr="00405AD9">
        <w:rPr>
          <w:rFonts w:cstheme="minorHAnsi"/>
          <w:b/>
          <w:highlight w:val="yellow"/>
          <w:u w:val="single"/>
        </w:rPr>
        <w:t>that</w:t>
      </w:r>
      <w:proofErr w:type="gramEnd"/>
      <w:r w:rsidRPr="00405AD9">
        <w:rPr>
          <w:rFonts w:cstheme="minorHAnsi"/>
          <w:b/>
          <w:highlight w:val="yellow"/>
          <w:u w:val="single"/>
        </w:rPr>
        <w:t xml:space="preserve"> be can sleep peacefully in their beds.</w:t>
      </w:r>
    </w:p>
    <w:p w:rsidR="00405AD9" w:rsidRPr="00405AD9" w:rsidRDefault="00405AD9" w:rsidP="00405AD9">
      <w:pPr>
        <w:spacing w:after="0" w:line="240" w:lineRule="auto"/>
        <w:rPr>
          <w:rFonts w:cstheme="minorHAnsi"/>
          <w:b/>
          <w:u w:val="single"/>
        </w:rPr>
      </w:pPr>
    </w:p>
    <w:p w:rsidR="00405AD9" w:rsidRPr="00405AD9" w:rsidRDefault="00405AD9" w:rsidP="00405AD9">
      <w:pPr>
        <w:spacing w:after="0" w:line="240" w:lineRule="auto"/>
        <w:rPr>
          <w:rFonts w:eastAsiaTheme="majorEastAsia" w:cstheme="minorHAnsi"/>
          <w:b/>
          <w:szCs w:val="20"/>
        </w:rPr>
      </w:pPr>
      <w:r w:rsidRPr="00405AD9">
        <w:rPr>
          <w:rFonts w:cstheme="minorHAnsi"/>
          <w:bCs/>
          <w:sz w:val="16"/>
        </w:rPr>
        <w:br w:type="page"/>
      </w:r>
    </w:p>
    <w:p w:rsidR="00405AD9" w:rsidRPr="00405AD9" w:rsidRDefault="00405AD9" w:rsidP="00405AD9">
      <w:pPr>
        <w:keepNext/>
        <w:keepLines/>
        <w:tabs>
          <w:tab w:val="left" w:pos="1440"/>
        </w:tabs>
        <w:spacing w:before="120" w:after="0" w:line="240" w:lineRule="auto"/>
        <w:outlineLvl w:val="2"/>
        <w:rPr>
          <w:rFonts w:eastAsiaTheme="majorEastAsia" w:cstheme="minorHAnsi"/>
          <w:b/>
          <w:sz w:val="26"/>
          <w:szCs w:val="20"/>
        </w:rPr>
      </w:pPr>
      <w:r w:rsidRPr="00405AD9">
        <w:rPr>
          <w:rFonts w:eastAsiaTheme="majorEastAsia" w:cstheme="minorHAnsi"/>
          <w:b/>
          <w:sz w:val="26"/>
          <w:szCs w:val="20"/>
        </w:rPr>
        <w:lastRenderedPageBreak/>
        <w:t xml:space="preserve">4. </w:t>
      </w:r>
      <w:r w:rsidRPr="00405AD9">
        <w:rPr>
          <w:rFonts w:eastAsiaTheme="majorEastAsia" w:cstheme="minorHAnsi"/>
          <w:b/>
          <w:sz w:val="26"/>
          <w:szCs w:val="20"/>
          <w:u w:val="single"/>
        </w:rPr>
        <w:t>Process</w:t>
      </w:r>
      <w:r w:rsidRPr="00405AD9">
        <w:rPr>
          <w:rFonts w:eastAsiaTheme="majorEastAsia" w:cstheme="minorHAnsi"/>
          <w:b/>
          <w:sz w:val="26"/>
          <w:szCs w:val="20"/>
        </w:rPr>
        <w:t xml:space="preserve"> -- a </w:t>
      </w:r>
      <w:r w:rsidRPr="00405AD9">
        <w:rPr>
          <w:rFonts w:eastAsiaTheme="majorEastAsia" w:cstheme="minorHAnsi"/>
          <w:b/>
          <w:sz w:val="26"/>
          <w:szCs w:val="20"/>
          <w:u w:val="single"/>
        </w:rPr>
        <w:t>limited topic of discussion</w:t>
      </w:r>
      <w:r w:rsidRPr="00405AD9">
        <w:rPr>
          <w:rFonts w:eastAsiaTheme="majorEastAsia" w:cstheme="minorHAnsi"/>
          <w:b/>
          <w:sz w:val="26"/>
          <w:szCs w:val="20"/>
        </w:rPr>
        <w:t xml:space="preserve"> with </w:t>
      </w:r>
      <w:r w:rsidRPr="00405AD9">
        <w:rPr>
          <w:rFonts w:eastAsiaTheme="majorEastAsia" w:cstheme="minorHAnsi"/>
          <w:b/>
          <w:sz w:val="26"/>
          <w:szCs w:val="20"/>
          <w:u w:val="single"/>
        </w:rPr>
        <w:t>clear sides</w:t>
      </w:r>
      <w:r w:rsidRPr="00405AD9">
        <w:rPr>
          <w:rFonts w:eastAsiaTheme="majorEastAsia" w:cstheme="minorHAnsi"/>
          <w:b/>
          <w:sz w:val="26"/>
          <w:szCs w:val="20"/>
        </w:rPr>
        <w:t xml:space="preserve"> and equitable ground is key to make debate productive and provide </w:t>
      </w:r>
      <w:r w:rsidRPr="00405AD9">
        <w:rPr>
          <w:rFonts w:eastAsiaTheme="majorEastAsia" w:cstheme="minorHAnsi"/>
          <w:b/>
          <w:sz w:val="26"/>
          <w:szCs w:val="20"/>
          <w:u w:val="single"/>
        </w:rPr>
        <w:t>decision-making</w:t>
      </w:r>
      <w:r w:rsidRPr="00405AD9">
        <w:rPr>
          <w:rFonts w:eastAsiaTheme="majorEastAsia" w:cstheme="minorHAnsi"/>
          <w:b/>
          <w:sz w:val="26"/>
          <w:szCs w:val="20"/>
        </w:rPr>
        <w:t xml:space="preserve"> and </w:t>
      </w:r>
      <w:r w:rsidRPr="00405AD9">
        <w:rPr>
          <w:rFonts w:eastAsiaTheme="majorEastAsia" w:cstheme="minorHAnsi"/>
          <w:b/>
          <w:sz w:val="26"/>
          <w:szCs w:val="20"/>
          <w:u w:val="single"/>
        </w:rPr>
        <w:t>advocacy skills</w:t>
      </w:r>
      <w:r w:rsidRPr="00405AD9">
        <w:rPr>
          <w:rFonts w:eastAsiaTheme="majorEastAsia" w:cstheme="minorHAnsi"/>
          <w:b/>
          <w:sz w:val="26"/>
          <w:szCs w:val="20"/>
        </w:rPr>
        <w:t xml:space="preserve"> useful in life -- just because something is “debatable” doesn’t make it a productive discussion</w:t>
      </w:r>
    </w:p>
    <w:p w:rsidR="00405AD9" w:rsidRPr="00405AD9" w:rsidRDefault="00405AD9" w:rsidP="00405AD9">
      <w:pPr>
        <w:spacing w:after="0" w:line="240" w:lineRule="auto"/>
        <w:rPr>
          <w:rFonts w:cstheme="minorHAnsi"/>
          <w:b/>
          <w:u w:val="single"/>
        </w:rPr>
      </w:pPr>
      <w:r w:rsidRPr="00405AD9">
        <w:rPr>
          <w:rFonts w:cstheme="minorHAnsi"/>
          <w:b/>
          <w:highlight w:val="yellow"/>
          <w:u w:val="single"/>
        </w:rPr>
        <w:t xml:space="preserve">Steinberg and </w:t>
      </w:r>
      <w:proofErr w:type="spellStart"/>
      <w:r w:rsidRPr="00405AD9">
        <w:rPr>
          <w:rFonts w:cstheme="minorHAnsi"/>
          <w:b/>
          <w:highlight w:val="yellow"/>
          <w:u w:val="single"/>
        </w:rPr>
        <w:t>Freeley</w:t>
      </w:r>
      <w:proofErr w:type="spellEnd"/>
      <w:r w:rsidRPr="00405AD9">
        <w:rPr>
          <w:rFonts w:cstheme="minorHAnsi"/>
          <w:b/>
          <w:highlight w:val="yellow"/>
          <w:u w:val="single"/>
        </w:rPr>
        <w:t xml:space="preserve"> 08</w:t>
      </w: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</w:rPr>
      </w:pPr>
      <w:r w:rsidRPr="00405AD9">
        <w:rPr>
          <w:rFonts w:cstheme="minorHAnsi"/>
          <w:sz w:val="16"/>
        </w:rPr>
        <w:t>(David L. -- Lecturer of Communication Studies at the University of Miami, and Austin -- Criminal, Personal Injury, and Civil Rights Law Attorney, “Argumentation and Debate: Critical Thinking for Reasoned Decision Making,” 12th Edition, http://www.scribd.com/doc/54200547/Argumentation, p43-45, accessed 7-18-12 //</w:t>
      </w:r>
      <w:proofErr w:type="spellStart"/>
      <w:r w:rsidRPr="00405AD9">
        <w:rPr>
          <w:rFonts w:cstheme="minorHAnsi"/>
          <w:sz w:val="16"/>
        </w:rPr>
        <w:t>Bosley</w:t>
      </w:r>
      <w:proofErr w:type="spellEnd"/>
      <w:r w:rsidRPr="00405AD9">
        <w:rPr>
          <w:rFonts w:cstheme="minorHAnsi"/>
          <w:sz w:val="16"/>
        </w:rPr>
        <w:t>)</w:t>
      </w: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</w:rPr>
      </w:pP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</w:rPr>
      </w:pPr>
      <w:r w:rsidRPr="00405AD9">
        <w:rPr>
          <w:rFonts w:cstheme="minorHAnsi"/>
          <w:b/>
          <w:u w:val="single"/>
        </w:rPr>
        <w:t xml:space="preserve">Debate is a means of </w:t>
      </w:r>
      <w:r>
        <w:rPr>
          <w:rFonts w:cstheme="minorHAnsi"/>
          <w:b/>
          <w:u w:val="single"/>
        </w:rPr>
        <w:t>….</w:t>
      </w:r>
      <w:r w:rsidRPr="00405AD9">
        <w:rPr>
          <w:rFonts w:cstheme="minorHAnsi"/>
          <w:sz w:val="16"/>
        </w:rPr>
        <w:t xml:space="preserve"> </w:t>
      </w:r>
      <w:proofErr w:type="gramStart"/>
      <w:r w:rsidRPr="00405AD9">
        <w:rPr>
          <w:rFonts w:cstheme="minorHAnsi"/>
          <w:sz w:val="16"/>
        </w:rPr>
        <w:t>in</w:t>
      </w:r>
      <w:proofErr w:type="gramEnd"/>
      <w:r w:rsidRPr="00405AD9">
        <w:rPr>
          <w:rFonts w:cstheme="minorHAnsi"/>
          <w:sz w:val="16"/>
        </w:rPr>
        <w:t xml:space="preserve"> the following discussion.</w:t>
      </w:r>
    </w:p>
    <w:p w:rsidR="00405AD9" w:rsidRPr="00405AD9" w:rsidRDefault="00405AD9" w:rsidP="00405AD9">
      <w:pPr>
        <w:spacing w:after="0" w:line="240" w:lineRule="auto"/>
        <w:rPr>
          <w:rFonts w:eastAsiaTheme="majorEastAsia" w:cstheme="minorHAnsi"/>
          <w:b/>
          <w:bCs/>
          <w:u w:val="single"/>
        </w:rPr>
      </w:pPr>
      <w:r w:rsidRPr="00405AD9">
        <w:rPr>
          <w:rFonts w:cstheme="minorHAnsi"/>
          <w:b/>
          <w:u w:val="single"/>
        </w:rPr>
        <w:br w:type="page"/>
      </w:r>
    </w:p>
    <w:p w:rsidR="00405AD9" w:rsidRPr="00405AD9" w:rsidRDefault="00405AD9" w:rsidP="00405AD9">
      <w:pPr>
        <w:keepNext/>
        <w:keepLines/>
        <w:spacing w:before="120" w:after="0" w:line="240" w:lineRule="auto"/>
        <w:outlineLvl w:val="2"/>
        <w:rPr>
          <w:rFonts w:eastAsiaTheme="majorEastAsia" w:cstheme="minorHAnsi"/>
          <w:b/>
          <w:bCs/>
          <w:sz w:val="26"/>
          <w:szCs w:val="20"/>
        </w:rPr>
      </w:pPr>
      <w:r w:rsidRPr="00405AD9">
        <w:rPr>
          <w:rFonts w:eastAsiaTheme="majorEastAsia" w:cstheme="minorHAnsi"/>
          <w:b/>
          <w:bCs/>
          <w:sz w:val="26"/>
          <w:u w:val="single"/>
        </w:rPr>
        <w:lastRenderedPageBreak/>
        <w:t xml:space="preserve">5. Switch-side Debate -- </w:t>
      </w:r>
      <w:r w:rsidRPr="00405AD9">
        <w:rPr>
          <w:rFonts w:eastAsiaTheme="majorEastAsia" w:cstheme="minorHAnsi"/>
          <w:b/>
          <w:bCs/>
          <w:sz w:val="26"/>
          <w:szCs w:val="20"/>
        </w:rPr>
        <w:t>any benefit of the discussion generated by the affirmative is solve by allowing those arguments on the negative -- forcing teams to debate both sides of an issue by actually defending the resolution when affirmative is key to produce tolerance of difference</w:t>
      </w:r>
    </w:p>
    <w:p w:rsidR="00405AD9" w:rsidRPr="00405AD9" w:rsidRDefault="00405AD9" w:rsidP="00405AD9">
      <w:pPr>
        <w:spacing w:after="0" w:line="240" w:lineRule="auto"/>
        <w:rPr>
          <w:rFonts w:cstheme="minorHAnsi"/>
          <w:b/>
          <w:u w:val="single"/>
        </w:rPr>
      </w:pPr>
      <w:r w:rsidRPr="00405AD9">
        <w:rPr>
          <w:rFonts w:cstheme="minorHAnsi"/>
          <w:b/>
          <w:bCs/>
          <w:sz w:val="24"/>
          <w:highlight w:val="yellow"/>
          <w:u w:val="single"/>
        </w:rPr>
        <w:t>Muir</w:t>
      </w:r>
      <w:r w:rsidRPr="00405AD9">
        <w:rPr>
          <w:rFonts w:cstheme="minorHAnsi"/>
          <w:b/>
          <w:bCs/>
          <w:sz w:val="24"/>
          <w:u w:val="single"/>
        </w:rPr>
        <w:t xml:space="preserve">, Professor of Communication at GMU, </w:t>
      </w:r>
      <w:r w:rsidRPr="00405AD9">
        <w:rPr>
          <w:rFonts w:cstheme="minorHAnsi"/>
          <w:b/>
          <w:bCs/>
          <w:sz w:val="24"/>
          <w:highlight w:val="yellow"/>
          <w:u w:val="single"/>
        </w:rPr>
        <w:t>93</w:t>
      </w: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</w:rPr>
      </w:pPr>
      <w:r w:rsidRPr="00405AD9">
        <w:rPr>
          <w:rFonts w:cstheme="minorHAnsi"/>
          <w:sz w:val="16"/>
        </w:rPr>
        <w:t>(Star, “A Defense of the Ethics of Contemporary Debate,” Philosophy and Rhetoric 26:4)</w:t>
      </w: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</w:rPr>
      </w:pPr>
    </w:p>
    <w:p w:rsidR="00405AD9" w:rsidRPr="00405AD9" w:rsidRDefault="00405AD9" w:rsidP="00405AD9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sz w:val="16"/>
        </w:rPr>
      </w:pPr>
      <w:r w:rsidRPr="00405AD9">
        <w:rPr>
          <w:rFonts w:eastAsia="SimSun" w:cstheme="minorHAnsi"/>
          <w:sz w:val="16"/>
        </w:rPr>
        <w:t xml:space="preserve">The role of </w:t>
      </w:r>
      <w:r w:rsidRPr="00405AD9">
        <w:rPr>
          <w:rFonts w:eastAsia="SimSun" w:cstheme="minorHAnsi"/>
          <w:b/>
          <w:szCs w:val="24"/>
          <w:highlight w:val="yellow"/>
          <w:u w:val="single"/>
        </w:rPr>
        <w:t>s</w:t>
      </w:r>
      <w:r w:rsidRPr="00405AD9">
        <w:rPr>
          <w:rFonts w:eastAsia="SimSun" w:cstheme="minorHAnsi"/>
          <w:b/>
          <w:u w:val="single"/>
        </w:rPr>
        <w:t>witch-</w:t>
      </w:r>
      <w:r w:rsidRPr="00405AD9">
        <w:rPr>
          <w:rFonts w:eastAsia="SimSun" w:cstheme="minorHAnsi"/>
          <w:b/>
          <w:szCs w:val="24"/>
          <w:highlight w:val="yellow"/>
          <w:u w:val="single"/>
        </w:rPr>
        <w:t>s</w:t>
      </w:r>
      <w:r w:rsidRPr="00405AD9">
        <w:rPr>
          <w:rFonts w:eastAsia="SimSun" w:cstheme="minorHAnsi"/>
          <w:b/>
          <w:u w:val="single"/>
        </w:rPr>
        <w:t xml:space="preserve">ide </w:t>
      </w:r>
      <w:r>
        <w:rPr>
          <w:rFonts w:eastAsia="SimSun" w:cstheme="minorHAnsi"/>
          <w:b/>
          <w:szCs w:val="24"/>
          <w:u w:val="single"/>
        </w:rPr>
        <w:t>….</w:t>
      </w:r>
      <w:r w:rsidRPr="00405AD9">
        <w:rPr>
          <w:rFonts w:eastAsia="SimSun" w:cstheme="minorHAnsi"/>
          <w:sz w:val="16"/>
        </w:rPr>
        <w:t xml:space="preserve"> </w:t>
      </w:r>
      <w:proofErr w:type="gramStart"/>
      <w:r w:rsidRPr="00405AD9">
        <w:rPr>
          <w:rFonts w:eastAsia="SimSun" w:cstheme="minorHAnsi"/>
          <w:sz w:val="16"/>
        </w:rPr>
        <w:t>position</w:t>
      </w:r>
      <w:proofErr w:type="gramEnd"/>
      <w:r w:rsidRPr="00405AD9">
        <w:rPr>
          <w:rFonts w:eastAsia="SimSun" w:cstheme="minorHAnsi"/>
          <w:sz w:val="16"/>
        </w:rPr>
        <w:t xml:space="preserve"> imbued with tolerance.</w:t>
      </w: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</w:rPr>
      </w:pPr>
    </w:p>
    <w:p w:rsidR="00405AD9" w:rsidRPr="00405AD9" w:rsidRDefault="00405AD9" w:rsidP="00405AD9">
      <w:pPr>
        <w:spacing w:after="0" w:line="240" w:lineRule="auto"/>
        <w:rPr>
          <w:rFonts w:cstheme="minorHAnsi"/>
          <w:sz w:val="16"/>
        </w:rPr>
      </w:pPr>
    </w:p>
    <w:p w:rsidR="00D7496E" w:rsidRDefault="00405AD9"/>
    <w:sectPr w:rsidR="00D7496E" w:rsidSect="003E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AD9"/>
    <w:rsid w:val="003E4108"/>
    <w:rsid w:val="00405AD9"/>
    <w:rsid w:val="00686CCB"/>
    <w:rsid w:val="00AA1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05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5A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vidchandler.org/pdf/journal_articles/Millennium%20-%20Building%20Global%20Civil%20Society.pdf" TargetMode="External"/><Relationship Id="rId5" Type="http://schemas.openxmlformats.org/officeDocument/2006/relationships/hyperlink" Target="http://www.usa.gov/Agencies/federal.shtml" TargetMode="External"/><Relationship Id="rId4" Type="http://schemas.openxmlformats.org/officeDocument/2006/relationships/hyperlink" Target="http://usawocc.army.mil/IMI/wg1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2611</Characters>
  <Application>Microsoft Office Word</Application>
  <DocSecurity>0</DocSecurity>
  <Lines>21</Lines>
  <Paragraphs>6</Paragraphs>
  <ScaleCrop>false</ScaleCrop>
  <Company>Hewlett-Packard</Company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1</cp:revision>
  <dcterms:created xsi:type="dcterms:W3CDTF">2012-10-16T16:30:00Z</dcterms:created>
  <dcterms:modified xsi:type="dcterms:W3CDTF">2012-10-16T16:32:00Z</dcterms:modified>
</cp:coreProperties>
</file>