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FDB" w:rsidRDefault="00386FDB" w:rsidP="00386FDB">
      <w:pPr>
        <w:pStyle w:val="Heading1"/>
      </w:pPr>
      <w:proofErr w:type="spellStart"/>
      <w:r>
        <w:t>Fmwk</w:t>
      </w:r>
      <w:proofErr w:type="spellEnd"/>
    </w:p>
    <w:p w:rsidR="00386FDB" w:rsidRPr="00386FDB" w:rsidRDefault="00386FDB" w:rsidP="00386FDB"/>
    <w:p w:rsidR="00386FDB" w:rsidRPr="00A761EF" w:rsidRDefault="00386FDB" w:rsidP="00386FDB">
      <w:pPr>
        <w:pStyle w:val="Heading2"/>
      </w:pPr>
      <w:r w:rsidRPr="00A761EF">
        <w:t xml:space="preserve">The affirmative’s failure to advance a topical defense of federal policy </w:t>
      </w:r>
      <w:r w:rsidR="00E42B9C">
        <w:t xml:space="preserve">and its implementation </w:t>
      </w:r>
      <w:r w:rsidRPr="00A761EF">
        <w:t>undermines debate’s transformative and intellectual potential</w:t>
      </w:r>
    </w:p>
    <w:p w:rsidR="00386FDB" w:rsidRPr="00A761EF" w:rsidRDefault="00386FDB" w:rsidP="00386FDB"/>
    <w:p w:rsidR="00386FDB" w:rsidRPr="00A761EF" w:rsidRDefault="00386FDB" w:rsidP="00386FDB">
      <w:pPr>
        <w:pStyle w:val="Heading2"/>
      </w:pPr>
      <w:r w:rsidRPr="00A761EF">
        <w:t>First, a limited topic of discussion that provides for equitable ground is key to productive inculcation of decision-making and advocacy skills in all facets of life-</w:t>
      </w:r>
      <w:r>
        <w:t xml:space="preserve"> </w:t>
      </w:r>
      <w:r w:rsidRPr="00A761EF">
        <w:t>even if their position is contestable that’s distinct from it being valuably debatable-</w:t>
      </w:r>
      <w:r>
        <w:t xml:space="preserve"> </w:t>
      </w:r>
      <w:r w:rsidRPr="00A761EF">
        <w:t>this still provides room for flexibility, creativity, and innovation, but targets the discussion to avoid mere statements of fact</w:t>
      </w:r>
      <w:r>
        <w:t xml:space="preserve"> while solving any turns</w:t>
      </w:r>
    </w:p>
    <w:p w:rsidR="00386FDB" w:rsidRPr="00A761EF" w:rsidRDefault="00386FDB" w:rsidP="00386FDB">
      <w:pPr>
        <w:pStyle w:val="Citation"/>
      </w:pPr>
      <w:r w:rsidRPr="00A761EF">
        <w:t>Steinberg</w:t>
      </w:r>
      <w:r>
        <w:t xml:space="preserve"> and Freely</w:t>
      </w:r>
      <w:r w:rsidRPr="00A761EF">
        <w:t>, University of Miami Lecturer of Communication Studies, and</w:t>
      </w:r>
      <w:r>
        <w:t xml:space="preserve"> attorney</w:t>
      </w:r>
      <w:r w:rsidRPr="00A761EF">
        <w:t>,</w:t>
      </w:r>
      <w:r>
        <w:t xml:space="preserve"> 8</w:t>
      </w:r>
    </w:p>
    <w:p w:rsidR="00386FDB" w:rsidRPr="00A761EF" w:rsidRDefault="00386FDB" w:rsidP="00386FDB">
      <w:r w:rsidRPr="00A761EF">
        <w:t>(David, Austin, Boston based attorney who focuses on criminal, personal injury and civil rights law</w:t>
      </w:r>
      <w:r>
        <w:t>,</w:t>
      </w:r>
      <w:r w:rsidRPr="00A761EF">
        <w:t xml:space="preserve"> “Argumentation and Debate: Critical Thinking for Reasoned Decision Making,” p. 45, DOA: 10-17-12, ads)</w:t>
      </w:r>
    </w:p>
    <w:p w:rsidR="00386FDB" w:rsidRPr="00A761EF" w:rsidRDefault="00386FDB" w:rsidP="00386FDB"/>
    <w:p w:rsidR="00386FDB" w:rsidRPr="00A761EF" w:rsidRDefault="00386FDB" w:rsidP="00386FDB">
      <w:r w:rsidRPr="00A761EF">
        <w:rPr>
          <w:rStyle w:val="BoldUnderlineChar"/>
          <w:rFonts w:eastAsia="Calibri"/>
          <w:highlight w:val="yellow"/>
        </w:rPr>
        <w:t xml:space="preserve">Debate is a means </w:t>
      </w:r>
      <w:r w:rsidR="00431E9D">
        <w:rPr>
          <w:rStyle w:val="BoldUnderlineChar"/>
          <w:rFonts w:eastAsia="Calibri"/>
        </w:rPr>
        <w:t>…</w:t>
      </w:r>
      <w:r w:rsidRPr="00A761EF">
        <w:rPr>
          <w:sz w:val="14"/>
        </w:rPr>
        <w:t xml:space="preserve"> the following discussion.</w:t>
      </w:r>
    </w:p>
    <w:p w:rsidR="00386FDB" w:rsidRPr="00A761EF" w:rsidRDefault="00386FDB" w:rsidP="00386FDB"/>
    <w:p w:rsidR="00386FDB" w:rsidRPr="00A761EF" w:rsidRDefault="00386FDB" w:rsidP="00386FDB">
      <w:pPr>
        <w:pStyle w:val="Heading2"/>
      </w:pPr>
      <w:r w:rsidRPr="00A761EF">
        <w:t xml:space="preserve">Second, 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386FDB" w:rsidRPr="00A761EF" w:rsidRDefault="00386FDB" w:rsidP="00386FDB">
      <w:pPr>
        <w:pStyle w:val="Citation"/>
      </w:pPr>
      <w:proofErr w:type="spellStart"/>
      <w:r w:rsidRPr="00DB640E">
        <w:rPr>
          <w:highlight w:val="yellow"/>
        </w:rPr>
        <w:t>Esberg</w:t>
      </w:r>
      <w:proofErr w:type="spellEnd"/>
      <w:r w:rsidRPr="00A761EF">
        <w:t xml:space="preserve">, New York University's Center on International Cooperation Special Assistant to the Director, </w:t>
      </w:r>
      <w:r w:rsidRPr="00DB640E">
        <w:rPr>
          <w:highlight w:val="yellow"/>
        </w:rPr>
        <w:t>and Sagan</w:t>
      </w:r>
      <w:r w:rsidRPr="00A761EF">
        <w:t>, Stanford University’s Center for International Security and Cooperation Director, 20</w:t>
      </w:r>
      <w:r w:rsidRPr="00DB640E">
        <w:rPr>
          <w:highlight w:val="yellow"/>
        </w:rPr>
        <w:t>12</w:t>
      </w:r>
    </w:p>
    <w:p w:rsidR="00386FDB" w:rsidRPr="00A761EF" w:rsidRDefault="00386FDB" w:rsidP="00386FDB">
      <w:r w:rsidRPr="00A761EF">
        <w:t xml:space="preserve">(Jane, Winner of 2009 Firestone Medal, Scott, Stanford University Professor of Political Science, “NEGOTIATING NONPROLIFERATION Scholarship, Pedagogy, and Nuclear Weapons Policy,” </w:t>
      </w:r>
      <w:hyperlink r:id="rId7" w:history="1">
        <w:r w:rsidRPr="00A761EF">
          <w:rPr>
            <w:rStyle w:val="Hyperlink"/>
          </w:rPr>
          <w:t>http://www.tandfonline.com/doi/pdf/10.1080/10736700.2012.655089</w:t>
        </w:r>
      </w:hyperlink>
      <w:r w:rsidRPr="00A761EF">
        <w:t>, DOA:</w:t>
      </w:r>
      <w:r w:rsidRPr="00A761EF">
        <w:rPr>
          <w:sz w:val="14"/>
        </w:rPr>
        <w:t xml:space="preserve"> </w:t>
      </w:r>
      <w:r w:rsidRPr="00A761EF">
        <w:t>10-16-12, ads)</w:t>
      </w:r>
    </w:p>
    <w:p w:rsidR="00386FDB" w:rsidRPr="00DB640E" w:rsidRDefault="00386FDB" w:rsidP="00386FDB"/>
    <w:p w:rsidR="00386FDB" w:rsidRPr="00A761EF" w:rsidRDefault="00386FDB" w:rsidP="00386FDB">
      <w:r w:rsidRPr="00A761EF">
        <w:rPr>
          <w:rStyle w:val="Underline"/>
        </w:rPr>
        <w:t xml:space="preserve">These </w:t>
      </w:r>
      <w:r w:rsidRPr="00035319">
        <w:rPr>
          <w:rStyle w:val="Underline"/>
          <w:highlight w:val="yellow"/>
        </w:rPr>
        <w:t>government</w:t>
      </w:r>
      <w:r w:rsidRPr="00A761EF">
        <w:rPr>
          <w:rStyle w:val="Underline"/>
        </w:rPr>
        <w:t xml:space="preserve"> or </w:t>
      </w:r>
      <w:r w:rsidR="00431E9D">
        <w:rPr>
          <w:rStyle w:val="Underline"/>
        </w:rPr>
        <w:t>…</w:t>
      </w:r>
      <w:r w:rsidRPr="00782636">
        <w:rPr>
          <w:rStyle w:val="BoldUnderlineChar"/>
          <w:rFonts w:eastAsia="Calibri"/>
          <w:highlight w:val="yellow"/>
        </w:rPr>
        <w:t xml:space="preserve"> act on information</w:t>
      </w:r>
      <w:r w:rsidRPr="00A761EF">
        <w:rPr>
          <w:sz w:val="14"/>
        </w:rPr>
        <w:t>. 14</w:t>
      </w:r>
    </w:p>
    <w:p w:rsidR="00386FDB" w:rsidRPr="00A761EF" w:rsidRDefault="00386FDB" w:rsidP="00386FDB"/>
    <w:p w:rsidR="00386FDB" w:rsidRPr="00A761EF" w:rsidRDefault="00386FDB" w:rsidP="00386FDB">
      <w:pPr>
        <w:pStyle w:val="Heading2"/>
      </w:pPr>
      <w:r w:rsidRPr="00A761EF">
        <w:t xml:space="preserve">Effective deliberation is crucial to the activation of personal agency and is only possible in a switch-side debate format where debaters divorce themselves from ideology to engage in </w:t>
      </w:r>
      <w:r>
        <w:t xml:space="preserve">both sides of </w:t>
      </w:r>
      <w:r w:rsidRPr="00A761EF">
        <w:t>political contestation-</w:t>
      </w:r>
      <w:r>
        <w:t xml:space="preserve"> this form of understanding</w:t>
      </w:r>
      <w:r w:rsidRPr="00A761EF">
        <w:t xml:space="preserve"> is vital to preventing mass violence and self-obsession </w:t>
      </w:r>
    </w:p>
    <w:p w:rsidR="00386FDB" w:rsidRPr="00A761EF" w:rsidRDefault="00386FDB" w:rsidP="00386FDB">
      <w:pPr>
        <w:rPr>
          <w:b/>
          <w:sz w:val="24"/>
        </w:rPr>
      </w:pPr>
      <w:r w:rsidRPr="00A761EF">
        <w:rPr>
          <w:b/>
          <w:sz w:val="24"/>
        </w:rPr>
        <w:t>Roberts-Miller, UT Rhetoric professor, 3</w:t>
      </w:r>
    </w:p>
    <w:p w:rsidR="00386FDB" w:rsidRPr="00A761EF" w:rsidRDefault="00386FDB" w:rsidP="00386FDB">
      <w:r w:rsidRPr="00A761EF">
        <w:t xml:space="preserve">(Patricia, “Fighting </w:t>
      </w:r>
      <w:proofErr w:type="gramStart"/>
      <w:r w:rsidRPr="00A761EF">
        <w:t>Without</w:t>
      </w:r>
      <w:proofErr w:type="gramEnd"/>
      <w:r w:rsidRPr="00A761EF">
        <w:t xml:space="preserve"> Hatred: Hannah Arendt’s Agonistic Rhetoric”, </w:t>
      </w:r>
      <w:hyperlink r:id="rId8" w:history="1">
        <w:r w:rsidRPr="00A761EF">
          <w:rPr>
            <w:rStyle w:val="Hyperlink"/>
          </w:rPr>
          <w:t>http://www.jaconlinejournal.com/archives/vol22.3/miller-fighting.pdf</w:t>
        </w:r>
      </w:hyperlink>
      <w:r w:rsidRPr="00A761EF">
        <w:t xml:space="preserve">, DOA: 1-31-12, </w:t>
      </w:r>
      <w:proofErr w:type="spellStart"/>
      <w:r w:rsidRPr="00A761EF">
        <w:t>ldg</w:t>
      </w:r>
      <w:proofErr w:type="spellEnd"/>
      <w:r w:rsidRPr="00A761EF">
        <w:t>)</w:t>
      </w:r>
    </w:p>
    <w:p w:rsidR="00386FDB" w:rsidRPr="00A761EF" w:rsidRDefault="00386FDB" w:rsidP="00386FDB"/>
    <w:p w:rsidR="00386FDB" w:rsidRDefault="00386FDB" w:rsidP="00386FDB">
      <w:pPr>
        <w:rPr>
          <w:sz w:val="14"/>
        </w:rPr>
      </w:pPr>
      <w:r w:rsidRPr="00A761EF">
        <w:rPr>
          <w:sz w:val="14"/>
        </w:rPr>
        <w:t xml:space="preserve">Arendt is probably </w:t>
      </w:r>
      <w:r w:rsidR="00431E9D">
        <w:rPr>
          <w:sz w:val="14"/>
        </w:rPr>
        <w:t>…</w:t>
      </w:r>
      <w:r w:rsidRPr="00A761EF">
        <w:rPr>
          <w:rStyle w:val="BoldUnderlineChar"/>
          <w:rFonts w:eastAsia="Calibri"/>
          <w:highlight w:val="yellow"/>
        </w:rPr>
        <w:t xml:space="preserve"> the bureaucratizing of evil</w:t>
      </w:r>
      <w:r w:rsidRPr="00A761EF">
        <w:rPr>
          <w:sz w:val="14"/>
        </w:rPr>
        <w:t xml:space="preserve">. </w:t>
      </w:r>
    </w:p>
    <w:p w:rsidR="00B379DC" w:rsidRDefault="00B379DC" w:rsidP="00386FDB">
      <w:pPr>
        <w:rPr>
          <w:sz w:val="14"/>
        </w:rPr>
      </w:pPr>
    </w:p>
    <w:p w:rsidR="00785B9A" w:rsidRPr="0022026A" w:rsidRDefault="00785B9A" w:rsidP="00785B9A">
      <w:pPr>
        <w:pStyle w:val="Heading2"/>
      </w:pPr>
      <w:r>
        <w:t>Implementation-</w:t>
      </w:r>
      <w:r w:rsidRPr="0022026A">
        <w:t>the aff will always win the principles of their advocacy are good in the abstract- we can only debate the merits of arguments if they defend the specific consequences of political implementation</w:t>
      </w:r>
    </w:p>
    <w:p w:rsidR="00785B9A" w:rsidRDefault="00785B9A" w:rsidP="00785B9A">
      <w:r w:rsidRPr="0022026A">
        <w:t xml:space="preserve">Michael </w:t>
      </w:r>
      <w:proofErr w:type="spellStart"/>
      <w:r w:rsidRPr="0022026A">
        <w:rPr>
          <w:b/>
          <w:u w:val="single"/>
        </w:rPr>
        <w:t>Ignatieff</w:t>
      </w:r>
      <w:proofErr w:type="spellEnd"/>
      <w:r w:rsidRPr="0022026A">
        <w:t xml:space="preserve">, Harvard Carr Center for Human Rights Policy director and human rights practices professor, </w:t>
      </w:r>
      <w:r w:rsidRPr="0022026A">
        <w:rPr>
          <w:b/>
          <w:u w:val="single"/>
        </w:rPr>
        <w:t>04</w:t>
      </w:r>
      <w:r w:rsidRPr="0022026A">
        <w:t xml:space="preserve"> (</w:t>
      </w:r>
      <w:r w:rsidRPr="0022026A">
        <w:rPr>
          <w:i/>
        </w:rPr>
        <w:t>The Lesser Evil: Political Ethics in an Age of Terror</w:t>
      </w:r>
      <w:r w:rsidRPr="0022026A">
        <w:t>, 20-21)</w:t>
      </w:r>
    </w:p>
    <w:p w:rsidR="00852559" w:rsidRPr="00852559" w:rsidRDefault="00852559" w:rsidP="00852559"/>
    <w:p w:rsidR="00785B9A" w:rsidRPr="0022026A" w:rsidRDefault="00785B9A" w:rsidP="00785B9A">
      <w:r w:rsidRPr="00E86084">
        <w:rPr>
          <w:sz w:val="14"/>
        </w:rPr>
        <w:t xml:space="preserve">There are two </w:t>
      </w:r>
      <w:r w:rsidR="00431E9D">
        <w:rPr>
          <w:sz w:val="14"/>
        </w:rPr>
        <w:t>…</w:t>
      </w:r>
      <w:r w:rsidRPr="00E86084">
        <w:rPr>
          <w:sz w:val="14"/>
        </w:rPr>
        <w:t>lead us to betray another.</w:t>
      </w:r>
    </w:p>
    <w:p w:rsidR="00386FDB" w:rsidRPr="00A761EF" w:rsidRDefault="00386FDB" w:rsidP="00386FDB"/>
    <w:p w:rsidR="00386FDB" w:rsidRPr="00A761EF" w:rsidRDefault="00386FDB" w:rsidP="00386FDB">
      <w:pPr>
        <w:pStyle w:val="Heading2"/>
      </w:pPr>
      <w:r w:rsidRPr="00A761EF">
        <w:t xml:space="preserve">Effective Decision Making outweighs - </w:t>
      </w:r>
    </w:p>
    <w:p w:rsidR="00386FDB" w:rsidRPr="00A761EF" w:rsidRDefault="00386FDB" w:rsidP="00386FDB">
      <w:pPr>
        <w:pStyle w:val="Heading2"/>
      </w:pPr>
      <w:r w:rsidRPr="00A761EF">
        <w:t>Key to social improvements in every and all facets of life</w:t>
      </w:r>
    </w:p>
    <w:p w:rsidR="00386FDB" w:rsidRPr="00A761EF" w:rsidRDefault="00386FDB" w:rsidP="00386FDB">
      <w:pPr>
        <w:pStyle w:val="Citation"/>
      </w:pPr>
      <w:r w:rsidRPr="00A761EF">
        <w:t>Steinberg</w:t>
      </w:r>
      <w:r>
        <w:t xml:space="preserve"> and Freely</w:t>
      </w:r>
      <w:r w:rsidRPr="00A761EF">
        <w:t xml:space="preserve">, University of Miami Lecturer of Communication Studies, and </w:t>
      </w:r>
      <w:r>
        <w:t xml:space="preserve">attorney, </w:t>
      </w:r>
      <w:r w:rsidRPr="00A761EF">
        <w:t>8</w:t>
      </w:r>
    </w:p>
    <w:p w:rsidR="00386FDB" w:rsidRPr="00A761EF" w:rsidRDefault="00386FDB" w:rsidP="00386FDB">
      <w:r w:rsidRPr="00A761EF">
        <w:t>(David, Austin</w:t>
      </w:r>
      <w:r>
        <w:t>,</w:t>
      </w:r>
      <w:r w:rsidRPr="00162A6E">
        <w:t xml:space="preserve"> </w:t>
      </w:r>
      <w:r w:rsidRPr="00A761EF">
        <w:t>Boston based attorney who focuses on criminal, personal injury and civil rights law, “Argumentation and Debate: Critical Thinking for Reasoned Decision Making,” p. 9-10, DOA: 10-17-12, ads)</w:t>
      </w:r>
    </w:p>
    <w:p w:rsidR="00386FDB" w:rsidRPr="00A761EF" w:rsidRDefault="00386FDB" w:rsidP="00386FDB">
      <w:pPr>
        <w:rPr>
          <w:highlight w:val="yellow"/>
        </w:rPr>
      </w:pPr>
    </w:p>
    <w:p w:rsidR="00386FDB" w:rsidRPr="00A761EF" w:rsidRDefault="00386FDB" w:rsidP="00386FDB">
      <w:proofErr w:type="gramStart"/>
      <w:r w:rsidRPr="00A761EF">
        <w:rPr>
          <w:rStyle w:val="BoldUnderlineChar"/>
          <w:rFonts w:eastAsia="Calibri"/>
          <w:highlight w:val="yellow"/>
        </w:rPr>
        <w:t xml:space="preserve">If we assume </w:t>
      </w:r>
      <w:r w:rsidR="00431E9D">
        <w:rPr>
          <w:rStyle w:val="BoldUnderlineChar"/>
          <w:rFonts w:eastAsia="Calibri"/>
        </w:rPr>
        <w:t>…</w:t>
      </w:r>
      <w:r w:rsidRPr="00A761EF">
        <w:rPr>
          <w:sz w:val="14"/>
        </w:rPr>
        <w:t xml:space="preserve"> through reasoned debate.</w:t>
      </w:r>
      <w:proofErr w:type="gramEnd"/>
    </w:p>
    <w:p w:rsidR="00386FDB" w:rsidRPr="00A761EF" w:rsidRDefault="00386FDB" w:rsidP="00386FDB"/>
    <w:p w:rsidR="00386FDB" w:rsidRPr="00A761EF" w:rsidRDefault="00386FDB" w:rsidP="00386FDB">
      <w:pPr>
        <w:pStyle w:val="Heading2"/>
      </w:pPr>
      <w:r w:rsidRPr="00A761EF">
        <w:t>Only portable skill---means our framework turns case</w:t>
      </w:r>
    </w:p>
    <w:p w:rsidR="00386FDB" w:rsidRPr="00A761EF" w:rsidRDefault="00386FDB" w:rsidP="00386FDB">
      <w:pPr>
        <w:pStyle w:val="Citation"/>
      </w:pPr>
      <w:r w:rsidRPr="00A761EF">
        <w:t>Steinberg</w:t>
      </w:r>
      <w:r>
        <w:t xml:space="preserve"> and Freely</w:t>
      </w:r>
      <w:r w:rsidRPr="00A761EF">
        <w:t xml:space="preserve">, University of Miami Lecturer of Communication Studies, and </w:t>
      </w:r>
      <w:r>
        <w:t xml:space="preserve">attorney, </w:t>
      </w:r>
      <w:r w:rsidRPr="00A761EF">
        <w:t>8</w:t>
      </w:r>
    </w:p>
    <w:p w:rsidR="00386FDB" w:rsidRPr="00A761EF" w:rsidRDefault="00386FDB" w:rsidP="00386FDB">
      <w:r w:rsidRPr="00A761EF">
        <w:t xml:space="preserve"> (David, Austin,</w:t>
      </w:r>
      <w:r w:rsidRPr="00162A6E">
        <w:t xml:space="preserve"> </w:t>
      </w:r>
      <w:r w:rsidRPr="00A761EF">
        <w:t>Boston based attorney who focuses on criminal, personal injury and civil rights law “Argumentation and Debate: Critical Thinking for Reasoned Decision Making,” p. 9-10, DOA: 10-17-12, ads)</w:t>
      </w:r>
    </w:p>
    <w:p w:rsidR="00386FDB" w:rsidRPr="00A761EF" w:rsidRDefault="00386FDB" w:rsidP="00386FDB"/>
    <w:p w:rsidR="00386FDB" w:rsidRPr="00A761EF" w:rsidRDefault="00386FDB" w:rsidP="00386FDB">
      <w:pPr>
        <w:rPr>
          <w:rStyle w:val="Underline"/>
        </w:rPr>
      </w:pPr>
      <w:proofErr w:type="gramStart"/>
      <w:r w:rsidRPr="00A761EF">
        <w:rPr>
          <w:rStyle w:val="BoldUnderlineChar"/>
          <w:rFonts w:eastAsia="Calibri"/>
          <w:highlight w:val="yellow"/>
        </w:rPr>
        <w:t xml:space="preserve">After several days </w:t>
      </w:r>
      <w:r w:rsidR="001673B6">
        <w:rPr>
          <w:rStyle w:val="BoldUnderlineChar"/>
          <w:rFonts w:eastAsia="Calibri"/>
        </w:rPr>
        <w:t>…</w:t>
      </w:r>
      <w:r w:rsidRPr="00A761EF">
        <w:rPr>
          <w:rStyle w:val="Underline"/>
        </w:rPr>
        <w:t>favored political candidate.</w:t>
      </w:r>
      <w:proofErr w:type="gramEnd"/>
      <w:r w:rsidRPr="00A761EF">
        <w:rPr>
          <w:rStyle w:val="Underline"/>
        </w:rPr>
        <w:t xml:space="preserve"> </w:t>
      </w:r>
    </w:p>
    <w:p w:rsidR="00386FDB" w:rsidRPr="00A761EF" w:rsidRDefault="00386FDB" w:rsidP="00386FDB"/>
    <w:p w:rsidR="00386FDB" w:rsidRPr="00A761EF" w:rsidRDefault="00386FDB" w:rsidP="00386FDB">
      <w:pPr>
        <w:pStyle w:val="Heading2"/>
      </w:pPr>
      <w:r w:rsidRPr="00A761EF">
        <w:t>Effective deliberative discourse is the lynchpin to solving all existential social and political problems---a switch-side debate format that sets appropriate limits on argument to foster a targeted</w:t>
      </w:r>
      <w:r>
        <w:t xml:space="preserve"> discussion is most effective</w:t>
      </w:r>
    </w:p>
    <w:p w:rsidR="00386FDB" w:rsidRPr="00A761EF" w:rsidRDefault="00386FDB" w:rsidP="00386FDB">
      <w:pPr>
        <w:rPr>
          <w:b/>
          <w:sz w:val="24"/>
        </w:rPr>
      </w:pPr>
      <w:r w:rsidRPr="00A761EF">
        <w:rPr>
          <w:b/>
          <w:sz w:val="24"/>
          <w:highlight w:val="yellow"/>
        </w:rPr>
        <w:t>Lundberg</w:t>
      </w:r>
      <w:r w:rsidRPr="00A761EF">
        <w:rPr>
          <w:b/>
          <w:sz w:val="24"/>
        </w:rPr>
        <w:t xml:space="preserve">, UNC Chapel Hill communications professor, </w:t>
      </w:r>
      <w:r w:rsidRPr="00A761EF">
        <w:rPr>
          <w:b/>
          <w:sz w:val="24"/>
          <w:highlight w:val="yellow"/>
        </w:rPr>
        <w:t>10</w:t>
      </w:r>
    </w:p>
    <w:p w:rsidR="00386FDB" w:rsidRPr="00A761EF" w:rsidRDefault="00386FDB" w:rsidP="00386FDB">
      <w:r w:rsidRPr="00A761EF">
        <w:t xml:space="preserve">(Christian, Tradition of Debate in North Carolina” in Navigating Opportunity: Policy Debate in the 21st Century, </w:t>
      </w:r>
      <w:proofErr w:type="spellStart"/>
      <w:r w:rsidRPr="00A761EF">
        <w:t>pg</w:t>
      </w:r>
      <w:proofErr w:type="spellEnd"/>
      <w:r w:rsidRPr="00A761EF">
        <w:t xml:space="preserve"> 311-3, </w:t>
      </w:r>
      <w:proofErr w:type="spellStart"/>
      <w:proofErr w:type="gramStart"/>
      <w:r w:rsidRPr="00A761EF">
        <w:t>ldg</w:t>
      </w:r>
      <w:proofErr w:type="spellEnd"/>
      <w:proofErr w:type="gramEnd"/>
      <w:r w:rsidRPr="00A761EF">
        <w:t>)</w:t>
      </w:r>
    </w:p>
    <w:p w:rsidR="00386FDB" w:rsidRPr="00A761EF" w:rsidRDefault="00386FDB" w:rsidP="00386FDB"/>
    <w:p w:rsidR="00386FDB" w:rsidRDefault="00386FDB" w:rsidP="00386FDB">
      <w:proofErr w:type="gramStart"/>
      <w:r w:rsidRPr="00A761EF">
        <w:rPr>
          <w:rStyle w:val="Underline"/>
        </w:rPr>
        <w:t xml:space="preserve">The second major </w:t>
      </w:r>
      <w:r w:rsidR="001673B6">
        <w:rPr>
          <w:rStyle w:val="Underline"/>
        </w:rPr>
        <w:t>…</w:t>
      </w:r>
      <w:r w:rsidRPr="00A761EF">
        <w:rPr>
          <w:sz w:val="14"/>
        </w:rPr>
        <w:t xml:space="preserve"> colleges and universities.</w:t>
      </w:r>
      <w:proofErr w:type="gramEnd"/>
      <w:r w:rsidRPr="00A761EF">
        <w:t xml:space="preserve"> </w:t>
      </w:r>
    </w:p>
    <w:p w:rsidR="00B379DC" w:rsidRPr="00A761EF" w:rsidRDefault="00B379DC" w:rsidP="00386FDB"/>
    <w:p w:rsidR="00B379DC" w:rsidRPr="00FF13EA" w:rsidRDefault="00B379DC" w:rsidP="00B379DC">
      <w:pPr>
        <w:keepNext/>
        <w:outlineLvl w:val="1"/>
        <w:rPr>
          <w:rFonts w:eastAsia="Times New Roman" w:cs="Arial"/>
          <w:b/>
          <w:bCs/>
          <w:iCs/>
          <w:sz w:val="24"/>
          <w:szCs w:val="28"/>
        </w:rPr>
      </w:pPr>
      <w:r w:rsidRPr="00FF13EA">
        <w:rPr>
          <w:rFonts w:eastAsia="Times New Roman" w:cs="Arial"/>
          <w:b/>
          <w:bCs/>
          <w:iCs/>
          <w:sz w:val="24"/>
          <w:szCs w:val="28"/>
        </w:rPr>
        <w:t>Exploding predictable limits neutralizes the discursive benefits to debate and renders their advocacy meaningless—only our interpretation preserves the revolutionary potential of a deliberative activity</w:t>
      </w:r>
    </w:p>
    <w:p w:rsidR="00B379DC" w:rsidRPr="00FF13EA" w:rsidRDefault="00B379DC" w:rsidP="00B379DC">
      <w:pPr>
        <w:rPr>
          <w:rFonts w:eastAsia="Times New Roman"/>
          <w:szCs w:val="24"/>
        </w:rPr>
      </w:pPr>
      <w:r w:rsidRPr="00FF13EA">
        <w:rPr>
          <w:rFonts w:eastAsia="Times New Roman"/>
          <w:szCs w:val="24"/>
        </w:rPr>
        <w:t xml:space="preserve">Ruth </w:t>
      </w:r>
      <w:r w:rsidRPr="00FF13EA">
        <w:rPr>
          <w:rFonts w:eastAsia="Times New Roman"/>
          <w:b/>
          <w:szCs w:val="24"/>
          <w:u w:val="single"/>
        </w:rPr>
        <w:t>Shively</w:t>
      </w:r>
      <w:r w:rsidRPr="00FF13EA">
        <w:rPr>
          <w:rFonts w:eastAsia="Times New Roman"/>
          <w:szCs w:val="24"/>
        </w:rPr>
        <w:t xml:space="preserve">, former professor of political science at Texas </w:t>
      </w:r>
      <w:proofErr w:type="gramStart"/>
      <w:r w:rsidRPr="00FF13EA">
        <w:rPr>
          <w:rFonts w:eastAsia="Times New Roman"/>
          <w:szCs w:val="24"/>
        </w:rPr>
        <w:t>A&amp;M</w:t>
      </w:r>
      <w:proofErr w:type="gramEnd"/>
      <w:r w:rsidRPr="00FF13EA">
        <w:rPr>
          <w:rFonts w:eastAsia="Times New Roman"/>
          <w:szCs w:val="24"/>
        </w:rPr>
        <w:t>, 20</w:t>
      </w:r>
      <w:r w:rsidRPr="00FF13EA">
        <w:rPr>
          <w:rFonts w:eastAsia="Times New Roman"/>
          <w:b/>
          <w:szCs w:val="24"/>
          <w:u w:val="single"/>
        </w:rPr>
        <w:t>00</w:t>
      </w:r>
      <w:r w:rsidRPr="00FF13EA">
        <w:rPr>
          <w:rFonts w:eastAsia="Times New Roman"/>
          <w:szCs w:val="24"/>
        </w:rPr>
        <w:t xml:space="preserve"> (Political Theory and Partisan Politics p. 180)</w:t>
      </w:r>
    </w:p>
    <w:p w:rsidR="00B379DC" w:rsidRPr="00FF13EA" w:rsidRDefault="00B379DC" w:rsidP="00B379DC">
      <w:pPr>
        <w:rPr>
          <w:rFonts w:eastAsia="Times New Roman"/>
          <w:szCs w:val="24"/>
        </w:rPr>
      </w:pPr>
    </w:p>
    <w:p w:rsidR="00B379DC" w:rsidRDefault="00B379DC" w:rsidP="00B379DC">
      <w:pPr>
        <w:rPr>
          <w:rFonts w:eastAsia="Times New Roman"/>
          <w:sz w:val="14"/>
          <w:szCs w:val="24"/>
        </w:rPr>
      </w:pPr>
      <w:proofErr w:type="gramStart"/>
      <w:r w:rsidRPr="00FF13EA">
        <w:rPr>
          <w:rFonts w:eastAsia="Times New Roman"/>
          <w:sz w:val="14"/>
          <w:szCs w:val="24"/>
        </w:rPr>
        <w:t xml:space="preserve">Thus far, I </w:t>
      </w:r>
      <w:r w:rsidR="001673B6">
        <w:rPr>
          <w:rFonts w:eastAsia="Times New Roman"/>
          <w:sz w:val="14"/>
          <w:szCs w:val="24"/>
        </w:rPr>
        <w:t>…</w:t>
      </w:r>
      <w:r w:rsidRPr="00FF13EA">
        <w:rPr>
          <w:rFonts w:eastAsia="Times New Roman"/>
          <w:sz w:val="14"/>
          <w:szCs w:val="24"/>
        </w:rPr>
        <w:t xml:space="preserve"> civility and democracy.</w:t>
      </w:r>
      <w:proofErr w:type="gramEnd"/>
    </w:p>
    <w:p w:rsidR="00B379DC" w:rsidRPr="00FF13EA" w:rsidRDefault="00B379DC" w:rsidP="00B379DC">
      <w:pPr>
        <w:rPr>
          <w:rFonts w:eastAsia="Times New Roman"/>
          <w:szCs w:val="24"/>
        </w:rPr>
      </w:pPr>
    </w:p>
    <w:p w:rsidR="00212067" w:rsidRDefault="00212067" w:rsidP="00AB2556"/>
    <w:p w:rsidR="00E168B3" w:rsidRDefault="00E168B3" w:rsidP="00E168B3">
      <w:pPr>
        <w:pStyle w:val="Heading1"/>
      </w:pPr>
      <w:r>
        <w:t>K</w:t>
      </w:r>
    </w:p>
    <w:p w:rsidR="00E168B3" w:rsidRDefault="00E168B3" w:rsidP="00E168B3"/>
    <w:p w:rsidR="00E168B3" w:rsidRPr="00E168B3" w:rsidRDefault="00E168B3" w:rsidP="00E168B3">
      <w:pPr>
        <w:keepNext/>
        <w:outlineLvl w:val="1"/>
        <w:rPr>
          <w:rFonts w:eastAsia="Times New Roman" w:cs="Arial"/>
          <w:b/>
          <w:bCs/>
          <w:iCs/>
          <w:sz w:val="24"/>
          <w:szCs w:val="28"/>
        </w:rPr>
      </w:pPr>
      <w:r w:rsidRPr="00E168B3">
        <w:rPr>
          <w:rFonts w:eastAsia="Times New Roman" w:cs="Arial"/>
          <w:b/>
          <w:bCs/>
          <w:iCs/>
          <w:sz w:val="24"/>
          <w:szCs w:val="28"/>
        </w:rPr>
        <w:t xml:space="preserve">The affirmative casually deploys the term “fetish” as a description of </w:t>
      </w:r>
      <w:r w:rsidR="00993883">
        <w:rPr>
          <w:rFonts w:eastAsia="Times New Roman" w:cs="Arial"/>
          <w:b/>
          <w:bCs/>
          <w:iCs/>
          <w:sz w:val="24"/>
          <w:szCs w:val="28"/>
        </w:rPr>
        <w:t>an</w:t>
      </w:r>
      <w:r w:rsidRPr="00E168B3">
        <w:rPr>
          <w:rFonts w:eastAsia="Times New Roman" w:cs="Arial"/>
          <w:b/>
          <w:bCs/>
          <w:iCs/>
          <w:sz w:val="24"/>
          <w:szCs w:val="28"/>
        </w:rPr>
        <w:t xml:space="preserve"> obsession. Unfortunately, the affirmative’s deployment of the term fetish to describe an irrational obsession with </w:t>
      </w:r>
      <w:r w:rsidR="00993883">
        <w:rPr>
          <w:rFonts w:eastAsia="Times New Roman" w:cs="Arial"/>
          <w:b/>
          <w:bCs/>
          <w:iCs/>
          <w:sz w:val="24"/>
          <w:szCs w:val="28"/>
        </w:rPr>
        <w:t>the landscape</w:t>
      </w:r>
      <w:r w:rsidRPr="00E168B3">
        <w:rPr>
          <w:rFonts w:eastAsia="Times New Roman" w:cs="Arial"/>
          <w:b/>
          <w:bCs/>
          <w:iCs/>
          <w:sz w:val="24"/>
          <w:szCs w:val="28"/>
        </w:rPr>
        <w:t xml:space="preserve"> replicates the long history of the term “fetish” which is a racist representation of African religions rooted in European Colonialism.</w:t>
      </w:r>
    </w:p>
    <w:p w:rsidR="00E168B3" w:rsidRPr="00E168B3" w:rsidRDefault="00E168B3" w:rsidP="00E168B3">
      <w:pPr>
        <w:rPr>
          <w:rFonts w:eastAsia="Times New Roman"/>
          <w:szCs w:val="24"/>
        </w:rPr>
      </w:pPr>
      <w:r w:rsidRPr="00E168B3">
        <w:rPr>
          <w:rFonts w:eastAsia="Times New Roman" w:cs="Arial"/>
          <w:b/>
          <w:bCs/>
          <w:iCs/>
          <w:sz w:val="24"/>
          <w:szCs w:val="28"/>
        </w:rPr>
        <w:t>West</w:t>
      </w:r>
      <w:r w:rsidRPr="00E168B3">
        <w:rPr>
          <w:rFonts w:eastAsia="Times New Roman"/>
          <w:szCs w:val="24"/>
        </w:rPr>
        <w:t xml:space="preserve">, Assistant Professor of Anthropology at the New School University, </w:t>
      </w:r>
      <w:r w:rsidRPr="00E168B3">
        <w:rPr>
          <w:rFonts w:eastAsia="Times New Roman" w:cs="Arial"/>
          <w:b/>
          <w:bCs/>
          <w:iCs/>
          <w:sz w:val="24"/>
          <w:szCs w:val="28"/>
        </w:rPr>
        <w:t>2003</w:t>
      </w:r>
      <w:r w:rsidRPr="00E168B3">
        <w:rPr>
          <w:rFonts w:eastAsia="Times New Roman"/>
          <w:szCs w:val="24"/>
        </w:rPr>
        <w:t xml:space="preserve"> (Harry G., “Transparency and Conspiracy Ethnographies of suspicion in the new world order, </w:t>
      </w:r>
      <w:proofErr w:type="spellStart"/>
      <w:r w:rsidRPr="00E168B3">
        <w:rPr>
          <w:rFonts w:eastAsia="Times New Roman"/>
          <w:szCs w:val="24"/>
        </w:rPr>
        <w:t>Pg</w:t>
      </w:r>
      <w:proofErr w:type="spellEnd"/>
      <w:r w:rsidRPr="00E168B3">
        <w:rPr>
          <w:rFonts w:eastAsia="Times New Roman"/>
          <w:szCs w:val="24"/>
        </w:rPr>
        <w:t xml:space="preserve"> 249)</w:t>
      </w:r>
    </w:p>
    <w:p w:rsidR="00E168B3" w:rsidRPr="00E168B3" w:rsidRDefault="00E168B3" w:rsidP="00E168B3">
      <w:pPr>
        <w:rPr>
          <w:rFonts w:eastAsia="Times New Roman"/>
          <w:szCs w:val="24"/>
        </w:rPr>
      </w:pPr>
    </w:p>
    <w:p w:rsidR="00E168B3" w:rsidRPr="00E168B3" w:rsidRDefault="00E168B3" w:rsidP="00E168B3">
      <w:pPr>
        <w:rPr>
          <w:rFonts w:eastAsia="Times New Roman"/>
          <w:szCs w:val="24"/>
          <w:u w:val="single"/>
        </w:rPr>
      </w:pPr>
      <w:proofErr w:type="gramStart"/>
      <w:r w:rsidRPr="00E168B3">
        <w:rPr>
          <w:rFonts w:eastAsia="Times New Roman"/>
          <w:sz w:val="14"/>
          <w:szCs w:val="24"/>
        </w:rPr>
        <w:t xml:space="preserve">More than four </w:t>
      </w:r>
      <w:r w:rsidR="001673B6">
        <w:rPr>
          <w:rFonts w:eastAsia="Times New Roman"/>
          <w:sz w:val="14"/>
          <w:szCs w:val="24"/>
        </w:rPr>
        <w:t>…</w:t>
      </w:r>
      <w:r w:rsidRPr="00E168B3">
        <w:rPr>
          <w:rFonts w:eastAsia="Times New Roman"/>
          <w:szCs w:val="24"/>
          <w:u w:val="single"/>
        </w:rPr>
        <w:t xml:space="preserve"> cosmopolitan New York City.</w:t>
      </w:r>
      <w:proofErr w:type="gramEnd"/>
    </w:p>
    <w:p w:rsidR="00E168B3" w:rsidRPr="00E168B3" w:rsidRDefault="00E168B3" w:rsidP="00E168B3">
      <w:pPr>
        <w:rPr>
          <w:rFonts w:eastAsia="Times New Roman"/>
          <w:szCs w:val="24"/>
          <w:u w:val="single"/>
        </w:rPr>
      </w:pPr>
    </w:p>
    <w:p w:rsidR="00E168B3" w:rsidRPr="00E168B3" w:rsidRDefault="00E168B3" w:rsidP="00E168B3">
      <w:pPr>
        <w:keepNext/>
        <w:outlineLvl w:val="1"/>
        <w:rPr>
          <w:rFonts w:eastAsia="Times New Roman" w:cs="Arial"/>
          <w:b/>
          <w:bCs/>
          <w:iCs/>
          <w:sz w:val="24"/>
          <w:szCs w:val="28"/>
        </w:rPr>
      </w:pPr>
      <w:r w:rsidRPr="00E168B3">
        <w:rPr>
          <w:rFonts w:eastAsia="Times New Roman" w:cs="Arial"/>
          <w:b/>
          <w:bCs/>
          <w:iCs/>
          <w:sz w:val="24"/>
          <w:szCs w:val="28"/>
        </w:rPr>
        <w:t xml:space="preserve">Even more astounding is the affirmative’s claim that the ballot should be used to </w:t>
      </w:r>
      <w:r w:rsidR="00BF26BE">
        <w:rPr>
          <w:rFonts w:eastAsia="Times New Roman" w:cs="Arial"/>
          <w:b/>
          <w:bCs/>
          <w:iCs/>
          <w:sz w:val="24"/>
          <w:szCs w:val="28"/>
        </w:rPr>
        <w:t>reassess aesthetics that can lead to genocide</w:t>
      </w:r>
      <w:r w:rsidRPr="00E168B3">
        <w:rPr>
          <w:rFonts w:eastAsia="Times New Roman" w:cs="Arial"/>
          <w:b/>
          <w:bCs/>
          <w:iCs/>
          <w:sz w:val="24"/>
          <w:szCs w:val="28"/>
        </w:rPr>
        <w:t xml:space="preserve"> while simultaneously relying on the term fetish for the fundamental thesis of their affirmative. </w:t>
      </w:r>
      <w:r w:rsidR="00BF26BE">
        <w:rPr>
          <w:rFonts w:eastAsia="Times New Roman" w:cs="Arial"/>
          <w:b/>
          <w:bCs/>
          <w:iCs/>
          <w:sz w:val="24"/>
          <w:szCs w:val="28"/>
        </w:rPr>
        <w:t>Y</w:t>
      </w:r>
      <w:r w:rsidRPr="00E168B3">
        <w:rPr>
          <w:rFonts w:eastAsia="Times New Roman" w:cs="Arial"/>
          <w:b/>
          <w:bCs/>
          <w:iCs/>
          <w:sz w:val="24"/>
          <w:szCs w:val="28"/>
        </w:rPr>
        <w:t>ou should use your ballot to vote negative because the affirmative relies on racism. Any permutation is an attempt to whitewash the history of the term.</w:t>
      </w:r>
    </w:p>
    <w:p w:rsidR="00E168B3" w:rsidRPr="00E168B3" w:rsidRDefault="00E168B3" w:rsidP="00E168B3">
      <w:pPr>
        <w:rPr>
          <w:rFonts w:eastAsia="Times New Roman"/>
          <w:szCs w:val="24"/>
        </w:rPr>
      </w:pPr>
      <w:r w:rsidRPr="00E168B3">
        <w:rPr>
          <w:rFonts w:eastAsia="Times New Roman" w:cs="Arial"/>
          <w:b/>
          <w:bCs/>
          <w:iCs/>
          <w:sz w:val="24"/>
          <w:szCs w:val="28"/>
        </w:rPr>
        <w:t>West</w:t>
      </w:r>
      <w:r w:rsidRPr="00E168B3">
        <w:rPr>
          <w:rFonts w:eastAsia="Times New Roman"/>
          <w:szCs w:val="24"/>
        </w:rPr>
        <w:t xml:space="preserve">, Assistant Professor of Anthropology at the New School University, </w:t>
      </w:r>
      <w:r w:rsidRPr="00E168B3">
        <w:rPr>
          <w:rFonts w:eastAsia="Times New Roman" w:cs="Arial"/>
          <w:b/>
          <w:bCs/>
          <w:iCs/>
          <w:sz w:val="24"/>
          <w:szCs w:val="28"/>
        </w:rPr>
        <w:t>2003</w:t>
      </w:r>
      <w:r w:rsidRPr="00E168B3">
        <w:rPr>
          <w:rFonts w:eastAsia="Times New Roman"/>
          <w:szCs w:val="24"/>
        </w:rPr>
        <w:t xml:space="preserve"> (Harry G., “Transparency and Conspiracy Ethnographies of suspicion in the new world order, </w:t>
      </w:r>
      <w:proofErr w:type="spellStart"/>
      <w:r w:rsidRPr="00E168B3">
        <w:rPr>
          <w:rFonts w:eastAsia="Times New Roman"/>
          <w:szCs w:val="24"/>
        </w:rPr>
        <w:t>Pg</w:t>
      </w:r>
      <w:proofErr w:type="spellEnd"/>
      <w:r w:rsidRPr="00E168B3">
        <w:rPr>
          <w:rFonts w:eastAsia="Times New Roman"/>
          <w:szCs w:val="24"/>
        </w:rPr>
        <w:t xml:space="preserve"> 251-252)</w:t>
      </w:r>
    </w:p>
    <w:p w:rsidR="00E168B3" w:rsidRPr="00E168B3" w:rsidRDefault="00E168B3" w:rsidP="00E168B3">
      <w:pPr>
        <w:rPr>
          <w:rFonts w:eastAsia="Times New Roman"/>
          <w:szCs w:val="24"/>
        </w:rPr>
      </w:pPr>
    </w:p>
    <w:p w:rsidR="00E168B3" w:rsidRPr="00E168B3" w:rsidRDefault="00E168B3" w:rsidP="00E168B3">
      <w:pPr>
        <w:rPr>
          <w:rFonts w:eastAsia="Times New Roman"/>
          <w:szCs w:val="24"/>
        </w:rPr>
      </w:pPr>
      <w:proofErr w:type="gramStart"/>
      <w:r w:rsidRPr="00E168B3">
        <w:rPr>
          <w:rFonts w:eastAsia="Times New Roman"/>
          <w:szCs w:val="24"/>
          <w:highlight w:val="yellow"/>
          <w:u w:val="single"/>
        </w:rPr>
        <w:t xml:space="preserve">Our language and </w:t>
      </w:r>
      <w:r w:rsidR="001673B6">
        <w:rPr>
          <w:rFonts w:eastAsia="Times New Roman"/>
          <w:szCs w:val="24"/>
          <w:u w:val="single"/>
        </w:rPr>
        <w:t>…</w:t>
      </w:r>
      <w:r w:rsidRPr="00E168B3">
        <w:rPr>
          <w:rFonts w:eastAsia="Times New Roman"/>
          <w:sz w:val="14"/>
          <w:szCs w:val="24"/>
        </w:rPr>
        <w:t xml:space="preserve"> </w:t>
      </w:r>
      <w:proofErr w:type="spellStart"/>
      <w:r w:rsidRPr="00E168B3">
        <w:rPr>
          <w:rFonts w:eastAsia="Times New Roman"/>
          <w:sz w:val="14"/>
          <w:szCs w:val="24"/>
        </w:rPr>
        <w:t>Louima's</w:t>
      </w:r>
      <w:proofErr w:type="spellEnd"/>
      <w:r w:rsidRPr="00E168B3">
        <w:rPr>
          <w:rFonts w:eastAsia="Times New Roman"/>
          <w:sz w:val="14"/>
          <w:szCs w:val="24"/>
        </w:rPr>
        <w:t xml:space="preserve"> </w:t>
      </w:r>
      <w:proofErr w:type="spellStart"/>
      <w:r w:rsidRPr="00E168B3">
        <w:rPr>
          <w:rFonts w:eastAsia="Times New Roman"/>
          <w:sz w:val="14"/>
          <w:szCs w:val="24"/>
        </w:rPr>
        <w:t>Vodou</w:t>
      </w:r>
      <w:proofErr w:type="spellEnd"/>
      <w:r w:rsidRPr="00E168B3">
        <w:rPr>
          <w:rFonts w:eastAsia="Times New Roman"/>
          <w:sz w:val="14"/>
          <w:szCs w:val="24"/>
        </w:rPr>
        <w:t xml:space="preserve"> powers.</w:t>
      </w:r>
      <w:proofErr w:type="gramEnd"/>
    </w:p>
    <w:p w:rsidR="00E168B3" w:rsidRPr="00E168B3" w:rsidRDefault="00E168B3" w:rsidP="00E168B3">
      <w:pPr>
        <w:rPr>
          <w:rFonts w:eastAsia="Times New Roman"/>
          <w:szCs w:val="24"/>
        </w:rPr>
      </w:pPr>
    </w:p>
    <w:p w:rsidR="00E168B3" w:rsidRPr="00E168B3" w:rsidRDefault="00E168B3" w:rsidP="00E168B3">
      <w:pPr>
        <w:keepNext/>
        <w:outlineLvl w:val="1"/>
        <w:rPr>
          <w:rFonts w:eastAsia="Times New Roman" w:cs="Arial"/>
          <w:b/>
          <w:bCs/>
          <w:iCs/>
          <w:sz w:val="24"/>
          <w:szCs w:val="28"/>
        </w:rPr>
      </w:pPr>
      <w:r w:rsidRPr="00E168B3">
        <w:rPr>
          <w:rFonts w:eastAsia="Times New Roman" w:cs="Arial"/>
          <w:b/>
          <w:bCs/>
          <w:iCs/>
          <w:sz w:val="24"/>
          <w:szCs w:val="28"/>
        </w:rPr>
        <w:t xml:space="preserve">Only rejecting the affirmative for deploying the term fetish has the potential to unravel the history of European colonialism which spawned the Enlightenment and the exact same rationality that the Affirmative identifies as the root of </w:t>
      </w:r>
      <w:r w:rsidR="00FD33C1">
        <w:rPr>
          <w:rFonts w:eastAsia="Times New Roman" w:cs="Arial"/>
          <w:b/>
          <w:bCs/>
          <w:iCs/>
          <w:sz w:val="24"/>
          <w:szCs w:val="28"/>
        </w:rPr>
        <w:t>genocide</w:t>
      </w:r>
      <w:r w:rsidRPr="00E168B3">
        <w:rPr>
          <w:rFonts w:eastAsia="Times New Roman" w:cs="Arial"/>
          <w:b/>
          <w:bCs/>
          <w:iCs/>
          <w:sz w:val="24"/>
          <w:szCs w:val="28"/>
        </w:rPr>
        <w:t>.</w:t>
      </w:r>
    </w:p>
    <w:p w:rsidR="00E168B3" w:rsidRPr="00E168B3" w:rsidRDefault="00E168B3" w:rsidP="00E168B3">
      <w:pPr>
        <w:rPr>
          <w:rFonts w:eastAsia="Times New Roman"/>
          <w:szCs w:val="24"/>
        </w:rPr>
      </w:pPr>
      <w:r w:rsidRPr="00E168B3">
        <w:rPr>
          <w:rFonts w:eastAsia="Times New Roman" w:cs="Arial"/>
          <w:b/>
          <w:bCs/>
          <w:iCs/>
          <w:sz w:val="24"/>
          <w:szCs w:val="28"/>
        </w:rPr>
        <w:t>West</w:t>
      </w:r>
      <w:r w:rsidRPr="00E168B3">
        <w:rPr>
          <w:rFonts w:eastAsia="Times New Roman"/>
          <w:szCs w:val="24"/>
        </w:rPr>
        <w:t xml:space="preserve">, Assistant Professor of Anthropology at the New School University, </w:t>
      </w:r>
      <w:r w:rsidRPr="00E168B3">
        <w:rPr>
          <w:rFonts w:eastAsia="Times New Roman" w:cs="Arial"/>
          <w:b/>
          <w:bCs/>
          <w:iCs/>
          <w:sz w:val="24"/>
          <w:szCs w:val="28"/>
        </w:rPr>
        <w:t>2003</w:t>
      </w:r>
      <w:r w:rsidRPr="00E168B3">
        <w:rPr>
          <w:rFonts w:eastAsia="Times New Roman"/>
          <w:szCs w:val="24"/>
        </w:rPr>
        <w:t xml:space="preserve"> (Harry G., “Transparency and Conspiracy Ethnographies of suspicion in the new world order, </w:t>
      </w:r>
      <w:proofErr w:type="spellStart"/>
      <w:r w:rsidRPr="00E168B3">
        <w:rPr>
          <w:rFonts w:eastAsia="Times New Roman"/>
          <w:szCs w:val="24"/>
        </w:rPr>
        <w:t>Pg</w:t>
      </w:r>
      <w:proofErr w:type="spellEnd"/>
      <w:r w:rsidRPr="00E168B3">
        <w:rPr>
          <w:rFonts w:eastAsia="Times New Roman"/>
          <w:szCs w:val="24"/>
        </w:rPr>
        <w:t xml:space="preserve"> 249-251)</w:t>
      </w:r>
    </w:p>
    <w:p w:rsidR="00E168B3" w:rsidRPr="00E168B3" w:rsidRDefault="00E168B3" w:rsidP="00E168B3">
      <w:pPr>
        <w:rPr>
          <w:rFonts w:eastAsia="Times New Roman"/>
          <w:szCs w:val="24"/>
        </w:rPr>
      </w:pPr>
    </w:p>
    <w:p w:rsidR="00E168B3" w:rsidRPr="00E168B3" w:rsidRDefault="00E168B3" w:rsidP="00E168B3">
      <w:pPr>
        <w:rPr>
          <w:rFonts w:eastAsia="Times New Roman"/>
          <w:szCs w:val="24"/>
        </w:rPr>
      </w:pPr>
      <w:proofErr w:type="gramStart"/>
      <w:r w:rsidRPr="00E168B3">
        <w:rPr>
          <w:rFonts w:eastAsia="Times New Roman"/>
          <w:sz w:val="14"/>
          <w:szCs w:val="24"/>
        </w:rPr>
        <w:t xml:space="preserve">A “theoretically suggestive” </w:t>
      </w:r>
      <w:r w:rsidR="001673B6">
        <w:rPr>
          <w:rFonts w:eastAsia="Times New Roman"/>
          <w:sz w:val="14"/>
          <w:szCs w:val="24"/>
        </w:rPr>
        <w:t>…</w:t>
      </w:r>
      <w:r w:rsidRPr="00E168B3">
        <w:rPr>
          <w:rFonts w:eastAsia="Times New Roman"/>
          <w:sz w:val="14"/>
          <w:szCs w:val="24"/>
        </w:rPr>
        <w:t xml:space="preserve">, </w:t>
      </w:r>
      <w:proofErr w:type="spellStart"/>
      <w:r w:rsidRPr="00E168B3">
        <w:rPr>
          <w:rFonts w:eastAsia="Times New Roman"/>
          <w:sz w:val="14"/>
          <w:szCs w:val="24"/>
        </w:rPr>
        <w:t>Abner</w:t>
      </w:r>
      <w:proofErr w:type="spellEnd"/>
      <w:r w:rsidRPr="00E168B3">
        <w:rPr>
          <w:rFonts w:eastAsia="Times New Roman"/>
          <w:sz w:val="14"/>
          <w:szCs w:val="24"/>
        </w:rPr>
        <w:t xml:space="preserve"> </w:t>
      </w:r>
      <w:proofErr w:type="spellStart"/>
      <w:r w:rsidRPr="00E168B3">
        <w:rPr>
          <w:rFonts w:eastAsia="Times New Roman"/>
          <w:sz w:val="14"/>
          <w:szCs w:val="24"/>
        </w:rPr>
        <w:t>Louima's</w:t>
      </w:r>
      <w:proofErr w:type="spellEnd"/>
      <w:r w:rsidRPr="00E168B3">
        <w:rPr>
          <w:rFonts w:eastAsia="Times New Roman"/>
          <w:sz w:val="14"/>
          <w:szCs w:val="24"/>
        </w:rPr>
        <w:t xml:space="preserve"> country.</w:t>
      </w:r>
      <w:proofErr w:type="gramEnd"/>
    </w:p>
    <w:p w:rsidR="00E168B3" w:rsidRDefault="00E168B3" w:rsidP="00E168B3"/>
    <w:p w:rsidR="00017A09" w:rsidRDefault="00017A09" w:rsidP="00017A09">
      <w:pPr>
        <w:pStyle w:val="Heading1"/>
      </w:pPr>
      <w:r>
        <w:t>Case</w:t>
      </w:r>
    </w:p>
    <w:p w:rsidR="00017A09" w:rsidRDefault="00017A09" w:rsidP="00017A09"/>
    <w:p w:rsidR="00CE4703" w:rsidRDefault="00CE4703" w:rsidP="00CE4703">
      <w:pPr>
        <w:pStyle w:val="Heading2"/>
      </w:pPr>
      <w:r>
        <w:t>1. An anti-hegemonic approach to nature would be to allow it to simply exist – the affirmatives performance inverts that relationship with nature and attempts to tame and remove its revolutionary potential</w:t>
      </w:r>
    </w:p>
    <w:p w:rsidR="00CE4703" w:rsidRPr="00432A8A" w:rsidRDefault="00CE4703" w:rsidP="00CE4703">
      <w:pPr>
        <w:rPr>
          <w:b/>
          <w:sz w:val="24"/>
          <w:lang w:eastAsia="x-none"/>
        </w:rPr>
      </w:pPr>
      <w:proofErr w:type="gramStart"/>
      <w:r w:rsidRPr="00432A8A">
        <w:rPr>
          <w:b/>
          <w:sz w:val="24"/>
          <w:lang w:eastAsia="x-none"/>
        </w:rPr>
        <w:t>hooks</w:t>
      </w:r>
      <w:proofErr w:type="gramEnd"/>
      <w:r w:rsidRPr="00432A8A">
        <w:rPr>
          <w:b/>
          <w:sz w:val="24"/>
          <w:lang w:eastAsia="x-none"/>
        </w:rPr>
        <w:t>, 9</w:t>
      </w:r>
    </w:p>
    <w:p w:rsidR="00CE4703" w:rsidRDefault="00CE4703" w:rsidP="00CE4703">
      <w:pPr>
        <w:rPr>
          <w:lang w:eastAsia="x-none"/>
        </w:rPr>
      </w:pPr>
      <w:r>
        <w:rPr>
          <w:lang w:eastAsia="x-none"/>
        </w:rPr>
        <w:t>(</w:t>
      </w:r>
      <w:proofErr w:type="gramStart"/>
      <w:r>
        <w:rPr>
          <w:lang w:eastAsia="x-none"/>
        </w:rPr>
        <w:t>bell</w:t>
      </w:r>
      <w:proofErr w:type="gramEnd"/>
      <w:r>
        <w:rPr>
          <w:lang w:eastAsia="x-none"/>
        </w:rPr>
        <w:t>, “belonging: a culture of place,” pages 19-20, 2009, mee)</w:t>
      </w:r>
    </w:p>
    <w:p w:rsidR="00CE4703" w:rsidRDefault="00CE4703" w:rsidP="00CE4703">
      <w:pPr>
        <w:rPr>
          <w:lang w:eastAsia="x-none"/>
        </w:rPr>
      </w:pPr>
    </w:p>
    <w:p w:rsidR="00CE4703" w:rsidRPr="001772A3" w:rsidRDefault="00CE4703" w:rsidP="00CE4703">
      <w:pPr>
        <w:rPr>
          <w:sz w:val="14"/>
          <w:lang w:eastAsia="x-none"/>
        </w:rPr>
      </w:pPr>
      <w:r w:rsidRPr="00DA0CEF">
        <w:rPr>
          <w:rStyle w:val="Underline"/>
          <w:highlight w:val="yellow"/>
        </w:rPr>
        <w:t xml:space="preserve">Nature was the </w:t>
      </w:r>
      <w:r w:rsidR="001673B6">
        <w:rPr>
          <w:rStyle w:val="Underline"/>
        </w:rPr>
        <w:t>…</w:t>
      </w:r>
      <w:r w:rsidRPr="001772A3">
        <w:rPr>
          <w:sz w:val="14"/>
          <w:lang w:eastAsia="x-none"/>
        </w:rPr>
        <w:t>, nowhere I could not go.</w:t>
      </w:r>
    </w:p>
    <w:p w:rsidR="00CE4703" w:rsidRDefault="00CE4703" w:rsidP="00CE4703">
      <w:pPr>
        <w:rPr>
          <w:lang w:eastAsia="x-none"/>
        </w:rPr>
      </w:pPr>
    </w:p>
    <w:p w:rsidR="002F375F" w:rsidRDefault="00CE4703" w:rsidP="002F375F">
      <w:pPr>
        <w:pStyle w:val="Heading2"/>
      </w:pPr>
      <w:r>
        <w:t xml:space="preserve">2. </w:t>
      </w:r>
      <w:r w:rsidR="002F375F">
        <w:t xml:space="preserve">Black </w:t>
      </w:r>
      <w:proofErr w:type="spellStart"/>
      <w:r w:rsidR="002F375F">
        <w:t>fungibility</w:t>
      </w:r>
      <w:proofErr w:type="spellEnd"/>
      <w:r w:rsidR="002F375F">
        <w:t xml:space="preserve"> turns their performance into a property of enjoyment that lacks the potential to disentangle gratuitous violence from black suffering. This only makes black violence coherent reducing the slave to an object to be understood instead of an active feeling subject</w:t>
      </w:r>
    </w:p>
    <w:p w:rsidR="002F375F" w:rsidRPr="00D63226" w:rsidRDefault="002F375F" w:rsidP="002F375F">
      <w:r w:rsidRPr="00FC678B">
        <w:rPr>
          <w:sz w:val="14"/>
          <w:szCs w:val="20"/>
        </w:rPr>
        <w:t xml:space="preserve"> </w:t>
      </w:r>
      <w:proofErr w:type="spellStart"/>
      <w:r w:rsidRPr="00D63226">
        <w:rPr>
          <w:b/>
          <w:sz w:val="24"/>
          <w:szCs w:val="26"/>
        </w:rPr>
        <w:t>Wilderson</w:t>
      </w:r>
      <w:proofErr w:type="spellEnd"/>
      <w:r w:rsidRPr="00D63226">
        <w:rPr>
          <w:b/>
          <w:sz w:val="24"/>
          <w:szCs w:val="26"/>
        </w:rPr>
        <w:t>, professor of African American Studies at University of California, 10</w:t>
      </w:r>
    </w:p>
    <w:p w:rsidR="002F375F" w:rsidRDefault="002F375F" w:rsidP="002F375F">
      <w:r w:rsidRPr="00D63226">
        <w:t>(Frank, A. B. Dartmouth College (Government/Philosophy); MFA Columbia University (Fiction Writing); Ph.D. University of California, Berkeley (Rhetoric/Film Studies), “Red, White</w:t>
      </w:r>
      <w:r>
        <w:t xml:space="preserve"> and Black” pg. 88-90</w:t>
      </w:r>
      <w:r w:rsidRPr="00D63226">
        <w:t xml:space="preserve">, soap) </w:t>
      </w:r>
    </w:p>
    <w:p w:rsidR="002F375F" w:rsidRDefault="002F375F" w:rsidP="002F375F"/>
    <w:p w:rsidR="002F375F" w:rsidRDefault="002F375F" w:rsidP="002F375F">
      <w:pPr>
        <w:rPr>
          <w:sz w:val="16"/>
        </w:rPr>
      </w:pPr>
      <w:r w:rsidRPr="0022151C">
        <w:rPr>
          <w:sz w:val="16"/>
        </w:rPr>
        <w:t xml:space="preserve">More is at work </w:t>
      </w:r>
      <w:r w:rsidR="001673B6">
        <w:rPr>
          <w:sz w:val="16"/>
        </w:rPr>
        <w:t>…</w:t>
      </w:r>
      <w:r w:rsidRPr="0022151C">
        <w:rPr>
          <w:sz w:val="16"/>
        </w:rPr>
        <w:t>relationship to Blacks.</w:t>
      </w:r>
    </w:p>
    <w:p w:rsidR="00E44BAD" w:rsidRDefault="00E44BAD" w:rsidP="00017A09"/>
    <w:p w:rsidR="00E44BAD" w:rsidRDefault="00CE4703" w:rsidP="00CE4703">
      <w:pPr>
        <w:pStyle w:val="Heading2"/>
      </w:pPr>
      <w:r>
        <w:t xml:space="preserve">3. </w:t>
      </w:r>
      <w:r w:rsidR="00686C21">
        <w:t>The aff offers no real life strategy for change- nothing they produce in this debate round carries outside of it</w:t>
      </w:r>
    </w:p>
    <w:p w:rsidR="00E44BAD" w:rsidRDefault="00E44BAD" w:rsidP="00017A09"/>
    <w:p w:rsidR="00C71F74" w:rsidRDefault="00CE4703" w:rsidP="00C71F74">
      <w:pPr>
        <w:pStyle w:val="Heading2"/>
      </w:pPr>
      <w:r>
        <w:t xml:space="preserve">4. </w:t>
      </w:r>
      <w:r w:rsidR="00041F5A">
        <w:t xml:space="preserve">Imagining state action perpetuates </w:t>
      </w:r>
      <w:r w:rsidR="009F1972">
        <w:t xml:space="preserve">a logic of white supremacy that maintains privilege over nature – this dooms their aesthetic performance to always be coopted and used as </w:t>
      </w:r>
      <w:r w:rsidR="001211E8">
        <w:t xml:space="preserve">a catalyst for further </w:t>
      </w:r>
      <w:proofErr w:type="spellStart"/>
      <w:r w:rsidR="001211E8">
        <w:t>fungibility</w:t>
      </w:r>
      <w:proofErr w:type="spellEnd"/>
    </w:p>
    <w:p w:rsidR="00C71F74" w:rsidRPr="00432A8A" w:rsidRDefault="00C71F74" w:rsidP="00C71F74">
      <w:pPr>
        <w:rPr>
          <w:b/>
          <w:sz w:val="24"/>
          <w:lang w:eastAsia="x-none"/>
        </w:rPr>
      </w:pPr>
      <w:proofErr w:type="gramStart"/>
      <w:r w:rsidRPr="00432A8A">
        <w:rPr>
          <w:b/>
          <w:sz w:val="24"/>
          <w:lang w:eastAsia="x-none"/>
        </w:rPr>
        <w:t>hooks</w:t>
      </w:r>
      <w:proofErr w:type="gramEnd"/>
      <w:r w:rsidRPr="00432A8A">
        <w:rPr>
          <w:b/>
          <w:sz w:val="24"/>
          <w:lang w:eastAsia="x-none"/>
        </w:rPr>
        <w:t>, 9</w:t>
      </w:r>
    </w:p>
    <w:p w:rsidR="00C71F74" w:rsidRDefault="00C71F74" w:rsidP="00C71F74">
      <w:pPr>
        <w:rPr>
          <w:lang w:eastAsia="x-none"/>
        </w:rPr>
      </w:pPr>
      <w:r>
        <w:rPr>
          <w:lang w:eastAsia="x-none"/>
        </w:rPr>
        <w:t>(</w:t>
      </w:r>
      <w:proofErr w:type="gramStart"/>
      <w:r>
        <w:rPr>
          <w:lang w:eastAsia="x-none"/>
        </w:rPr>
        <w:t>bell</w:t>
      </w:r>
      <w:proofErr w:type="gramEnd"/>
      <w:r>
        <w:rPr>
          <w:lang w:eastAsia="x-none"/>
        </w:rPr>
        <w:t>, “belonging: a culture of place,” page 30, 2009, mee)</w:t>
      </w:r>
    </w:p>
    <w:p w:rsidR="00C71F74" w:rsidRDefault="00C71F74" w:rsidP="00C71F74">
      <w:pPr>
        <w:rPr>
          <w:lang w:eastAsia="x-none"/>
        </w:rPr>
      </w:pPr>
    </w:p>
    <w:p w:rsidR="00C71F74" w:rsidRPr="00D433BD" w:rsidRDefault="00C71F74" w:rsidP="00C71F74">
      <w:pPr>
        <w:rPr>
          <w:sz w:val="14"/>
          <w:lang w:eastAsia="x-none"/>
        </w:rPr>
      </w:pPr>
      <w:proofErr w:type="gramStart"/>
      <w:r w:rsidRPr="00D433BD">
        <w:rPr>
          <w:sz w:val="14"/>
          <w:lang w:eastAsia="x-none"/>
        </w:rPr>
        <w:t xml:space="preserve">Growing up, renegade </w:t>
      </w:r>
      <w:r w:rsidR="001673B6">
        <w:rPr>
          <w:sz w:val="14"/>
          <w:lang w:eastAsia="x-none"/>
        </w:rPr>
        <w:t>…</w:t>
      </w:r>
      <w:r w:rsidRPr="00D433BD">
        <w:rPr>
          <w:sz w:val="14"/>
          <w:lang w:eastAsia="x-none"/>
        </w:rPr>
        <w:t>, the courage to take a stand.</w:t>
      </w:r>
      <w:proofErr w:type="gramEnd"/>
      <w:r w:rsidRPr="00D433BD">
        <w:rPr>
          <w:sz w:val="14"/>
          <w:lang w:eastAsia="x-none"/>
        </w:rPr>
        <w:t xml:space="preserve"> </w:t>
      </w:r>
    </w:p>
    <w:p w:rsidR="00C71F74" w:rsidRDefault="00C71F74" w:rsidP="00017A09"/>
    <w:p w:rsidR="00E44BAD" w:rsidRDefault="00CE4703" w:rsidP="00F73983">
      <w:pPr>
        <w:pStyle w:val="Heading2"/>
      </w:pPr>
      <w:r>
        <w:t xml:space="preserve">5. </w:t>
      </w:r>
      <w:r w:rsidR="00E44BAD">
        <w:t xml:space="preserve">Generic criticism trying to be applied to everyone fails because doesn’t assume individual perspectives- not everyone interacts with the aesthetics of nature the same way </w:t>
      </w:r>
    </w:p>
    <w:p w:rsidR="00E44BAD" w:rsidRDefault="00E44BAD" w:rsidP="00017A09"/>
    <w:p w:rsidR="00E44BAD" w:rsidRPr="0000137D" w:rsidRDefault="00CE4703" w:rsidP="00E44BAD">
      <w:pPr>
        <w:outlineLvl w:val="1"/>
        <w:rPr>
          <w:b/>
          <w:sz w:val="24"/>
          <w:szCs w:val="26"/>
        </w:rPr>
      </w:pPr>
      <w:r>
        <w:rPr>
          <w:b/>
          <w:sz w:val="24"/>
          <w:szCs w:val="26"/>
        </w:rPr>
        <w:t xml:space="preserve">6. </w:t>
      </w:r>
      <w:r w:rsidR="00E44BAD" w:rsidRPr="0000137D">
        <w:rPr>
          <w:b/>
          <w:sz w:val="24"/>
          <w:szCs w:val="26"/>
        </w:rPr>
        <w:t xml:space="preserve">The affirmatives attempt to construct political strategies for all people fails to take into consideration the unique subject position of black bodies– their view from nowhere dooms the </w:t>
      </w:r>
      <w:proofErr w:type="spellStart"/>
      <w:r w:rsidR="00E44BAD" w:rsidRPr="0000137D">
        <w:rPr>
          <w:b/>
          <w:sz w:val="24"/>
          <w:szCs w:val="26"/>
        </w:rPr>
        <w:t>affs</w:t>
      </w:r>
      <w:proofErr w:type="spellEnd"/>
      <w:r w:rsidR="00E44BAD" w:rsidRPr="0000137D">
        <w:rPr>
          <w:b/>
          <w:sz w:val="24"/>
          <w:szCs w:val="26"/>
        </w:rPr>
        <w:t xml:space="preserve"> political project and turns the case</w:t>
      </w:r>
      <w:r w:rsidR="00F73983">
        <w:rPr>
          <w:b/>
          <w:sz w:val="24"/>
          <w:szCs w:val="26"/>
        </w:rPr>
        <w:t xml:space="preserve"> by ignoring the fact that </w:t>
      </w:r>
      <w:r w:rsidR="008A377D">
        <w:rPr>
          <w:b/>
          <w:sz w:val="24"/>
          <w:szCs w:val="26"/>
        </w:rPr>
        <w:t>all material oppression can’t be transcended</w:t>
      </w:r>
    </w:p>
    <w:p w:rsidR="00E44BAD" w:rsidRPr="0000137D" w:rsidRDefault="00E44BAD" w:rsidP="00E44BAD">
      <w:pPr>
        <w:rPr>
          <w:b/>
          <w:sz w:val="24"/>
          <w:szCs w:val="26"/>
        </w:rPr>
      </w:pPr>
      <w:proofErr w:type="spellStart"/>
      <w:r w:rsidRPr="0000137D">
        <w:rPr>
          <w:b/>
          <w:sz w:val="24"/>
          <w:szCs w:val="26"/>
        </w:rPr>
        <w:t>Yancy</w:t>
      </w:r>
      <w:proofErr w:type="spellEnd"/>
      <w:r w:rsidRPr="0000137D">
        <w:t xml:space="preserve">, Professor at </w:t>
      </w:r>
      <w:proofErr w:type="spellStart"/>
      <w:r w:rsidRPr="0000137D">
        <w:t>Duquense</w:t>
      </w:r>
      <w:proofErr w:type="spellEnd"/>
      <w:r w:rsidRPr="0000137D">
        <w:t xml:space="preserve"> University, </w:t>
      </w:r>
      <w:r w:rsidRPr="0000137D">
        <w:rPr>
          <w:b/>
          <w:sz w:val="24"/>
          <w:szCs w:val="26"/>
        </w:rPr>
        <w:t>2005</w:t>
      </w:r>
    </w:p>
    <w:p w:rsidR="00E44BAD" w:rsidRPr="0000137D" w:rsidRDefault="00E44BAD" w:rsidP="00E44BAD">
      <w:r w:rsidRPr="0000137D">
        <w:t xml:space="preserve">(George, “Whiteness and the Return of the Black Body”, Journal of Speculative Philosophy, Vol. 19, No. 4, Project Muse, retrieved April 15, 2010) </w:t>
      </w:r>
      <w:proofErr w:type="spellStart"/>
      <w:r w:rsidRPr="0000137D">
        <w:t>blh</w:t>
      </w:r>
      <w:proofErr w:type="spellEnd"/>
    </w:p>
    <w:p w:rsidR="00E44BAD" w:rsidRPr="0000137D" w:rsidRDefault="00E44BAD" w:rsidP="00E44BAD"/>
    <w:p w:rsidR="00E44BAD" w:rsidRPr="0000137D" w:rsidRDefault="00E44BAD" w:rsidP="00E44BAD">
      <w:r w:rsidRPr="0000137D">
        <w:rPr>
          <w:sz w:val="14"/>
        </w:rPr>
        <w:t xml:space="preserve">I write out </w:t>
      </w:r>
      <w:r w:rsidR="001673B6">
        <w:rPr>
          <w:sz w:val="14"/>
        </w:rPr>
        <w:t>…</w:t>
      </w:r>
      <w:r w:rsidRPr="006061AC">
        <w:rPr>
          <w:highlight w:val="yellow"/>
          <w:u w:val="single"/>
        </w:rPr>
        <w:t>of human value</w:t>
      </w:r>
      <w:r w:rsidRPr="0000137D">
        <w:rPr>
          <w:sz w:val="14"/>
        </w:rPr>
        <w:t xml:space="preserve">. </w:t>
      </w:r>
      <w:proofErr w:type="gramStart"/>
      <w:r w:rsidRPr="0000137D">
        <w:rPr>
          <w:sz w:val="14"/>
        </w:rPr>
        <w:t>(Snead 1994, 4).</w:t>
      </w:r>
      <w:proofErr w:type="gramEnd"/>
    </w:p>
    <w:p w:rsidR="00E44BAD" w:rsidRPr="00017A09" w:rsidRDefault="00E44BAD" w:rsidP="00017A09"/>
    <w:p w:rsidR="00CE4703" w:rsidRDefault="00CE4703" w:rsidP="00CE4703">
      <w:pPr>
        <w:pStyle w:val="Heading2"/>
      </w:pPr>
      <w:r>
        <w:t>7. Wind turbines serve no purpose- other things can change the way we aesthetically evaluate nature while serving a purpose to the community</w:t>
      </w:r>
    </w:p>
    <w:p w:rsidR="00CE4703" w:rsidRDefault="00CE4703" w:rsidP="00CE4703"/>
    <w:p w:rsidR="002F375F" w:rsidRDefault="002F375F" w:rsidP="002F375F">
      <w:pPr>
        <w:pStyle w:val="Heading2"/>
      </w:pPr>
      <w:r>
        <w:t xml:space="preserve">8. </w:t>
      </w:r>
      <w:proofErr w:type="spellStart"/>
      <w:r>
        <w:t>Fungibility</w:t>
      </w:r>
      <w:proofErr w:type="spellEnd"/>
      <w:r>
        <w:t xml:space="preserve"> means their performance has no revolutionary potential because it gets </w:t>
      </w:r>
      <w:proofErr w:type="spellStart"/>
      <w:r>
        <w:t>commodified</w:t>
      </w:r>
      <w:proofErr w:type="spellEnd"/>
    </w:p>
    <w:p w:rsidR="002F375F" w:rsidRPr="00D63226" w:rsidRDefault="002F375F" w:rsidP="002F375F">
      <w:proofErr w:type="spellStart"/>
      <w:r w:rsidRPr="00D63226">
        <w:rPr>
          <w:b/>
          <w:sz w:val="24"/>
          <w:szCs w:val="26"/>
        </w:rPr>
        <w:t>Wilderson</w:t>
      </w:r>
      <w:proofErr w:type="spellEnd"/>
      <w:r w:rsidRPr="00D63226">
        <w:rPr>
          <w:b/>
          <w:sz w:val="24"/>
          <w:szCs w:val="26"/>
        </w:rPr>
        <w:t>, professor of African American Studies at University of California, 10</w:t>
      </w:r>
    </w:p>
    <w:p w:rsidR="002F375F" w:rsidRDefault="002F375F" w:rsidP="002F375F">
      <w:r w:rsidRPr="00D63226">
        <w:t>(Frank, A. B. Dartmouth College (Government/Philosophy); MFA Columbia University (Fiction Writing); Ph.D. University of California, Berkeley (Rhetoric/Film Studies), “Red, White</w:t>
      </w:r>
      <w:r>
        <w:t xml:space="preserve"> and Black” pg. 56</w:t>
      </w:r>
      <w:r w:rsidRPr="00D63226">
        <w:t>, soap)</w:t>
      </w:r>
    </w:p>
    <w:p w:rsidR="002F375F" w:rsidRDefault="002F375F" w:rsidP="002F375F"/>
    <w:p w:rsidR="002F375F" w:rsidRDefault="002F375F" w:rsidP="002F375F">
      <w:pPr>
        <w:rPr>
          <w:sz w:val="16"/>
        </w:rPr>
      </w:pPr>
      <w:r w:rsidRPr="00B313FE">
        <w:rPr>
          <w:rStyle w:val="Underline"/>
          <w:highlight w:val="yellow"/>
        </w:rPr>
        <w:t xml:space="preserve">This theoretical aphasia </w:t>
      </w:r>
      <w:r w:rsidR="001673B6">
        <w:rPr>
          <w:rStyle w:val="Underline"/>
        </w:rPr>
        <w:t>…</w:t>
      </w:r>
      <w:bookmarkStart w:id="0" w:name="_GoBack"/>
      <w:bookmarkEnd w:id="0"/>
      <w:r w:rsidRPr="00361A5D">
        <w:rPr>
          <w:sz w:val="16"/>
        </w:rPr>
        <w:t xml:space="preserve">, a commodity of style? </w:t>
      </w:r>
    </w:p>
    <w:p w:rsidR="00CE4703" w:rsidRDefault="00CE4703">
      <w:pPr>
        <w:rPr>
          <w:rFonts w:ascii="Calibri" w:hAnsi="Calibri"/>
          <w:szCs w:val="20"/>
        </w:rPr>
      </w:pPr>
    </w:p>
    <w:sectPr w:rsidR="00CE4703" w:rsidSect="0086416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FDB" w:rsidRDefault="00386FDB" w:rsidP="00261634">
      <w:r>
        <w:separator/>
      </w:r>
    </w:p>
  </w:endnote>
  <w:endnote w:type="continuationSeparator" w:id="0">
    <w:p w:rsidR="00386FDB" w:rsidRDefault="00386FD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FDB" w:rsidRDefault="00386FDB" w:rsidP="00261634">
      <w:r>
        <w:separator/>
      </w:r>
    </w:p>
  </w:footnote>
  <w:footnote w:type="continuationSeparator" w:id="0">
    <w:p w:rsidR="00386FDB" w:rsidRDefault="00386FD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r w:rsidR="001673B6">
      <w:fldChar w:fldCharType="begin"/>
    </w:r>
    <w:r w:rsidR="001673B6">
      <w:instrText xml:space="preserve"> NUMPAGES  </w:instrText>
    </w:r>
    <w:r w:rsidR="001673B6">
      <w:fldChar w:fldCharType="separate"/>
    </w:r>
    <w:r w:rsidR="00BF2A3B">
      <w:rPr>
        <w:noProof/>
      </w:rPr>
      <w:t>1</w:t>
    </w:r>
    <w:r w:rsidR="001673B6">
      <w:rPr>
        <w:noProof/>
      </w:rPr>
      <w:fldChar w:fldCharType="end"/>
    </w:r>
  </w:p>
  <w:p w:rsidR="00F56DC0" w:rsidRPr="00236E21" w:rsidRDefault="001673B6"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FDB"/>
    <w:rsid w:val="00000B0C"/>
    <w:rsid w:val="000019DB"/>
    <w:rsid w:val="00002D07"/>
    <w:rsid w:val="00006718"/>
    <w:rsid w:val="0001173E"/>
    <w:rsid w:val="0001477F"/>
    <w:rsid w:val="00017A09"/>
    <w:rsid w:val="00021DC8"/>
    <w:rsid w:val="00030B04"/>
    <w:rsid w:val="0003124A"/>
    <w:rsid w:val="00034AAD"/>
    <w:rsid w:val="0003526A"/>
    <w:rsid w:val="0003551D"/>
    <w:rsid w:val="00041A45"/>
    <w:rsid w:val="00041F5A"/>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11E8"/>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673B6"/>
    <w:rsid w:val="00171F69"/>
    <w:rsid w:val="00172A3E"/>
    <w:rsid w:val="00172C92"/>
    <w:rsid w:val="00176AD9"/>
    <w:rsid w:val="001779FE"/>
    <w:rsid w:val="00181461"/>
    <w:rsid w:val="00183490"/>
    <w:rsid w:val="00184F94"/>
    <w:rsid w:val="001853A6"/>
    <w:rsid w:val="00186733"/>
    <w:rsid w:val="00186EB2"/>
    <w:rsid w:val="001919D5"/>
    <w:rsid w:val="00191D07"/>
    <w:rsid w:val="00191F24"/>
    <w:rsid w:val="001946FB"/>
    <w:rsid w:val="001948E1"/>
    <w:rsid w:val="00195E13"/>
    <w:rsid w:val="00196815"/>
    <w:rsid w:val="0019768E"/>
    <w:rsid w:val="001A06FB"/>
    <w:rsid w:val="001A6C9C"/>
    <w:rsid w:val="001B1370"/>
    <w:rsid w:val="001B1F5F"/>
    <w:rsid w:val="001B3BB2"/>
    <w:rsid w:val="001B427B"/>
    <w:rsid w:val="001B4A29"/>
    <w:rsid w:val="001B506A"/>
    <w:rsid w:val="001B5AB9"/>
    <w:rsid w:val="001B7974"/>
    <w:rsid w:val="001C07D7"/>
    <w:rsid w:val="001C0F88"/>
    <w:rsid w:val="001C3F29"/>
    <w:rsid w:val="001C4DFD"/>
    <w:rsid w:val="001C65A6"/>
    <w:rsid w:val="001C6A93"/>
    <w:rsid w:val="001D0BF9"/>
    <w:rsid w:val="001D269D"/>
    <w:rsid w:val="001D4EF1"/>
    <w:rsid w:val="001E25B4"/>
    <w:rsid w:val="001F1E54"/>
    <w:rsid w:val="001F3E05"/>
    <w:rsid w:val="001F3E38"/>
    <w:rsid w:val="001F5CA7"/>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75F"/>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6FDB"/>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6CB2"/>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1E9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194"/>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1D22"/>
    <w:rsid w:val="005F3EF6"/>
    <w:rsid w:val="005F58FE"/>
    <w:rsid w:val="005F5B31"/>
    <w:rsid w:val="005F7C48"/>
    <w:rsid w:val="006017AC"/>
    <w:rsid w:val="00603C8E"/>
    <w:rsid w:val="006040E0"/>
    <w:rsid w:val="006061AC"/>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6C21"/>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2D17"/>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5B9A"/>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2559"/>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77D"/>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269A"/>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8749E"/>
    <w:rsid w:val="009918C1"/>
    <w:rsid w:val="0099229B"/>
    <w:rsid w:val="00993883"/>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B7128"/>
    <w:rsid w:val="009C07F6"/>
    <w:rsid w:val="009C16BE"/>
    <w:rsid w:val="009C3C5B"/>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972"/>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379DC"/>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D01"/>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6BE"/>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34A"/>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1F74"/>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4703"/>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68B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425EA"/>
    <w:rsid w:val="00E42B9C"/>
    <w:rsid w:val="00E44BAD"/>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B715A"/>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3983"/>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33C1"/>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6FDB"/>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1,Heading 2 Char Char Char Char Char,Heading 2 Char Char Char Char Char Char Char Char Char Char Char,Heading 2 Char1 Char1,Heading 2 Char Char Char1,Heading 2 Char1 Char Char,Tag,Super Script, Char,Tags,TagStyle,Heading 2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1 Char,Heading 2 Char Char Char Char Char Char,Heading 2 Char Char Char Char Char Char Char Char Char Char Char Char,Heading 2 Char1 Char1 Char,Heading 2 Char Char Char1 Char,Heading 2 Char1 Char Char Char,Tag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Style Underline,apple-style-span + 6 pt,Kern at 16 pt,Bold,Intense Emphasis11,Intense Emphasis2,HHeading 3 + 12 pt,Cards + Font: 12 pt Char,ci,Bold Cite Char,Citation Char Char Char,c,Style,Underlin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AB2556"/>
    <w:rPr>
      <w:rFonts w:ascii="Times New Roman" w:hAnsi="Times New Roman" w:cs="Times New Roman"/>
      <w:b/>
      <w:sz w:val="24"/>
      <w:szCs w:val="24"/>
    </w:rPr>
  </w:style>
  <w:style w:type="character" w:customStyle="1" w:styleId="apple-style-span">
    <w:name w:val="apple-style-span"/>
    <w:basedOn w:val="DefaultParagraphFont"/>
    <w:rsid w:val="009B7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86FDB"/>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1,Heading 2 Char Char Char Char Char,Heading 2 Char Char Char Char Char Char Char Char Char Char Char,Heading 2 Char1 Char1,Heading 2 Char Char Char1,Heading 2 Char1 Char Char,Tag,Super Script, Char,Tags,TagStyle,Heading 2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1 Char,Heading 2 Char Char Char Char Char Char,Heading 2 Char Char Char Char Char Char Char Char Char Char Char Char,Heading 2 Char1 Char1 Char,Heading 2 Char Char Char1 Char,Heading 2 Char1 Char Char Char,Tag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Style Underline,apple-style-span + 6 pt,Kern at 16 pt,Bold,Intense Emphasis11,Intense Emphasis2,HHeading 3 + 12 pt,Cards + Font: 12 pt Char,ci,Bold Cite Char,Citation Char Char Char,c,Style,Underlin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AB2556"/>
    <w:rPr>
      <w:rFonts w:ascii="Times New Roman" w:hAnsi="Times New Roman" w:cs="Times New Roman"/>
      <w:b/>
      <w:sz w:val="24"/>
      <w:szCs w:val="24"/>
    </w:rPr>
  </w:style>
  <w:style w:type="character" w:customStyle="1" w:styleId="apple-style-span">
    <w:name w:val="apple-style-span"/>
    <w:basedOn w:val="DefaultParagraphFont"/>
    <w:rsid w:val="009B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conlinejournal.com/archives/vol22.3/miller-fighting.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andfonline.com/doi/pdf/10.1080/10736700.2012.655089" TargetMode="External"/><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1368</Words>
  <Characters>7719</Characters>
  <Application>Microsoft Office Word</Application>
  <DocSecurity>0</DocSecurity>
  <Lines>70</Lines>
  <Paragraphs>13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Edwards, Meagan Elizabeth</cp:lastModifiedBy>
  <cp:revision>2</cp:revision>
  <dcterms:created xsi:type="dcterms:W3CDTF">2013-02-05T22:10:00Z</dcterms:created>
  <dcterms:modified xsi:type="dcterms:W3CDTF">2013-02-05T22:10:00Z</dcterms:modified>
</cp:coreProperties>
</file>