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A2A" w:rsidRDefault="00077A2A" w:rsidP="00077A2A">
      <w:pPr>
        <w:pStyle w:val="Heading3"/>
      </w:pPr>
      <w:r>
        <w:t xml:space="preserve">1ar topicality evidence </w:t>
      </w:r>
    </w:p>
    <w:p w:rsidR="00077A2A" w:rsidRPr="00077A2A" w:rsidRDefault="00077A2A" w:rsidP="00077A2A"/>
    <w:p w:rsidR="00077A2A" w:rsidRPr="00E35533" w:rsidRDefault="00077A2A" w:rsidP="00077A2A">
      <w:pPr>
        <w:pStyle w:val="Heading4"/>
      </w:pPr>
      <w:r>
        <w:t xml:space="preserve">Prefer us—we still include core mechanisms like grants loan guarantees </w:t>
      </w:r>
      <w:proofErr w:type="spellStart"/>
      <w:r>
        <w:t>etc</w:t>
      </w:r>
      <w:proofErr w:type="spellEnd"/>
      <w:r>
        <w:t>—but include tax debates which is the core of controversy over private funding</w:t>
      </w:r>
    </w:p>
    <w:p w:rsidR="00077A2A" w:rsidRPr="00E35533" w:rsidRDefault="00077A2A" w:rsidP="00077A2A">
      <w:pPr>
        <w:rPr>
          <w:rStyle w:val="StyleStyleBold12pt"/>
        </w:rPr>
      </w:pPr>
      <w:r w:rsidRPr="00E35533">
        <w:rPr>
          <w:rStyle w:val="StyleStyleBold12pt"/>
        </w:rPr>
        <w:t>BASE 5</w:t>
      </w:r>
    </w:p>
    <w:p w:rsidR="00077A2A" w:rsidRPr="00E35533" w:rsidRDefault="00077A2A" w:rsidP="00077A2A">
      <w:r w:rsidRPr="00E35533">
        <w:t xml:space="preserve">[Business Alliance for Sustainable Energy, “A Guide to U.S. Federal, Oregon, and Local Financial Incentives Available to Firms Engaged in Renewable Energy and Energy Efficiency”, 2005, p. </w:t>
      </w:r>
      <w:hyperlink r:id="rId10" w:history="1">
        <w:r w:rsidRPr="00E35533">
          <w:rPr>
            <w:rStyle w:val="Hyperlink"/>
          </w:rPr>
          <w:t>http://www.3estrategies.org/Documents/IncentivesforSEcompaniesguide--3-06_000.pdf</w:t>
        </w:r>
      </w:hyperlink>
      <w:r w:rsidRPr="00E35533">
        <w:t xml:space="preserve"> //</w:t>
      </w:r>
      <w:proofErr w:type="spellStart"/>
      <w:r w:rsidRPr="00E35533">
        <w:t>wyo-tjc</w:t>
      </w:r>
      <w:proofErr w:type="spellEnd"/>
      <w:r w:rsidRPr="00E35533">
        <w:t>]</w:t>
      </w:r>
    </w:p>
    <w:p w:rsidR="00077A2A" w:rsidRPr="00E35533" w:rsidRDefault="00077A2A" w:rsidP="00077A2A">
      <w:r w:rsidRPr="00E35533">
        <w:t xml:space="preserve">U.S. </w:t>
      </w:r>
      <w:r w:rsidRPr="002A365A">
        <w:rPr>
          <w:rStyle w:val="StyleBoldUnderline"/>
          <w:highlight w:val="yellow"/>
        </w:rPr>
        <w:t>FEDERAL LEVEL FINANCIAL INCENTIVES</w:t>
      </w:r>
    </w:p>
    <w:p w:rsidR="00077A2A" w:rsidRPr="00E35533" w:rsidRDefault="00077A2A" w:rsidP="00077A2A">
      <w:r w:rsidRPr="00E35533">
        <w:t xml:space="preserve">Assistance </w:t>
      </w:r>
      <w:r w:rsidRPr="002A365A">
        <w:rPr>
          <w:rStyle w:val="StyleBoldUnderline"/>
          <w:highlight w:val="yellow"/>
        </w:rPr>
        <w:t>is available in the following forms: grants, loans</w:t>
      </w:r>
      <w:r w:rsidRPr="00E35533">
        <w:rPr>
          <w:rStyle w:val="StyleBoldUnderline"/>
        </w:rPr>
        <w:t xml:space="preserve"> (typically, loan guarantees</w:t>
      </w:r>
      <w:r w:rsidRPr="00E35533">
        <w:t xml:space="preserve">), </w:t>
      </w:r>
      <w:r w:rsidRPr="002A365A">
        <w:rPr>
          <w:rStyle w:val="Emphasis"/>
          <w:highlight w:val="yellow"/>
        </w:rPr>
        <w:t>and tax incentives</w:t>
      </w:r>
      <w:r w:rsidRPr="002A365A">
        <w:rPr>
          <w:rStyle w:val="StyleBoldUnderline"/>
          <w:highlight w:val="yellow"/>
        </w:rPr>
        <w:t xml:space="preserve"> (</w:t>
      </w:r>
      <w:r w:rsidRPr="002A365A">
        <w:rPr>
          <w:rStyle w:val="Emphasis"/>
          <w:highlight w:val="yellow"/>
        </w:rPr>
        <w:t>in the form of tax credits</w:t>
      </w:r>
      <w:r w:rsidRPr="00E35533">
        <w:rPr>
          <w:rStyle w:val="StyleBoldUnderline"/>
        </w:rPr>
        <w:t xml:space="preserve"> or special tax deductions</w:t>
      </w:r>
      <w:r w:rsidRPr="00E35533">
        <w:t xml:space="preserve">). </w:t>
      </w:r>
      <w:r w:rsidRPr="002A365A">
        <w:rPr>
          <w:rStyle w:val="StyleBoldUnderline"/>
          <w:highlight w:val="yellow"/>
        </w:rPr>
        <w:t xml:space="preserve">The government also </w:t>
      </w:r>
      <w:r w:rsidRPr="002A365A">
        <w:rPr>
          <w:rStyle w:val="Emphasis"/>
          <w:highlight w:val="yellow"/>
        </w:rPr>
        <w:t>buys goods</w:t>
      </w:r>
      <w:r w:rsidRPr="00E35533">
        <w:rPr>
          <w:rStyle w:val="StyleBoldUnderline"/>
        </w:rPr>
        <w:t xml:space="preserve"> and services </w:t>
      </w:r>
      <w:r w:rsidRPr="002A365A">
        <w:rPr>
          <w:rStyle w:val="Emphasis"/>
          <w:highlight w:val="yellow"/>
        </w:rPr>
        <w:t>through procurement</w:t>
      </w:r>
      <w:r w:rsidRPr="00E35533">
        <w:t xml:space="preserve"> contracts. </w:t>
      </w:r>
    </w:p>
    <w:p w:rsidR="00077A2A" w:rsidRDefault="00077A2A" w:rsidP="00077A2A"/>
    <w:p w:rsidR="00077A2A" w:rsidRDefault="00077A2A" w:rsidP="00077A2A">
      <w:pPr>
        <w:pStyle w:val="Heading4"/>
      </w:pPr>
      <w:r>
        <w:t>The plan is a financial incentives—solves all their wacky examples—their evidence draws a distinction but there’s no reason why that’s the only useful one</w:t>
      </w:r>
    </w:p>
    <w:p w:rsidR="00077A2A" w:rsidRDefault="00077A2A" w:rsidP="00077A2A">
      <w:r w:rsidRPr="00E103B9">
        <w:rPr>
          <w:rFonts w:eastAsiaTheme="majorEastAsia"/>
          <w:b/>
        </w:rPr>
        <w:t>Diehl</w:t>
      </w:r>
      <w:r>
        <w:t xml:space="preserve">, Junior Staff Member – Journal of Land, Resources &amp; Environmental Law, JD – University of Utah, </w:t>
      </w:r>
      <w:r w:rsidRPr="00E103B9">
        <w:rPr>
          <w:rFonts w:eastAsiaTheme="majorEastAsia"/>
          <w:b/>
        </w:rPr>
        <w:t>2007</w:t>
      </w:r>
      <w:r>
        <w:rPr>
          <w:rFonts w:eastAsiaTheme="majorEastAsia"/>
          <w:b/>
        </w:rPr>
        <w:t xml:space="preserve"> </w:t>
      </w:r>
      <w:r>
        <w:t xml:space="preserve">(Rustin P., 27 J. Land Resources &amp; </w:t>
      </w:r>
      <w:proofErr w:type="spellStart"/>
      <w:r>
        <w:t>Envtl</w:t>
      </w:r>
      <w:proofErr w:type="spellEnd"/>
      <w:r>
        <w:t>. L. 345)</w:t>
      </w:r>
    </w:p>
    <w:p w:rsidR="00077A2A" w:rsidRPr="00557C90" w:rsidRDefault="00077A2A" w:rsidP="00077A2A"/>
    <w:p w:rsidR="00077A2A" w:rsidRDefault="00077A2A" w:rsidP="00077A2A">
      <w:r w:rsidRPr="006A4728">
        <w:rPr>
          <w:rStyle w:val="UnderlineBold"/>
        </w:rPr>
        <w:t>Many studies</w:t>
      </w:r>
      <w:r w:rsidRPr="006A4728">
        <w:t xml:space="preserve"> </w:t>
      </w:r>
      <w:r w:rsidRPr="006A4728">
        <w:rPr>
          <w:rStyle w:val="StyleBoldUnderline"/>
        </w:rPr>
        <w:t>have considered</w:t>
      </w:r>
      <w:r w:rsidRPr="006A4728">
        <w:t xml:space="preserve"> the benefits and achieved results of the available renewable </w:t>
      </w:r>
      <w:r w:rsidRPr="006A4728">
        <w:rPr>
          <w:rStyle w:val="StyleBoldUnderline"/>
        </w:rPr>
        <w:t>energy financial incentives.</w:t>
      </w:r>
      <w:r w:rsidRPr="006A4728">
        <w:t xml:space="preserve"> While studies agree that</w:t>
      </w:r>
      <w:r>
        <w:t xml:space="preserve"> these incentives are effectively promoting business integration of renewable energies, it is questionable whether the incentives encourage private adoption of renewable energy technology. n55 The </w:t>
      </w:r>
      <w:r w:rsidRPr="006A4728">
        <w:rPr>
          <w:rStyle w:val="StyleBoldUnderline"/>
          <w:highlight w:val="yellow"/>
        </w:rPr>
        <w:t xml:space="preserve">incentives </w:t>
      </w:r>
      <w:r w:rsidRPr="00625744">
        <w:rPr>
          <w:rStyle w:val="StyleBoldUnderline"/>
        </w:rPr>
        <w:t xml:space="preserve">for implementing clean renewable power generation </w:t>
      </w:r>
      <w:r w:rsidRPr="006A4728">
        <w:rPr>
          <w:rStyle w:val="StyleBoldUnderline"/>
          <w:highlight w:val="yellow"/>
        </w:rPr>
        <w:t xml:space="preserve">fall into two main categories: financial </w:t>
      </w:r>
      <w:r w:rsidRPr="006A4728">
        <w:rPr>
          <w:rStyle w:val="StyleBoldUnderline"/>
        </w:rPr>
        <w:t xml:space="preserve">incentives </w:t>
      </w:r>
      <w:r w:rsidRPr="006A4728">
        <w:rPr>
          <w:rStyle w:val="StyleBoldUnderline"/>
          <w:highlight w:val="yellow"/>
        </w:rPr>
        <w:t>and policy</w:t>
      </w:r>
      <w:r w:rsidRPr="006A4728">
        <w:rPr>
          <w:highlight w:val="yellow"/>
        </w:rPr>
        <w:t xml:space="preserve">  </w:t>
      </w:r>
      <w:r>
        <w:t xml:space="preserve">[*354]  </w:t>
      </w:r>
      <w:r w:rsidRPr="006A4728">
        <w:rPr>
          <w:rStyle w:val="StyleBoldUnderline"/>
          <w:highlight w:val="yellow"/>
        </w:rPr>
        <w:t>incentives</w:t>
      </w:r>
      <w:r w:rsidRPr="00625744">
        <w:rPr>
          <w:rStyle w:val="StyleBoldUnderline"/>
        </w:rPr>
        <w:t>.</w:t>
      </w:r>
      <w:r>
        <w:t xml:space="preserve"> These incentives can be provided at federal, state, and municipal levels.</w:t>
      </w:r>
    </w:p>
    <w:p w:rsidR="00077A2A" w:rsidRDefault="00077A2A" w:rsidP="00077A2A">
      <w:r>
        <w:t xml:space="preserve">A laundry list of </w:t>
      </w:r>
      <w:r w:rsidRPr="00D0095C">
        <w:rPr>
          <w:rStyle w:val="Box"/>
          <w:highlight w:val="yellow"/>
        </w:rPr>
        <w:t>financial incentives</w:t>
      </w:r>
      <w:r w:rsidRPr="00D0095C">
        <w:rPr>
          <w:rStyle w:val="StyleBoldUnderline"/>
          <w:highlight w:val="yellow"/>
        </w:rPr>
        <w:t xml:space="preserve"> include</w:t>
      </w:r>
      <w:r>
        <w:t xml:space="preserve">: </w:t>
      </w:r>
      <w:r w:rsidRPr="00625744">
        <w:rPr>
          <w:rStyle w:val="StyleBoldUnderline"/>
        </w:rPr>
        <w:t xml:space="preserve">corporate equipment </w:t>
      </w:r>
      <w:r w:rsidRPr="00D0095C">
        <w:rPr>
          <w:rStyle w:val="StyleBoldUnderline"/>
          <w:highlight w:val="yellow"/>
        </w:rPr>
        <w:t>rebates</w:t>
      </w:r>
      <w:r w:rsidRPr="00625744">
        <w:rPr>
          <w:rStyle w:val="StyleBoldUnderline"/>
        </w:rPr>
        <w:t xml:space="preserve">, energy efficient </w:t>
      </w:r>
      <w:r w:rsidRPr="00D0095C">
        <w:rPr>
          <w:rStyle w:val="StyleBoldUnderline"/>
          <w:highlight w:val="yellow"/>
        </w:rPr>
        <w:t>mortgages</w:t>
      </w:r>
      <w:r w:rsidRPr="00625744">
        <w:rPr>
          <w:rStyle w:val="StyleBoldUnderline"/>
        </w:rPr>
        <w:t xml:space="preserve">, accelerated corporate depreciation schedules, corporate </w:t>
      </w:r>
      <w:r w:rsidRPr="006A4728">
        <w:rPr>
          <w:rStyle w:val="StyleBoldUnderline"/>
        </w:rPr>
        <w:t>tax credits, corporate production</w:t>
      </w:r>
      <w:r w:rsidRPr="00625744">
        <w:rPr>
          <w:rStyle w:val="StyleBoldUnderline"/>
        </w:rPr>
        <w:t xml:space="preserve"> incentives, corporate and personal </w:t>
      </w:r>
      <w:r w:rsidRPr="006A4728">
        <w:rPr>
          <w:rStyle w:val="StyleBoldUnderline"/>
        </w:rPr>
        <w:t xml:space="preserve">tax </w:t>
      </w:r>
      <w:r w:rsidRPr="00D0095C">
        <w:rPr>
          <w:rStyle w:val="StyleBoldUnderline"/>
          <w:highlight w:val="yellow"/>
        </w:rPr>
        <w:t>exemptions</w:t>
      </w:r>
      <w:r w:rsidRPr="00625744">
        <w:rPr>
          <w:rStyle w:val="StyleBoldUnderline"/>
        </w:rPr>
        <w:t xml:space="preserve">, personal </w:t>
      </w:r>
      <w:r w:rsidRPr="00077A2A">
        <w:rPr>
          <w:rStyle w:val="StyleBoldUnderline"/>
          <w:b/>
          <w:highlight w:val="yellow"/>
        </w:rPr>
        <w:t>tax credits</w:t>
      </w:r>
      <w:r w:rsidRPr="00625744">
        <w:rPr>
          <w:rStyle w:val="StyleBoldUnderline"/>
        </w:rPr>
        <w:t xml:space="preserve">, federal </w:t>
      </w:r>
      <w:r w:rsidRPr="00D0095C">
        <w:rPr>
          <w:rStyle w:val="StyleBoldUnderline"/>
          <w:highlight w:val="yellow"/>
        </w:rPr>
        <w:t>grant programs</w:t>
      </w:r>
      <w:r w:rsidRPr="00625744">
        <w:rPr>
          <w:rStyle w:val="StyleBoldUnderline"/>
        </w:rPr>
        <w:t xml:space="preserve">, USDA renewable energy systems and energy </w:t>
      </w:r>
      <w:r w:rsidRPr="006A4728">
        <w:rPr>
          <w:rStyle w:val="StyleBoldUnderline"/>
        </w:rPr>
        <w:t>efficiency improvements loan programs</w:t>
      </w:r>
      <w:r w:rsidRPr="00625744">
        <w:rPr>
          <w:rStyle w:val="StyleBoldUnderline"/>
        </w:rPr>
        <w:t xml:space="preserve">, green </w:t>
      </w:r>
      <w:r w:rsidRPr="00D0095C">
        <w:rPr>
          <w:rStyle w:val="StyleBoldUnderline"/>
          <w:highlight w:val="yellow"/>
        </w:rPr>
        <w:t>power purchasing</w:t>
      </w:r>
      <w:r w:rsidRPr="00625744">
        <w:rPr>
          <w:rStyle w:val="StyleBoldUnderline"/>
        </w:rPr>
        <w:t xml:space="preserve"> or aggregation, corporate tax incentive, industry recruitment incentives, property tax </w:t>
      </w:r>
      <w:r w:rsidRPr="00C068C9">
        <w:rPr>
          <w:rStyle w:val="StyleBoldUnderline"/>
        </w:rPr>
        <w:t>incentives, state public benefit funds, and state sales tax incentives.</w:t>
      </w:r>
      <w:r>
        <w:t xml:space="preserve"> n56</w:t>
      </w:r>
    </w:p>
    <w:p w:rsidR="00077A2A" w:rsidRPr="001479E7" w:rsidRDefault="00077A2A" w:rsidP="00077A2A">
      <w:r w:rsidRPr="006A4728">
        <w:rPr>
          <w:rStyle w:val="StyleBoldUnderline"/>
        </w:rPr>
        <w:t xml:space="preserve">Some of the </w:t>
      </w:r>
      <w:r w:rsidRPr="006A4728">
        <w:rPr>
          <w:rStyle w:val="StyleBoldUnderline"/>
          <w:highlight w:val="yellow"/>
        </w:rPr>
        <w:t>policy incentives</w:t>
      </w:r>
      <w:r w:rsidRPr="00D0095C">
        <w:rPr>
          <w:rStyle w:val="StyleBoldUnderline"/>
          <w:highlight w:val="yellow"/>
        </w:rPr>
        <w:t xml:space="preserve"> encouraging</w:t>
      </w:r>
      <w:r>
        <w:t xml:space="preserve"> the use of </w:t>
      </w:r>
      <w:r w:rsidRPr="006E4D50">
        <w:rPr>
          <w:rStyle w:val="StyleBoldUnderline"/>
        </w:rPr>
        <w:t xml:space="preserve">renewable </w:t>
      </w:r>
      <w:r w:rsidRPr="00D0095C">
        <w:rPr>
          <w:rStyle w:val="StyleBoldUnderline"/>
          <w:highlight w:val="yellow"/>
        </w:rPr>
        <w:t>energies include</w:t>
      </w:r>
      <w:r w:rsidRPr="00557C90">
        <w:rPr>
          <w:rStyle w:val="StyleBoldUnderline"/>
        </w:rPr>
        <w:t xml:space="preserve">: construction and design policies, contractor licensing, equipment </w:t>
      </w:r>
      <w:r w:rsidRPr="00D0095C">
        <w:rPr>
          <w:rStyle w:val="StyleBoldUnderline"/>
          <w:highlight w:val="yellow"/>
        </w:rPr>
        <w:t>certifications</w:t>
      </w:r>
      <w:r w:rsidRPr="00557C90">
        <w:rPr>
          <w:rStyle w:val="StyleBoldUnderline"/>
        </w:rPr>
        <w:t xml:space="preserve">, generation disclosure rules, </w:t>
      </w:r>
      <w:r w:rsidRPr="006A4728">
        <w:rPr>
          <w:rStyle w:val="StyleBoldUnderline"/>
          <w:highlight w:val="yellow"/>
        </w:rPr>
        <w:t>net metering</w:t>
      </w:r>
      <w:r w:rsidRPr="00557C90">
        <w:rPr>
          <w:rStyle w:val="StyleBoldUnderline"/>
        </w:rPr>
        <w:t xml:space="preserve"> rules, </w:t>
      </w:r>
      <w:r w:rsidRPr="00D0095C">
        <w:rPr>
          <w:rStyle w:val="StyleBoldUnderline"/>
          <w:highlight w:val="yellow"/>
        </w:rPr>
        <w:t>renewables portfolio</w:t>
      </w:r>
      <w:r w:rsidRPr="00557C90">
        <w:rPr>
          <w:rStyle w:val="StyleBoldUnderline"/>
        </w:rPr>
        <w:t xml:space="preserve"> set asides, </w:t>
      </w:r>
      <w:r w:rsidRPr="00D0095C">
        <w:rPr>
          <w:rStyle w:val="StyleBoldUnderline"/>
          <w:highlight w:val="yellow"/>
        </w:rPr>
        <w:t>required</w:t>
      </w:r>
      <w:r w:rsidRPr="00557C90">
        <w:rPr>
          <w:rStyle w:val="StyleBoldUnderline"/>
        </w:rPr>
        <w:t xml:space="preserve"> utility </w:t>
      </w:r>
      <w:r w:rsidRPr="006A4728">
        <w:rPr>
          <w:rStyle w:val="StyleBoldUnderline"/>
          <w:highlight w:val="yellow"/>
        </w:rPr>
        <w:t xml:space="preserve">green power </w:t>
      </w:r>
      <w:r w:rsidRPr="006A4728">
        <w:rPr>
          <w:rStyle w:val="StyleBoldUnderline"/>
        </w:rPr>
        <w:t>option</w:t>
      </w:r>
      <w:r w:rsidRPr="00557C90">
        <w:rPr>
          <w:rStyle w:val="StyleBoldUnderline"/>
        </w:rPr>
        <w:t xml:space="preserve">, and solar and wind </w:t>
      </w:r>
      <w:r w:rsidRPr="00D0095C">
        <w:rPr>
          <w:rStyle w:val="StyleBoldUnderline"/>
          <w:highlight w:val="yellow"/>
        </w:rPr>
        <w:t>access laws</w:t>
      </w:r>
      <w:r w:rsidRPr="00557C90">
        <w:rPr>
          <w:rStyle w:val="StyleBoldUnderline"/>
        </w:rPr>
        <w:t>.</w:t>
      </w:r>
      <w:r>
        <w:t xml:space="preserve"> n57 </w:t>
      </w:r>
      <w:r w:rsidRPr="00557C90">
        <w:rPr>
          <w:rStyle w:val="StyleBoldUnderline"/>
        </w:rPr>
        <w:t>In addition to these</w:t>
      </w:r>
      <w:r>
        <w:t xml:space="preserve"> policy </w:t>
      </w:r>
      <w:r w:rsidRPr="00557C90">
        <w:rPr>
          <w:rStyle w:val="StyleBoldUnderline"/>
        </w:rPr>
        <w:t>incentives</w:t>
      </w:r>
      <w:r>
        <w:t xml:space="preserve">, many </w:t>
      </w:r>
      <w:r w:rsidRPr="00557C90">
        <w:rPr>
          <w:rStyle w:val="StyleBoldUnderline"/>
        </w:rPr>
        <w:t xml:space="preserve">states have adopted portfolio </w:t>
      </w:r>
      <w:r w:rsidRPr="00D0095C">
        <w:rPr>
          <w:rStyle w:val="StyleBoldUnderline"/>
          <w:highlight w:val="yellow"/>
        </w:rPr>
        <w:t>mandates or portfolio standards</w:t>
      </w:r>
      <w:r w:rsidRPr="00557C90">
        <w:rPr>
          <w:rStyle w:val="StyleBoldUnderline"/>
        </w:rPr>
        <w:t>, which require</w:t>
      </w:r>
      <w:r>
        <w:t xml:space="preserve"> certain percentages of energy come from </w:t>
      </w:r>
      <w:r w:rsidRPr="00557C90">
        <w:rPr>
          <w:rStyle w:val="StyleBoldUnderline"/>
        </w:rPr>
        <w:t>renewable sources.</w:t>
      </w:r>
    </w:p>
    <w:p w:rsidR="00077A2A" w:rsidRPr="002A365A" w:rsidRDefault="00077A2A" w:rsidP="00077A2A"/>
    <w:p w:rsidR="00077A2A" w:rsidRPr="007C1B43" w:rsidRDefault="00077A2A" w:rsidP="00077A2A">
      <w:pPr>
        <w:pStyle w:val="Heading4"/>
      </w:pPr>
      <w:r>
        <w:t>TARGETED credits key</w:t>
      </w:r>
    </w:p>
    <w:p w:rsidR="00077A2A" w:rsidRPr="00274338" w:rsidRDefault="00077A2A" w:rsidP="00077A2A">
      <w:pPr>
        <w:rPr>
          <w:b/>
          <w:sz w:val="16"/>
        </w:rPr>
      </w:pPr>
      <w:r w:rsidRPr="00852CE5">
        <w:rPr>
          <w:rStyle w:val="StyleStyleBold12pt"/>
        </w:rPr>
        <w:t>Lancaster and Berndt, 84</w:t>
      </w:r>
      <w:r w:rsidRPr="00274338">
        <w:rPr>
          <w:b/>
          <w:sz w:val="16"/>
        </w:rPr>
        <w:t xml:space="preserve"> - </w:t>
      </w:r>
      <w:r w:rsidRPr="00274338">
        <w:rPr>
          <w:sz w:val="16"/>
        </w:rPr>
        <w:t>Richard R. Lancaster is with the Minnesota Department of Public Service and Mark J. Berndt is with the Minnesota Department of Energy and Economic Development (“Alternative energy development in the USA The effectiveness of state government incentives,” Energy Policy, June, Science Direct)</w:t>
      </w:r>
    </w:p>
    <w:p w:rsidR="00077A2A" w:rsidRPr="00852CE5" w:rsidRDefault="00077A2A" w:rsidP="00077A2A">
      <w:pPr>
        <w:rPr>
          <w:sz w:val="16"/>
        </w:rPr>
      </w:pPr>
      <w:proofErr w:type="spellStart"/>
      <w:r w:rsidRPr="002A365A">
        <w:rPr>
          <w:u w:val="single"/>
        </w:rPr>
        <w:t>Feiveson</w:t>
      </w:r>
      <w:proofErr w:type="spellEnd"/>
      <w:r w:rsidRPr="002A365A">
        <w:rPr>
          <w:u w:val="single"/>
        </w:rPr>
        <w:t xml:space="preserve"> and Rabi</w:t>
      </w:r>
      <w:r w:rsidRPr="002A365A">
        <w:rPr>
          <w:sz w:val="16"/>
        </w:rPr>
        <w:t xml:space="preserve">14 </w:t>
      </w:r>
      <w:r w:rsidRPr="002A365A">
        <w:rPr>
          <w:u w:val="single"/>
        </w:rPr>
        <w:t>classify the range of possible government incentives to alternative energy into five categories: targeted incentives, direct regulation, incentives based on energy saved, non-targeted incentives and conventional fuel taxes.</w:t>
      </w:r>
      <w:r w:rsidRPr="00186DCC">
        <w:rPr>
          <w:u w:val="single"/>
        </w:rPr>
        <w:t xml:space="preserve"> </w:t>
      </w:r>
      <w:r w:rsidRPr="002A365A">
        <w:rPr>
          <w:rStyle w:val="Emphasis"/>
          <w:highlight w:val="yellow"/>
        </w:rPr>
        <w:t>The predominant incentives</w:t>
      </w:r>
      <w:r w:rsidRPr="00186DCC">
        <w:rPr>
          <w:u w:val="single"/>
        </w:rPr>
        <w:t xml:space="preserve"> used by state governments are targeted incentives, </w:t>
      </w:r>
      <w:r w:rsidRPr="002A365A">
        <w:rPr>
          <w:highlight w:val="yellow"/>
          <w:u w:val="single"/>
        </w:rPr>
        <w:t xml:space="preserve">such as </w:t>
      </w:r>
      <w:r w:rsidRPr="002A365A">
        <w:rPr>
          <w:rStyle w:val="Emphasis"/>
          <w:highlight w:val="yellow"/>
        </w:rPr>
        <w:t>income</w:t>
      </w:r>
      <w:r w:rsidRPr="002A365A">
        <w:rPr>
          <w:highlight w:val="yellow"/>
          <w:u w:val="single"/>
        </w:rPr>
        <w:t xml:space="preserve"> </w:t>
      </w:r>
      <w:r w:rsidRPr="002A365A">
        <w:rPr>
          <w:rStyle w:val="Emphasis"/>
          <w:highlight w:val="yellow"/>
        </w:rPr>
        <w:t>tax credits</w:t>
      </w:r>
      <w:r w:rsidRPr="002A365A">
        <w:rPr>
          <w:highlight w:val="yellow"/>
          <w:u w:val="single"/>
        </w:rPr>
        <w:t xml:space="preserve">, </w:t>
      </w:r>
      <w:r w:rsidRPr="002A365A">
        <w:rPr>
          <w:b/>
          <w:highlight w:val="yellow"/>
          <w:u w:val="single"/>
        </w:rPr>
        <w:t>sales tax exemptions</w:t>
      </w:r>
      <w:r w:rsidRPr="002A365A">
        <w:rPr>
          <w:highlight w:val="yellow"/>
          <w:u w:val="single"/>
        </w:rPr>
        <w:t xml:space="preserve">, </w:t>
      </w:r>
      <w:r w:rsidRPr="002A365A">
        <w:rPr>
          <w:b/>
          <w:highlight w:val="yellow"/>
          <w:u w:val="single"/>
        </w:rPr>
        <w:t xml:space="preserve">property tax exemptions and grant and loan </w:t>
      </w:r>
      <w:proofErr w:type="spellStart"/>
      <w:r w:rsidRPr="002A365A">
        <w:rPr>
          <w:b/>
          <w:highlight w:val="yellow"/>
          <w:u w:val="single"/>
        </w:rPr>
        <w:t>programmes</w:t>
      </w:r>
      <w:proofErr w:type="spellEnd"/>
      <w:r w:rsidRPr="00852CE5">
        <w:rPr>
          <w:sz w:val="16"/>
        </w:rPr>
        <w:t xml:space="preserve"> aimed at specific resources or technologies, </w:t>
      </w:r>
      <w:r w:rsidRPr="00186DCC">
        <w:rPr>
          <w:u w:val="single"/>
        </w:rPr>
        <w:t>followed by the conventional fuel tax</w:t>
      </w:r>
      <w:r w:rsidRPr="00852CE5">
        <w:rPr>
          <w:sz w:val="16"/>
        </w:rPr>
        <w:t xml:space="preserve">, which </w:t>
      </w:r>
      <w:r w:rsidRPr="002A365A">
        <w:rPr>
          <w:sz w:val="16"/>
        </w:rPr>
        <w:t>has the effect of raising fuel prices. This study addresses the effectiveness of targeted incentives and conventional fuel taxes. The other three types of incentive are either difficult to quantify or are used in very few states, and do not lend themselves to empirical analysis. An alternative to incentives would be to remove existing subsidies to conventional fuels. Although this is straightforward in concept, it might not be in practice because of resistance from the constituencies that benefit from the subsidies.</w:t>
      </w:r>
    </w:p>
    <w:p w:rsidR="00077A2A" w:rsidRDefault="00077A2A" w:rsidP="00077A2A"/>
    <w:p w:rsidR="00077A2A" w:rsidRDefault="00077A2A" w:rsidP="00077A2A">
      <w:pPr>
        <w:pStyle w:val="Heading4"/>
      </w:pPr>
      <w:r>
        <w:lastRenderedPageBreak/>
        <w:t xml:space="preserve">DSIRE includes the aff </w:t>
      </w:r>
    </w:p>
    <w:p w:rsidR="00077A2A" w:rsidRPr="00274338" w:rsidRDefault="00077A2A" w:rsidP="00077A2A">
      <w:pPr>
        <w:rPr>
          <w:sz w:val="16"/>
        </w:rPr>
      </w:pPr>
      <w:r w:rsidRPr="008651EE">
        <w:rPr>
          <w:rStyle w:val="StyleStyleBold12pt"/>
        </w:rPr>
        <w:t>DSIRE, 12</w:t>
      </w:r>
      <w:r w:rsidRPr="00274338">
        <w:rPr>
          <w:b/>
          <w:sz w:val="16"/>
        </w:rPr>
        <w:t xml:space="preserve"> – </w:t>
      </w:r>
      <w:r w:rsidRPr="00274338">
        <w:rPr>
          <w:sz w:val="16"/>
        </w:rPr>
        <w:t>Database of State Incentives for Renewables &amp; Efficiency (Glossary, “Financial Incentives”</w:t>
      </w:r>
    </w:p>
    <w:p w:rsidR="00077A2A" w:rsidRPr="00274338" w:rsidRDefault="00077A2A" w:rsidP="00077A2A">
      <w:pPr>
        <w:rPr>
          <w:sz w:val="16"/>
        </w:rPr>
      </w:pPr>
      <w:r w:rsidRPr="008F5F11">
        <w:t>http://www.dsireusa.org/glossary/</w:t>
      </w:r>
      <w:r w:rsidRPr="00274338">
        <w:rPr>
          <w:sz w:val="16"/>
        </w:rPr>
        <w:t>)</w:t>
      </w:r>
    </w:p>
    <w:p w:rsidR="00077A2A" w:rsidRPr="00274338" w:rsidRDefault="00077A2A" w:rsidP="00077A2A">
      <w:pPr>
        <w:rPr>
          <w:sz w:val="16"/>
        </w:rPr>
      </w:pPr>
    </w:p>
    <w:p w:rsidR="00077A2A" w:rsidRPr="008F5F11" w:rsidRDefault="00077A2A" w:rsidP="00077A2A">
      <w:r w:rsidRPr="008F5F11">
        <w:t>DSIRE organizes incentives and policies that promote renewable energy and energy efficiency into two general categories -- (1) Financial Incentives and (2) Rules, Regulations &amp; Policies -- and roughly 30 specific types of incentives and policies. This glossary provides a description of each specific incentive and policy type.</w:t>
      </w:r>
    </w:p>
    <w:p w:rsidR="00077A2A" w:rsidRPr="00274338" w:rsidRDefault="00077A2A" w:rsidP="00077A2A">
      <w:pPr>
        <w:rPr>
          <w:sz w:val="16"/>
        </w:rPr>
      </w:pPr>
      <w:r w:rsidRPr="002A365A">
        <w:rPr>
          <w:b/>
          <w:highlight w:val="yellow"/>
        </w:rPr>
        <w:t>FINANCIAL INCENTIVES</w:t>
      </w:r>
      <w:r w:rsidRPr="008F5F11">
        <w:rPr>
          <w:b/>
        </w:rPr>
        <w:t> </w:t>
      </w:r>
      <w:r w:rsidRPr="008F5F11">
        <w:t>(click to expand section)</w:t>
      </w:r>
    </w:p>
    <w:p w:rsidR="00077A2A" w:rsidRPr="008F5F11" w:rsidRDefault="00077A2A" w:rsidP="00077A2A">
      <w:r w:rsidRPr="008F5F11">
        <w:t>  </w:t>
      </w:r>
      <w:r w:rsidRPr="008F5F11">
        <w:rPr>
          <w:noProof/>
        </w:rPr>
        <w:drawing>
          <wp:inline distT="0" distB="0" distL="0" distR="0" wp14:anchorId="01AF93A3" wp14:editId="47BF8884">
            <wp:extent cx="123825" cy="123825"/>
            <wp:effectExtent l="0" t="0" r="9525" b="9525"/>
            <wp:docPr id="63" name="Picture 63"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bCs/>
          <w:highlight w:val="yellow"/>
        </w:rPr>
        <w:t>Corporate Tax Incentives</w:t>
      </w:r>
    </w:p>
    <w:p w:rsidR="00077A2A" w:rsidRPr="008F5F11" w:rsidRDefault="00077A2A" w:rsidP="00077A2A">
      <w:r w:rsidRPr="008F5F11">
        <w:t>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p>
    <w:p w:rsidR="00077A2A" w:rsidRPr="008F5F11" w:rsidRDefault="00077A2A" w:rsidP="00077A2A">
      <w:r w:rsidRPr="008F5F11">
        <w:t>  </w:t>
      </w:r>
      <w:r w:rsidRPr="008F5F11">
        <w:rPr>
          <w:noProof/>
        </w:rPr>
        <w:drawing>
          <wp:inline distT="0" distB="0" distL="0" distR="0" wp14:anchorId="19E5018E" wp14:editId="017967A7">
            <wp:extent cx="123825" cy="123825"/>
            <wp:effectExtent l="0" t="0" r="9525" b="9525"/>
            <wp:docPr id="64" name="Picture 64"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bCs/>
          <w:highlight w:val="yellow"/>
        </w:rPr>
        <w:t>Grant Programs</w:t>
      </w:r>
    </w:p>
    <w:p w:rsidR="00077A2A" w:rsidRPr="008F5F11" w:rsidRDefault="00077A2A" w:rsidP="00077A2A">
      <w:r w:rsidRPr="008F5F11">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p>
    <w:p w:rsidR="00077A2A" w:rsidRPr="008F5F11" w:rsidRDefault="00077A2A" w:rsidP="00077A2A">
      <w:r w:rsidRPr="008F5F11">
        <w:t>  </w:t>
      </w:r>
      <w:r w:rsidRPr="008F5F11">
        <w:rPr>
          <w:noProof/>
        </w:rPr>
        <w:drawing>
          <wp:inline distT="0" distB="0" distL="0" distR="0" wp14:anchorId="298A1496" wp14:editId="31448AB2">
            <wp:extent cx="123825" cy="123825"/>
            <wp:effectExtent l="0" t="0" r="9525" b="9525"/>
            <wp:docPr id="65" name="Picture 65"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bCs/>
          <w:highlight w:val="yellow"/>
        </w:rPr>
        <w:t>Green Building Incentives</w:t>
      </w:r>
    </w:p>
    <w:p w:rsidR="00077A2A" w:rsidRPr="008F5F11" w:rsidRDefault="00077A2A" w:rsidP="00077A2A">
      <w:r w:rsidRPr="008F5F11">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The U.S. Green Building Council’s Leadership in Energy and Environmental Design (LEED) is a popular point-based certification program for green buildings. The LEED system awards points for site selection and development; material, energy and water efficiency; indoor air quality; innovation; and the application of renewable technologies. (Note that this category includes green building incentives that do not fall under other DSIRE incentive categories, such as tax incentives and grant programs.)</w:t>
      </w:r>
    </w:p>
    <w:p w:rsidR="00077A2A" w:rsidRPr="002A365A" w:rsidRDefault="00077A2A" w:rsidP="00077A2A">
      <w:pPr>
        <w:rPr>
          <w:highlight w:val="yellow"/>
        </w:rPr>
      </w:pPr>
      <w:r w:rsidRPr="008F5F11">
        <w:t>  </w:t>
      </w:r>
      <w:r w:rsidRPr="008F5F11">
        <w:rPr>
          <w:noProof/>
        </w:rPr>
        <w:drawing>
          <wp:inline distT="0" distB="0" distL="0" distR="0" wp14:anchorId="2D89A997" wp14:editId="153BDCAA">
            <wp:extent cx="123825" cy="123825"/>
            <wp:effectExtent l="0" t="0" r="9525" b="9525"/>
            <wp:docPr id="66" name="Picture 66"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bCs/>
          <w:highlight w:val="yellow"/>
        </w:rPr>
        <w:t>Industry Recruitment/Support</w:t>
      </w:r>
    </w:p>
    <w:p w:rsidR="00077A2A" w:rsidRPr="008F5F11" w:rsidRDefault="00077A2A" w:rsidP="00077A2A">
      <w:r w:rsidRPr="002A365A">
        <w:t>To promote economic development and the</w:t>
      </w:r>
      <w:r w:rsidRPr="008F5F11">
        <w:t xml:space="preserv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p>
    <w:p w:rsidR="00077A2A" w:rsidRPr="008F5F11" w:rsidRDefault="00077A2A" w:rsidP="00077A2A">
      <w:pPr>
        <w:shd w:val="clear" w:color="auto" w:fill="F5F5F5"/>
      </w:pPr>
      <w:r w:rsidRPr="008F5F11">
        <w:t>  </w:t>
      </w:r>
      <w:r w:rsidRPr="008F5F11">
        <w:rPr>
          <w:noProof/>
        </w:rPr>
        <w:drawing>
          <wp:inline distT="0" distB="0" distL="0" distR="0" wp14:anchorId="348D1693" wp14:editId="23A7D910">
            <wp:extent cx="123825" cy="123825"/>
            <wp:effectExtent l="0" t="0" r="9525" b="9525"/>
            <wp:docPr id="67" name="Picture 67"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highlight w:val="yellow"/>
        </w:rPr>
        <w:t>Loan Programs</w:t>
      </w:r>
    </w:p>
    <w:p w:rsidR="00077A2A" w:rsidRPr="00274338" w:rsidRDefault="00077A2A" w:rsidP="00077A2A">
      <w:r w:rsidRPr="00274338">
        <w:t xml:space="preserve">Loan programs provide financing for the purchase of renewable energy or energy efficiency systems or equipment. Low-interest or zero-interest loans for energy efficiency projects are a </w:t>
      </w:r>
      <w:r w:rsidRPr="00274338">
        <w:lastRenderedPageBreak/>
        <w:t>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p>
    <w:p w:rsidR="00077A2A" w:rsidRPr="008F5F11" w:rsidRDefault="00077A2A" w:rsidP="00077A2A">
      <w:r w:rsidRPr="008F5F11">
        <w:t>  </w:t>
      </w:r>
      <w:r w:rsidRPr="008F5F11">
        <w:rPr>
          <w:noProof/>
        </w:rPr>
        <w:drawing>
          <wp:inline distT="0" distB="0" distL="0" distR="0" wp14:anchorId="793EF9DD" wp14:editId="00047A94">
            <wp:extent cx="123825" cy="123825"/>
            <wp:effectExtent l="0" t="0" r="9525" b="9525"/>
            <wp:docPr id="68" name="Picture 68"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PACE Financing</w:t>
      </w:r>
    </w:p>
    <w:p w:rsidR="00077A2A" w:rsidRPr="008F5F11" w:rsidRDefault="00077A2A" w:rsidP="00077A2A">
      <w:r w:rsidRPr="008F5F11">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p>
    <w:p w:rsidR="00077A2A" w:rsidRPr="008F5F11" w:rsidRDefault="00077A2A" w:rsidP="00077A2A">
      <w:r w:rsidRPr="008F5F11">
        <w:t>  </w:t>
      </w:r>
      <w:r w:rsidRPr="008F5F11">
        <w:rPr>
          <w:noProof/>
        </w:rPr>
        <w:drawing>
          <wp:inline distT="0" distB="0" distL="0" distR="0" wp14:anchorId="46DF2F0C" wp14:editId="7B1CAA70">
            <wp:extent cx="123825" cy="123825"/>
            <wp:effectExtent l="0" t="0" r="9525" b="9525"/>
            <wp:docPr id="69" name="Picture 69"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bCs/>
          <w:highlight w:val="yellow"/>
        </w:rPr>
        <w:t>Performance-Based Incentives</w:t>
      </w:r>
    </w:p>
    <w:p w:rsidR="00077A2A" w:rsidRPr="008F5F11" w:rsidRDefault="00077A2A" w:rsidP="00077A2A">
      <w:r w:rsidRPr="008F5F11">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p>
    <w:p w:rsidR="00077A2A" w:rsidRPr="008F5F11" w:rsidRDefault="00077A2A" w:rsidP="00077A2A">
      <w:r w:rsidRPr="008F5F11">
        <w:t>  </w:t>
      </w:r>
      <w:r w:rsidRPr="008F5F11">
        <w:rPr>
          <w:noProof/>
        </w:rPr>
        <w:drawing>
          <wp:inline distT="0" distB="0" distL="0" distR="0" wp14:anchorId="15C3728A" wp14:editId="060DE889">
            <wp:extent cx="123825" cy="123825"/>
            <wp:effectExtent l="0" t="0" r="9525" b="9525"/>
            <wp:docPr id="70" name="Picture 70"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bCs/>
          <w:highlight w:val="yellow"/>
        </w:rPr>
        <w:t>Personal</w:t>
      </w:r>
      <w:r w:rsidRPr="00274338">
        <w:rPr>
          <w:b/>
          <w:bCs/>
        </w:rPr>
        <w:t xml:space="preserve"> </w:t>
      </w:r>
      <w:r w:rsidRPr="002A365A">
        <w:rPr>
          <w:b/>
          <w:bCs/>
          <w:highlight w:val="yellow"/>
        </w:rPr>
        <w:t>Tax Incentives</w:t>
      </w:r>
    </w:p>
    <w:p w:rsidR="00077A2A" w:rsidRPr="008F5F11" w:rsidRDefault="00077A2A" w:rsidP="00077A2A">
      <w:r w:rsidRPr="008F5F11">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p>
    <w:p w:rsidR="00077A2A" w:rsidRPr="008F5F11" w:rsidRDefault="00077A2A" w:rsidP="00077A2A">
      <w:pPr>
        <w:shd w:val="clear" w:color="auto" w:fill="F5F5F5"/>
      </w:pPr>
      <w:r w:rsidRPr="008F5F11">
        <w:t>  </w:t>
      </w:r>
      <w:r w:rsidRPr="008F5F11">
        <w:rPr>
          <w:noProof/>
        </w:rPr>
        <w:drawing>
          <wp:inline distT="0" distB="0" distL="0" distR="0" wp14:anchorId="5E9E7F6C" wp14:editId="018B4029">
            <wp:extent cx="123825" cy="123825"/>
            <wp:effectExtent l="0" t="0" r="9525" b="9525"/>
            <wp:docPr id="71" name="Picture 71"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2A365A">
        <w:rPr>
          <w:b/>
          <w:highlight w:val="yellow"/>
        </w:rPr>
        <w:t>Property</w:t>
      </w:r>
      <w:r w:rsidRPr="008F5F11">
        <w:rPr>
          <w:b/>
        </w:rPr>
        <w:t xml:space="preserve"> </w:t>
      </w:r>
      <w:r w:rsidRPr="002A365A">
        <w:rPr>
          <w:b/>
          <w:highlight w:val="yellow"/>
        </w:rPr>
        <w:t>Tax Incentives</w:t>
      </w:r>
    </w:p>
    <w:p w:rsidR="00077A2A" w:rsidRPr="00274338" w:rsidRDefault="00077A2A" w:rsidP="00077A2A">
      <w:r w:rsidRPr="00274338">
        <w:t>Property tax incentives include exemptions, exclusions, abatements and credits. Most property tax incentives provide that the added value of a renewable energy system is excluded from the valuation of the property for taxation purposes. For example, if a new heating system that uses renewable energy costs more than a conventional heating system, the additional cost of the renewable energy system is not included in the property assessment. In a few cases, property tax incentives apply to the additional cost of a green building. Because property taxes are collected locally, some states have granted local taxing authorities the option of allowing a property tax incentive for renewables.</w:t>
      </w:r>
    </w:p>
    <w:p w:rsidR="00077A2A" w:rsidRPr="008F5F11" w:rsidRDefault="00077A2A" w:rsidP="00077A2A">
      <w:r w:rsidRPr="008F5F11">
        <w:t>  </w:t>
      </w:r>
      <w:r w:rsidRPr="008F5F11">
        <w:rPr>
          <w:noProof/>
        </w:rPr>
        <w:drawing>
          <wp:inline distT="0" distB="0" distL="0" distR="0" wp14:anchorId="562903EA" wp14:editId="7E88097D">
            <wp:extent cx="123825" cy="123825"/>
            <wp:effectExtent l="0" t="0" r="9525" b="9525"/>
            <wp:docPr id="72" name="Picture 72"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Rebate Programs</w:t>
      </w:r>
    </w:p>
    <w:p w:rsidR="00077A2A" w:rsidRPr="002A365A" w:rsidRDefault="00077A2A" w:rsidP="00077A2A">
      <w:r w:rsidRPr="008F5F11">
        <w:t xml:space="preserve">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w:t>
      </w:r>
      <w:r w:rsidRPr="002A365A">
        <w:t>utilities. Rebate amounts vary widely by technology and program administrator.</w:t>
      </w:r>
    </w:p>
    <w:p w:rsidR="00077A2A" w:rsidRPr="008F5F11" w:rsidRDefault="00077A2A" w:rsidP="00077A2A">
      <w:pPr>
        <w:shd w:val="clear" w:color="auto" w:fill="F5F5F5"/>
      </w:pPr>
      <w:r w:rsidRPr="002A365A">
        <w:t>  </w:t>
      </w:r>
      <w:r w:rsidRPr="002A365A">
        <w:rPr>
          <w:noProof/>
        </w:rPr>
        <w:drawing>
          <wp:inline distT="0" distB="0" distL="0" distR="0" wp14:anchorId="43E0F1C7" wp14:editId="27A83264">
            <wp:extent cx="123825" cy="123825"/>
            <wp:effectExtent l="0" t="0" r="9525" b="9525"/>
            <wp:docPr id="73" name="Picture 73"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2A365A">
        <w:t> </w:t>
      </w:r>
      <w:r w:rsidRPr="002A365A">
        <w:rPr>
          <w:b/>
          <w:highlight w:val="yellow"/>
        </w:rPr>
        <w:t>Sales Tax Incentives</w:t>
      </w:r>
    </w:p>
    <w:p w:rsidR="00077A2A" w:rsidRPr="00274338" w:rsidRDefault="00077A2A" w:rsidP="00077A2A">
      <w:r w:rsidRPr="00274338">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p>
    <w:p w:rsidR="00077A2A" w:rsidRPr="00274338" w:rsidRDefault="00077A2A" w:rsidP="00077A2A">
      <w:pPr>
        <w:rPr>
          <w:sz w:val="16"/>
        </w:rPr>
      </w:pPr>
      <w:r w:rsidRPr="008F5F11">
        <w:rPr>
          <w:b/>
        </w:rPr>
        <w:lastRenderedPageBreak/>
        <w:t>RULES, REGULATIONS &amp; POLICIES </w:t>
      </w:r>
      <w:r w:rsidRPr="008F5F11">
        <w:t>(click to expand section)</w:t>
      </w:r>
    </w:p>
    <w:p w:rsidR="00077A2A" w:rsidRPr="008F5F11" w:rsidRDefault="00077A2A" w:rsidP="00077A2A">
      <w:r w:rsidRPr="008F5F11">
        <w:t>  </w:t>
      </w:r>
      <w:r w:rsidRPr="008F5F11">
        <w:rPr>
          <w:noProof/>
        </w:rPr>
        <w:drawing>
          <wp:inline distT="0" distB="0" distL="0" distR="0" wp14:anchorId="7AA1EAA9" wp14:editId="30B44869">
            <wp:extent cx="123825" cy="123825"/>
            <wp:effectExtent l="0" t="0" r="9525" b="9525"/>
            <wp:docPr id="74" name="Picture 74"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Appliance/Equipment Efficiency Standards</w:t>
      </w:r>
    </w:p>
    <w:p w:rsidR="00077A2A" w:rsidRPr="008F5F11" w:rsidRDefault="00077A2A" w:rsidP="00077A2A">
      <w:r w:rsidRPr="008F5F11">
        <w:t>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p>
    <w:p w:rsidR="00077A2A" w:rsidRPr="008F5F11" w:rsidRDefault="00077A2A" w:rsidP="00077A2A">
      <w:pPr>
        <w:shd w:val="clear" w:color="auto" w:fill="F5F5F5"/>
      </w:pPr>
      <w:r w:rsidRPr="008F5F11">
        <w:t>  </w:t>
      </w:r>
      <w:r w:rsidRPr="008F5F11">
        <w:rPr>
          <w:noProof/>
        </w:rPr>
        <w:drawing>
          <wp:inline distT="0" distB="0" distL="0" distR="0" wp14:anchorId="0F4AB718" wp14:editId="405ECA1E">
            <wp:extent cx="123825" cy="123825"/>
            <wp:effectExtent l="0" t="0" r="9525" b="9525"/>
            <wp:docPr id="75" name="Picture 75"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Building Energy Codes</w:t>
      </w:r>
    </w:p>
    <w:p w:rsidR="00077A2A" w:rsidRPr="00274338" w:rsidRDefault="00077A2A" w:rsidP="00077A2A">
      <w:r w:rsidRPr="00274338">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p>
    <w:p w:rsidR="00077A2A" w:rsidRPr="008F5F11" w:rsidRDefault="00077A2A" w:rsidP="00077A2A">
      <w:r w:rsidRPr="008F5F11">
        <w:t>  </w:t>
      </w:r>
      <w:r w:rsidRPr="008F5F11">
        <w:rPr>
          <w:noProof/>
        </w:rPr>
        <w:drawing>
          <wp:inline distT="0" distB="0" distL="0" distR="0" wp14:anchorId="0F7CB5CC" wp14:editId="3E56FEDE">
            <wp:extent cx="123825" cy="123825"/>
            <wp:effectExtent l="0" t="0" r="9525" b="9525"/>
            <wp:docPr id="76" name="Picture 76"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Contractor Licensing</w:t>
      </w:r>
    </w:p>
    <w:p w:rsidR="00077A2A" w:rsidRPr="008F5F11" w:rsidRDefault="00077A2A" w:rsidP="00077A2A">
      <w:r w:rsidRPr="008F5F11">
        <w:t xml:space="preserve">Some states have adopted a licensing process for renewable energy contractors. Several states have adopted contractor licensing requirements for solar water heating, active and passive solar space heating, solar industrial process heat, solar-thermal electricity, and </w:t>
      </w:r>
      <w:proofErr w:type="spellStart"/>
      <w:r w:rsidRPr="008F5F11">
        <w:t>photovoltaics</w:t>
      </w:r>
      <w:proofErr w:type="spellEnd"/>
      <w:r w:rsidRPr="008F5F11">
        <w:t xml:space="preserve"> (PV). These requirements are designed to ensure that contractors have the necessary knowledge and experience to install systems properly. Solar licenses typically take the form of either a separate, specialized solar contractor’s license, or of a specialty classification under a general electrical or plumbing license.</w:t>
      </w:r>
    </w:p>
    <w:p w:rsidR="00077A2A" w:rsidRPr="008F5F11" w:rsidRDefault="00077A2A" w:rsidP="00077A2A">
      <w:pPr>
        <w:shd w:val="clear" w:color="auto" w:fill="F5F5F5"/>
      </w:pPr>
      <w:r w:rsidRPr="008F5F11">
        <w:t>  </w:t>
      </w:r>
      <w:r w:rsidRPr="008F5F11">
        <w:rPr>
          <w:noProof/>
        </w:rPr>
        <w:drawing>
          <wp:inline distT="0" distB="0" distL="0" distR="0" wp14:anchorId="2A7C677C" wp14:editId="019ADBEA">
            <wp:extent cx="123825" cy="123825"/>
            <wp:effectExtent l="0" t="0" r="9525" b="9525"/>
            <wp:docPr id="77" name="Picture 77"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Energy Efficiency Resource Standards (EERS)</w:t>
      </w:r>
    </w:p>
    <w:p w:rsidR="00077A2A" w:rsidRPr="00274338" w:rsidRDefault="00077A2A" w:rsidP="00077A2A">
      <w:r w:rsidRPr="00274338">
        <w:t>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p>
    <w:p w:rsidR="00077A2A" w:rsidRPr="008F5F11" w:rsidRDefault="00077A2A" w:rsidP="00077A2A">
      <w:r w:rsidRPr="008F5F11">
        <w:t>  </w:t>
      </w:r>
      <w:r w:rsidRPr="008F5F11">
        <w:rPr>
          <w:noProof/>
        </w:rPr>
        <w:drawing>
          <wp:inline distT="0" distB="0" distL="0" distR="0" wp14:anchorId="2CF347A5" wp14:editId="0C106228">
            <wp:extent cx="123825" cy="123825"/>
            <wp:effectExtent l="0" t="0" r="9525" b="9525"/>
            <wp:docPr id="78" name="Picture 78"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Energy Standards for Public Buildings</w:t>
      </w:r>
    </w:p>
    <w:p w:rsidR="00077A2A" w:rsidRPr="008F5F11" w:rsidRDefault="00077A2A" w:rsidP="00077A2A">
      <w:r w:rsidRPr="008F5F11">
        <w:t>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w:t>
      </w:r>
    </w:p>
    <w:p w:rsidR="00077A2A" w:rsidRPr="008F5F11" w:rsidRDefault="00077A2A" w:rsidP="00077A2A">
      <w:pPr>
        <w:shd w:val="clear" w:color="auto" w:fill="F5F5F5"/>
      </w:pPr>
      <w:r w:rsidRPr="008F5F11">
        <w:t>  </w:t>
      </w:r>
      <w:r w:rsidRPr="008F5F11">
        <w:rPr>
          <w:noProof/>
        </w:rPr>
        <w:drawing>
          <wp:inline distT="0" distB="0" distL="0" distR="0" wp14:anchorId="6B925602" wp14:editId="67FA7922">
            <wp:extent cx="123825" cy="123825"/>
            <wp:effectExtent l="0" t="0" r="9525" b="9525"/>
            <wp:docPr id="79" name="Picture 79"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Equipment Certification Requirements</w:t>
      </w:r>
    </w:p>
    <w:p w:rsidR="00077A2A" w:rsidRPr="00274338" w:rsidRDefault="00077A2A" w:rsidP="00077A2A">
      <w:r w:rsidRPr="00274338">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p>
    <w:p w:rsidR="00077A2A" w:rsidRPr="008F5F11" w:rsidRDefault="00077A2A" w:rsidP="00077A2A">
      <w:r w:rsidRPr="008F5F11">
        <w:t>  </w:t>
      </w:r>
      <w:r w:rsidRPr="008F5F11">
        <w:rPr>
          <w:noProof/>
        </w:rPr>
        <w:drawing>
          <wp:inline distT="0" distB="0" distL="0" distR="0" wp14:anchorId="0F05ECE3" wp14:editId="715D8AA4">
            <wp:extent cx="123825" cy="123825"/>
            <wp:effectExtent l="0" t="0" r="9525" b="9525"/>
            <wp:docPr id="80" name="Picture 80"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Generation Disclosure</w:t>
      </w:r>
    </w:p>
    <w:p w:rsidR="00077A2A" w:rsidRPr="008F5F11" w:rsidRDefault="00077A2A" w:rsidP="00077A2A">
      <w:r w:rsidRPr="008F5F11">
        <w:lastRenderedPageBreak/>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p>
    <w:p w:rsidR="00077A2A" w:rsidRPr="008F5F11" w:rsidRDefault="00077A2A" w:rsidP="00077A2A">
      <w:pPr>
        <w:shd w:val="clear" w:color="auto" w:fill="F5F5F5"/>
      </w:pPr>
      <w:r w:rsidRPr="008F5F11">
        <w:t>  </w:t>
      </w:r>
      <w:r w:rsidRPr="008F5F11">
        <w:rPr>
          <w:noProof/>
        </w:rPr>
        <w:drawing>
          <wp:inline distT="0" distB="0" distL="0" distR="0" wp14:anchorId="2C9CAF0A" wp14:editId="11F3D70C">
            <wp:extent cx="123825" cy="123825"/>
            <wp:effectExtent l="0" t="0" r="9525" b="9525"/>
            <wp:docPr id="81" name="Picture 81"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Green Power Purchasing Policies</w:t>
      </w:r>
    </w:p>
    <w:p w:rsidR="00077A2A" w:rsidRPr="00274338" w:rsidRDefault="00077A2A" w:rsidP="00077A2A">
      <w:r w:rsidRPr="00274338">
        <w:t>Government entities, businesses, residents, schools, non-profits and others can play a significant role in supporting renewable energy by buying electricity from renewable resources, or by buying renewable energy credits (RECs). Many state and local governments, as well as the federal government, have committed to buying green power to account for a certain percentage of their electricity consumption. Green power purchases are typically executed through contracts with green power marketers or project developers, through utility green power programs, or through community aggregation.</w:t>
      </w:r>
    </w:p>
    <w:p w:rsidR="00077A2A" w:rsidRPr="008F5F11" w:rsidRDefault="00077A2A" w:rsidP="00077A2A">
      <w:r w:rsidRPr="008F5F11">
        <w:t>  </w:t>
      </w:r>
      <w:r w:rsidRPr="008F5F11">
        <w:rPr>
          <w:noProof/>
        </w:rPr>
        <w:drawing>
          <wp:inline distT="0" distB="0" distL="0" distR="0" wp14:anchorId="528D949E" wp14:editId="1C8B4027">
            <wp:extent cx="123825" cy="123825"/>
            <wp:effectExtent l="0" t="0" r="9525" b="9525"/>
            <wp:docPr id="82" name="Picture 82"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Interconnection Standards</w:t>
      </w:r>
    </w:p>
    <w:p w:rsidR="00077A2A" w:rsidRPr="008F5F11" w:rsidRDefault="00077A2A" w:rsidP="00077A2A">
      <w:r w:rsidRPr="008F5F11">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rsidRPr="008F5F11">
        <w:t>commissions</w:t>
      </w:r>
      <w:proofErr w:type="spellEnd"/>
      <w:r w:rsidRPr="008F5F11">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p>
    <w:p w:rsidR="00077A2A" w:rsidRPr="008F5F11" w:rsidRDefault="00077A2A" w:rsidP="00077A2A">
      <w:pPr>
        <w:shd w:val="clear" w:color="auto" w:fill="F5F5F5"/>
      </w:pPr>
      <w:r w:rsidRPr="008F5F11">
        <w:t>  </w:t>
      </w:r>
      <w:r w:rsidRPr="008F5F11">
        <w:rPr>
          <w:noProof/>
        </w:rPr>
        <w:drawing>
          <wp:inline distT="0" distB="0" distL="0" distR="0" wp14:anchorId="2528C7F9" wp14:editId="288C70F4">
            <wp:extent cx="123825" cy="123825"/>
            <wp:effectExtent l="0" t="0" r="9525" b="9525"/>
            <wp:docPr id="83" name="Picture 83"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Line Extension Analysis</w:t>
      </w:r>
    </w:p>
    <w:p w:rsidR="00077A2A" w:rsidRPr="00274338" w:rsidRDefault="00077A2A" w:rsidP="00077A2A">
      <w:r w:rsidRPr="00274338">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p>
    <w:p w:rsidR="00077A2A" w:rsidRPr="008F5F11" w:rsidRDefault="00077A2A" w:rsidP="00077A2A">
      <w:r w:rsidRPr="008F5F11">
        <w:t>  </w:t>
      </w:r>
      <w:r w:rsidRPr="008F5F11">
        <w:rPr>
          <w:noProof/>
        </w:rPr>
        <w:drawing>
          <wp:inline distT="0" distB="0" distL="0" distR="0" wp14:anchorId="2ED5FDC9" wp14:editId="6275C3E3">
            <wp:extent cx="123825" cy="123825"/>
            <wp:effectExtent l="0" t="0" r="9525" b="9525"/>
            <wp:docPr id="84" name="Picture 84"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Mandatory Utility Green Power Option</w:t>
      </w:r>
    </w:p>
    <w:p w:rsidR="00077A2A" w:rsidRPr="008F5F11" w:rsidRDefault="00077A2A" w:rsidP="00077A2A">
      <w:r w:rsidRPr="008F5F11">
        <w:t>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p>
    <w:p w:rsidR="00077A2A" w:rsidRPr="008F5F11" w:rsidRDefault="00077A2A" w:rsidP="00077A2A">
      <w:pPr>
        <w:shd w:val="clear" w:color="auto" w:fill="F5F5F5"/>
      </w:pPr>
      <w:r w:rsidRPr="008F5F11">
        <w:t>  </w:t>
      </w:r>
      <w:r w:rsidRPr="008F5F11">
        <w:rPr>
          <w:noProof/>
        </w:rPr>
        <w:drawing>
          <wp:inline distT="0" distB="0" distL="0" distR="0" wp14:anchorId="5AE8BA53" wp14:editId="2D40DA58">
            <wp:extent cx="123825" cy="123825"/>
            <wp:effectExtent l="0" t="0" r="9525" b="9525"/>
            <wp:docPr id="85" name="Picture 85"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Net Metering</w:t>
      </w:r>
    </w:p>
    <w:p w:rsidR="00077A2A" w:rsidRPr="00274338" w:rsidRDefault="00077A2A" w:rsidP="00077A2A">
      <w:r w:rsidRPr="00274338">
        <w:t>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w:t>
      </w:r>
    </w:p>
    <w:p w:rsidR="00077A2A" w:rsidRPr="008F5F11" w:rsidRDefault="00077A2A" w:rsidP="00077A2A">
      <w:r w:rsidRPr="008F5F11">
        <w:t>  </w:t>
      </w:r>
      <w:r w:rsidRPr="008F5F11">
        <w:rPr>
          <w:noProof/>
        </w:rPr>
        <w:drawing>
          <wp:inline distT="0" distB="0" distL="0" distR="0" wp14:anchorId="2C0533CB" wp14:editId="5EA0B3B5">
            <wp:extent cx="123825" cy="123825"/>
            <wp:effectExtent l="0" t="0" r="9525" b="9525"/>
            <wp:docPr id="86" name="Picture 86"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Public Benefit Funds</w:t>
      </w:r>
    </w:p>
    <w:p w:rsidR="00077A2A" w:rsidRPr="008F5F11" w:rsidRDefault="00077A2A" w:rsidP="00077A2A">
      <w:r w:rsidRPr="008F5F11">
        <w:t xml:space="preserve">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w:t>
      </w:r>
      <w:r w:rsidRPr="008F5F11">
        <w:lastRenderedPageBreak/>
        <w:t>referred to as a "system benefits charge" (SBC). PBFs commonly support rebate programs, loan programs, research and development, and energy education programs.</w:t>
      </w:r>
    </w:p>
    <w:p w:rsidR="00077A2A" w:rsidRPr="008F5F11" w:rsidRDefault="00077A2A" w:rsidP="00077A2A">
      <w:pPr>
        <w:shd w:val="clear" w:color="auto" w:fill="F5F5F5"/>
      </w:pPr>
      <w:r w:rsidRPr="008F5F11">
        <w:t>  </w:t>
      </w:r>
      <w:r w:rsidRPr="008F5F11">
        <w:rPr>
          <w:noProof/>
        </w:rPr>
        <w:drawing>
          <wp:inline distT="0" distB="0" distL="0" distR="0" wp14:anchorId="561B1319" wp14:editId="67B898F2">
            <wp:extent cx="123825" cy="123825"/>
            <wp:effectExtent l="0" t="0" r="9525" b="9525"/>
            <wp:docPr id="87" name="Picture 87"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Renewables Portfolio Standards (RPS)</w:t>
      </w:r>
    </w:p>
    <w:p w:rsidR="00077A2A" w:rsidRPr="00274338" w:rsidRDefault="00077A2A" w:rsidP="00077A2A">
      <w:r w:rsidRPr="00274338">
        <w:t>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p>
    <w:p w:rsidR="00077A2A" w:rsidRPr="008F5F11" w:rsidRDefault="00077A2A" w:rsidP="00077A2A">
      <w:r w:rsidRPr="008F5F11">
        <w:t>  </w:t>
      </w:r>
      <w:r w:rsidRPr="008F5F11">
        <w:rPr>
          <w:noProof/>
        </w:rPr>
        <w:drawing>
          <wp:inline distT="0" distB="0" distL="0" distR="0" wp14:anchorId="2FD06736" wp14:editId="691460A6">
            <wp:extent cx="123825" cy="123825"/>
            <wp:effectExtent l="0" t="0" r="9525" b="9525"/>
            <wp:docPr id="88" name="Picture 88"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Solar &amp; Wind Access Policies</w:t>
      </w:r>
    </w:p>
    <w:p w:rsidR="00077A2A" w:rsidRPr="008F5F11" w:rsidRDefault="00077A2A" w:rsidP="00077A2A">
      <w:r w:rsidRPr="008F5F11">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p>
    <w:p w:rsidR="00077A2A" w:rsidRPr="008F5F11" w:rsidRDefault="00077A2A" w:rsidP="00077A2A">
      <w:pPr>
        <w:shd w:val="clear" w:color="auto" w:fill="F5F5F5"/>
      </w:pPr>
      <w:r w:rsidRPr="008F5F11">
        <w:t>  </w:t>
      </w:r>
      <w:r w:rsidRPr="008F5F11">
        <w:rPr>
          <w:noProof/>
        </w:rPr>
        <w:drawing>
          <wp:inline distT="0" distB="0" distL="0" distR="0" wp14:anchorId="4DCCBEEF" wp14:editId="42C5AF9D">
            <wp:extent cx="123825" cy="123825"/>
            <wp:effectExtent l="0" t="0" r="9525" b="9525"/>
            <wp:docPr id="89" name="Picture 89" descr="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F5F11">
        <w:t> </w:t>
      </w:r>
      <w:r w:rsidRPr="008F5F11">
        <w:rPr>
          <w:b/>
        </w:rPr>
        <w:t>Solar &amp; Wind Permitting Standards</w:t>
      </w:r>
    </w:p>
    <w:p w:rsidR="00077A2A" w:rsidRPr="00274338" w:rsidRDefault="00077A2A" w:rsidP="00077A2A">
      <w:r w:rsidRPr="00274338">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077A2A" w:rsidRDefault="00077A2A" w:rsidP="00077A2A"/>
    <w:p w:rsidR="00077A2A" w:rsidRPr="007C1B43" w:rsidRDefault="00077A2A" w:rsidP="00077A2A">
      <w:pPr>
        <w:pStyle w:val="Heading4"/>
      </w:pPr>
      <w:r w:rsidRPr="007C1B43">
        <w:t>DSIRE is the best source for incentive definitions</w:t>
      </w:r>
    </w:p>
    <w:p w:rsidR="00077A2A" w:rsidRPr="00274338" w:rsidRDefault="00077A2A" w:rsidP="00077A2A">
      <w:pPr>
        <w:rPr>
          <w:sz w:val="16"/>
        </w:rPr>
      </w:pPr>
      <w:proofErr w:type="spellStart"/>
      <w:r w:rsidRPr="008651EE">
        <w:rPr>
          <w:rStyle w:val="StyleStyleBold12pt"/>
        </w:rPr>
        <w:t>Gouchoe</w:t>
      </w:r>
      <w:proofErr w:type="spellEnd"/>
      <w:r w:rsidRPr="008651EE">
        <w:rPr>
          <w:rStyle w:val="StyleStyleBold12pt"/>
        </w:rPr>
        <w:t>, 2k</w:t>
      </w:r>
      <w:r w:rsidRPr="00274338">
        <w:rPr>
          <w:b/>
          <w:sz w:val="16"/>
        </w:rPr>
        <w:t xml:space="preserve"> - </w:t>
      </w:r>
      <w:r w:rsidRPr="00274338">
        <w:rPr>
          <w:sz w:val="16"/>
        </w:rPr>
        <w:t xml:space="preserve">North Carolina Solar Center Industrial Extension Service North Carolina State University (Susan, “Local Government and Community Programs and Incentives for Renewable Energy— National Report,” </w:t>
      </w:r>
      <w:hyperlink r:id="rId12" w:history="1">
        <w:r w:rsidRPr="00274338">
          <w:rPr>
            <w:sz w:val="16"/>
          </w:rPr>
          <w:t>http://seg.fsu.edu/Library/casestudy%20of%20incentives.pdf</w:t>
        </w:r>
      </w:hyperlink>
    </w:p>
    <w:p w:rsidR="00077A2A" w:rsidRPr="00274338" w:rsidRDefault="00077A2A" w:rsidP="00077A2A">
      <w:pPr>
        <w:rPr>
          <w:sz w:val="16"/>
        </w:rPr>
      </w:pPr>
    </w:p>
    <w:p w:rsidR="00077A2A" w:rsidRPr="00274338" w:rsidRDefault="00077A2A" w:rsidP="00077A2A">
      <w:pPr>
        <w:rPr>
          <w:sz w:val="16"/>
        </w:rPr>
      </w:pPr>
      <w:r w:rsidRPr="00274338">
        <w:rPr>
          <w:sz w:val="16"/>
        </w:rPr>
        <w:t>The Database of State Incentives for Renewable Energy (</w:t>
      </w:r>
      <w:r w:rsidRPr="00077A2A">
        <w:rPr>
          <w:highlight w:val="yellow"/>
          <w:u w:val="single"/>
        </w:rPr>
        <w:t xml:space="preserve">DSIRE) serves as the nation’s most comprehensive source of information on the status of </w:t>
      </w:r>
      <w:r w:rsidRPr="00274338">
        <w:rPr>
          <w:sz w:val="16"/>
        </w:rPr>
        <w:t xml:space="preserve">programs and </w:t>
      </w:r>
      <w:r w:rsidRPr="00077A2A">
        <w:rPr>
          <w:highlight w:val="yellow"/>
          <w:u w:val="single"/>
        </w:rPr>
        <w:t>incentives for renewable energy</w:t>
      </w:r>
      <w:r w:rsidRPr="00274338">
        <w:rPr>
          <w:sz w:val="16"/>
        </w:rPr>
        <w:t>. The database tracks these programs at the state, utility, local, and community level. Established in 1995, DSIRE is an ongoing project of the Interstate Renewable Energy Council (IREC) and is managed by the North Carolina Solar Center with funding from the U.S. Department of Energy’s Office of Power Technologies.</w:t>
      </w:r>
    </w:p>
    <w:p w:rsidR="00077A2A" w:rsidRPr="00274338" w:rsidRDefault="00077A2A" w:rsidP="00077A2A">
      <w:pPr>
        <w:rPr>
          <w:sz w:val="16"/>
        </w:rPr>
      </w:pPr>
      <w:r w:rsidRPr="00E92F93">
        <w:rPr>
          <w:u w:val="single"/>
        </w:rPr>
        <w:t>The first three phases of the DSIRE project—surveys of state financial incentives, state regulatory policies, and utility programs and incentives—have been completed</w:t>
      </w:r>
      <w:r w:rsidRPr="00274338">
        <w:rPr>
          <w:sz w:val="16"/>
        </w:rPr>
        <w:t xml:space="preserve">. Information from these databases has been published in three previous reports: National Summary Report on State Financial Incentives for Renewable Energy (1997); National Summary Report on State Programs and Regulatory Policies for Renewable Energy (1998); and National Summary Report on Utility Programs and Incentives for Renewable Energy (1999). These reports summarize incentives, programs, and policies that promote active and passive solar, </w:t>
      </w:r>
      <w:proofErr w:type="spellStart"/>
      <w:r w:rsidRPr="00274338">
        <w:rPr>
          <w:sz w:val="16"/>
        </w:rPr>
        <w:t>photovoltaics</w:t>
      </w:r>
      <w:proofErr w:type="spellEnd"/>
      <w:r w:rsidRPr="00274338">
        <w:rPr>
          <w:sz w:val="16"/>
        </w:rPr>
        <w:t>, wind, biomass, alternative fuels, geothermal, hydropower, and waste energy sources. Given the rapidly changing status of state activities, an updated report— National Summary Report on State Financial and Regulatory Incentives for Renewable Energy—has been produced concurrently with this report on local initiatives.</w:t>
      </w:r>
    </w:p>
    <w:p w:rsidR="00077A2A" w:rsidRPr="00274338" w:rsidRDefault="00077A2A" w:rsidP="00077A2A">
      <w:pPr>
        <w:rPr>
          <w:sz w:val="16"/>
        </w:rPr>
      </w:pPr>
      <w:r w:rsidRPr="00077A2A">
        <w:rPr>
          <w:highlight w:val="yellow"/>
          <w:u w:val="single"/>
        </w:rPr>
        <w:t xml:space="preserve">While reports serve as a snapshot </w:t>
      </w:r>
      <w:r w:rsidRPr="00E92F93">
        <w:rPr>
          <w:u w:val="single"/>
        </w:rPr>
        <w:t xml:space="preserve">of the status of incentives and programs, constant revisions and additions to </w:t>
      </w:r>
      <w:r w:rsidRPr="00077A2A">
        <w:rPr>
          <w:highlight w:val="yellow"/>
          <w:u w:val="single"/>
        </w:rPr>
        <w:t xml:space="preserve">the database maintain DSIRE’s role as the most up-to-date, national clearinghouse </w:t>
      </w:r>
      <w:r w:rsidRPr="00E92F93">
        <w:rPr>
          <w:u w:val="single"/>
        </w:rPr>
        <w:t>of information on incentives and programs for renewable energy</w:t>
      </w:r>
      <w:r w:rsidRPr="00274338">
        <w:rPr>
          <w:sz w:val="16"/>
        </w:rPr>
        <w:t xml:space="preserve">. Through DSIRE on Line, the DSIRE database is accessible via the web at: http://www.ncsc.ncsu.edu/dsire.htm. In 2001, federal incentives will be </w:t>
      </w:r>
      <w:r w:rsidRPr="00274338">
        <w:rPr>
          <w:sz w:val="16"/>
        </w:rPr>
        <w:lastRenderedPageBreak/>
        <w:t>added to the database, thereby providing a complete and comprehensive database of renewable energy incentives at all levels—national, state, and local.</w:t>
      </w:r>
    </w:p>
    <w:p w:rsidR="00077A2A" w:rsidRDefault="00077A2A" w:rsidP="00077A2A">
      <w:pPr>
        <w:pStyle w:val="Heading4"/>
      </w:pPr>
    </w:p>
    <w:p w:rsidR="00077A2A" w:rsidRDefault="00077A2A" w:rsidP="00077A2A">
      <w:pPr>
        <w:pStyle w:val="Heading3"/>
      </w:pPr>
      <w:r>
        <w:lastRenderedPageBreak/>
        <w:t>yes disease</w:t>
      </w:r>
    </w:p>
    <w:p w:rsidR="00077A2A" w:rsidRDefault="00077A2A" w:rsidP="00077A2A"/>
    <w:p w:rsidR="00077A2A" w:rsidRPr="00922A08" w:rsidRDefault="00077A2A" w:rsidP="00077A2A">
      <w:pPr>
        <w:pStyle w:val="Heading4"/>
      </w:pPr>
      <w:r>
        <w:t>Co-evolution is wrong</w:t>
      </w:r>
    </w:p>
    <w:p w:rsidR="00077A2A" w:rsidRDefault="00077A2A" w:rsidP="00077A2A">
      <w:r w:rsidRPr="00922A08">
        <w:rPr>
          <w:rFonts w:eastAsiaTheme="majorEastAsia"/>
          <w:b/>
          <w:sz w:val="24"/>
        </w:rPr>
        <w:t xml:space="preserve">Torrey and </w:t>
      </w:r>
      <w:proofErr w:type="spellStart"/>
      <w:r w:rsidRPr="00922A08">
        <w:rPr>
          <w:rFonts w:eastAsiaTheme="majorEastAsia"/>
          <w:b/>
          <w:sz w:val="24"/>
        </w:rPr>
        <w:t>Yolken</w:t>
      </w:r>
      <w:proofErr w:type="spellEnd"/>
      <w:r w:rsidRPr="00922A08">
        <w:rPr>
          <w:rFonts w:eastAsiaTheme="majorEastAsia"/>
          <w:b/>
          <w:sz w:val="24"/>
        </w:rPr>
        <w:t xml:space="preserve"> 5</w:t>
      </w:r>
      <w:r w:rsidRPr="00922A08">
        <w:t xml:space="preserve"> E. Fuller and Robert H, Directors Stanley Medical Research Institute, 2005, Beasts of the Earth: Animals, Humans and Disease, pp. 5-6</w:t>
      </w:r>
    </w:p>
    <w:p w:rsidR="00077A2A" w:rsidRPr="00922A08" w:rsidRDefault="00077A2A" w:rsidP="00077A2A"/>
    <w:p w:rsidR="00077A2A" w:rsidRPr="00922A08" w:rsidRDefault="00077A2A" w:rsidP="00077A2A">
      <w:pPr>
        <w:ind w:right="288"/>
        <w:rPr>
          <w:sz w:val="16"/>
        </w:rPr>
      </w:pPr>
      <w:r w:rsidRPr="00922A08">
        <w:rPr>
          <w:sz w:val="16"/>
        </w:rPr>
        <w:t xml:space="preserve">The outcome of this marriage, however, is not as clearly defined as it was once thought to be. </w:t>
      </w:r>
      <w:r w:rsidRPr="00922A08">
        <w:rPr>
          <w:highlight w:val="yellow"/>
          <w:u w:val="single"/>
        </w:rPr>
        <w:t>For many years, it was believed that microbes</w:t>
      </w:r>
      <w:r w:rsidRPr="00922A08">
        <w:rPr>
          <w:u w:val="single"/>
        </w:rPr>
        <w:t xml:space="preserve"> and human </w:t>
      </w:r>
      <w:r w:rsidRPr="00922A08">
        <w:rPr>
          <w:highlight w:val="yellow"/>
          <w:u w:val="single"/>
        </w:rPr>
        <w:t>slowly</w:t>
      </w:r>
      <w:r w:rsidRPr="00922A08">
        <w:rPr>
          <w:u w:val="single"/>
        </w:rPr>
        <w:t xml:space="preserve"> learn to live with each other as microbes </w:t>
      </w:r>
      <w:r w:rsidRPr="00922A08">
        <w:rPr>
          <w:highlight w:val="yellow"/>
          <w:u w:val="single"/>
        </w:rPr>
        <w:t>evolve toward a benign coexistence</w:t>
      </w:r>
      <w:r w:rsidRPr="00922A08">
        <w:rPr>
          <w:u w:val="single"/>
        </w:rPr>
        <w:t xml:space="preserve"> </w:t>
      </w:r>
      <w:proofErr w:type="spellStart"/>
      <w:r w:rsidRPr="00922A08">
        <w:rPr>
          <w:u w:val="single"/>
        </w:rPr>
        <w:t>wit</w:t>
      </w:r>
      <w:proofErr w:type="spellEnd"/>
      <w:r w:rsidRPr="00922A08">
        <w:rPr>
          <w:u w:val="single"/>
        </w:rPr>
        <w:t xml:space="preserve"> their hosts</w:t>
      </w:r>
      <w:r w:rsidRPr="00922A08">
        <w:rPr>
          <w:sz w:val="16"/>
        </w:rPr>
        <w:t xml:space="preserve">. Thus, the bacterium that causes syphilis was thought to be extremely virulent when it initially spread among humans in the sixteenth century, then to have slowly become less virulent over the following three centuries. </w:t>
      </w:r>
      <w:r w:rsidRPr="00922A08">
        <w:rPr>
          <w:u w:val="single"/>
        </w:rPr>
        <w:t>This reassuring view of microbial history has recently been challenged</w:t>
      </w:r>
      <w:r w:rsidRPr="00922A08">
        <w:rPr>
          <w:sz w:val="16"/>
        </w:rPr>
        <w:t xml:space="preserve"> by Paul </w:t>
      </w:r>
      <w:proofErr w:type="spellStart"/>
      <w:r w:rsidRPr="00922A08">
        <w:rPr>
          <w:sz w:val="16"/>
        </w:rPr>
        <w:t>Ewald</w:t>
      </w:r>
      <w:proofErr w:type="spellEnd"/>
      <w:r w:rsidRPr="00922A08">
        <w:rPr>
          <w:sz w:val="16"/>
        </w:rPr>
        <w:t xml:space="preserve"> and others, who have questioned whether microbes do necessarily evolve toward long-term accommodation with their hosts. Under certain circumstances, </w:t>
      </w:r>
      <w:proofErr w:type="spellStart"/>
      <w:r w:rsidRPr="00922A08">
        <w:rPr>
          <w:sz w:val="16"/>
        </w:rPr>
        <w:t>Ewald</w:t>
      </w:r>
      <w:proofErr w:type="spellEnd"/>
      <w:r w:rsidRPr="00922A08">
        <w:rPr>
          <w:sz w:val="16"/>
        </w:rPr>
        <w:t xml:space="preserve"> argues, “</w:t>
      </w:r>
      <w:r w:rsidRPr="00922A08">
        <w:rPr>
          <w:highlight w:val="yellow"/>
          <w:u w:val="single"/>
        </w:rPr>
        <w:t>Natural selection may…favor the evolution of extreme harmfulness</w:t>
      </w:r>
      <w:r w:rsidRPr="00922A08">
        <w:rPr>
          <w:u w:val="single"/>
        </w:rPr>
        <w:t xml:space="preserve"> if the exploitation that damages the host [i.e. disease] enhances the ability of the harmful variant to compete with a more benign pathogen.” </w:t>
      </w:r>
      <w:r w:rsidRPr="00922A08">
        <w:rPr>
          <w:highlight w:val="yellow"/>
          <w:u w:val="single"/>
        </w:rPr>
        <w:t>The outcome</w:t>
      </w:r>
      <w:r w:rsidRPr="00922A08">
        <w:rPr>
          <w:u w:val="single"/>
        </w:rPr>
        <w:t xml:space="preserve"> of such a “marriage” </w:t>
      </w:r>
      <w:r w:rsidRPr="00922A08">
        <w:rPr>
          <w:highlight w:val="yellow"/>
          <w:u w:val="single"/>
        </w:rPr>
        <w:t>may</w:t>
      </w:r>
      <w:r w:rsidRPr="00922A08">
        <w:rPr>
          <w:u w:val="single"/>
        </w:rPr>
        <w:t xml:space="preserve"> thus </w:t>
      </w:r>
      <w:r w:rsidRPr="00922A08">
        <w:rPr>
          <w:highlight w:val="yellow"/>
          <w:u w:val="single"/>
        </w:rPr>
        <w:t>be the murder of one spouse by the other</w:t>
      </w:r>
      <w:r w:rsidRPr="00922A08">
        <w:rPr>
          <w:u w:val="single"/>
        </w:rPr>
        <w:t>. In eschatological terms</w:t>
      </w:r>
      <w:r w:rsidRPr="00922A08">
        <w:rPr>
          <w:sz w:val="16"/>
        </w:rPr>
        <w:t xml:space="preserve">, this view argues that </w:t>
      </w:r>
      <w:r w:rsidRPr="00922A08">
        <w:rPr>
          <w:highlight w:val="yellow"/>
          <w:u w:val="single"/>
        </w:rPr>
        <w:t>a microbe</w:t>
      </w:r>
      <w:r w:rsidRPr="00922A08">
        <w:rPr>
          <w:sz w:val="16"/>
        </w:rPr>
        <w:t xml:space="preserve"> such as HIV or SARS virus </w:t>
      </w:r>
      <w:r w:rsidRPr="00922A08">
        <w:rPr>
          <w:highlight w:val="yellow"/>
          <w:u w:val="single"/>
        </w:rPr>
        <w:t xml:space="preserve">may be truly capable of </w:t>
      </w:r>
      <w:r w:rsidRPr="00922A08">
        <w:rPr>
          <w:b/>
          <w:iCs/>
          <w:highlight w:val="yellow"/>
          <w:u w:val="single"/>
        </w:rPr>
        <w:t>eradicating the human race</w:t>
      </w:r>
      <w:r w:rsidRPr="00922A08">
        <w:rPr>
          <w:sz w:val="16"/>
        </w:rPr>
        <w:t>.</w:t>
      </w:r>
    </w:p>
    <w:p w:rsidR="00077A2A" w:rsidRDefault="00077A2A" w:rsidP="00077A2A"/>
    <w:p w:rsidR="00077A2A" w:rsidRDefault="00077A2A" w:rsidP="00077A2A"/>
    <w:p w:rsidR="00077A2A" w:rsidRDefault="00077A2A" w:rsidP="00077A2A"/>
    <w:p w:rsidR="00077A2A" w:rsidRDefault="00077A2A" w:rsidP="00077A2A">
      <w:pPr>
        <w:pStyle w:val="Heading3"/>
      </w:pPr>
      <w:r>
        <w:lastRenderedPageBreak/>
        <w:t>at: deficit impact</w:t>
      </w:r>
    </w:p>
    <w:p w:rsidR="00077A2A" w:rsidRDefault="00077A2A" w:rsidP="00077A2A"/>
    <w:p w:rsidR="00077A2A" w:rsidRDefault="00077A2A" w:rsidP="00077A2A">
      <w:pPr>
        <w:pStyle w:val="Heading4"/>
      </w:pPr>
      <w:r>
        <w:t>No impact</w:t>
      </w:r>
    </w:p>
    <w:p w:rsidR="00077A2A" w:rsidRDefault="00077A2A" w:rsidP="00077A2A">
      <w:proofErr w:type="spellStart"/>
      <w:r w:rsidRPr="00E94657">
        <w:rPr>
          <w:b/>
        </w:rPr>
        <w:t>Krugman</w:t>
      </w:r>
      <w:proofErr w:type="spellEnd"/>
      <w:r w:rsidRPr="00E94657">
        <w:rPr>
          <w:b/>
        </w:rPr>
        <w:t xml:space="preserve"> 2013</w:t>
      </w:r>
      <w:r>
        <w:t xml:space="preserve"> – </w:t>
      </w:r>
      <w:proofErr w:type="spellStart"/>
      <w:r>
        <w:t>ballin</w:t>
      </w:r>
      <w:proofErr w:type="spellEnd"/>
      <w:r>
        <w:t xml:space="preserve"> economist</w:t>
      </w:r>
    </w:p>
    <w:p w:rsidR="00077A2A" w:rsidRDefault="00077A2A" w:rsidP="00077A2A">
      <w:r>
        <w:t>Op-Ed Columnist</w:t>
      </w:r>
    </w:p>
    <w:p w:rsidR="00077A2A" w:rsidRDefault="00077A2A" w:rsidP="00077A2A">
      <w:r>
        <w:t>Dwindling Deficit Disorder</w:t>
      </w:r>
    </w:p>
    <w:p w:rsidR="00077A2A" w:rsidRDefault="00077A2A" w:rsidP="00077A2A">
      <w:r>
        <w:t>By PAUL KRUGMAN</w:t>
      </w:r>
    </w:p>
    <w:p w:rsidR="00077A2A" w:rsidRDefault="00077A2A" w:rsidP="00077A2A">
      <w:r>
        <w:t>Published: March 10, 2013 703 Comments</w:t>
      </w:r>
    </w:p>
    <w:p w:rsidR="00077A2A" w:rsidRDefault="00077A2A" w:rsidP="00077A2A">
      <w:r>
        <w:t>http://www.nytimes.com/2013/03/11/opinion/krugman-dwindling-deficit-disorder.html?_r=0</w:t>
      </w:r>
    </w:p>
    <w:p w:rsidR="00077A2A" w:rsidRDefault="00077A2A" w:rsidP="00077A2A"/>
    <w:p w:rsidR="00077A2A" w:rsidRDefault="00077A2A" w:rsidP="00077A2A">
      <w:r>
        <w:t xml:space="preserve">For three years and more, policy </w:t>
      </w:r>
      <w:r w:rsidRPr="00E94657">
        <w:rPr>
          <w:rStyle w:val="StyleBoldUnderline"/>
        </w:rPr>
        <w:t>debate</w:t>
      </w:r>
      <w:r>
        <w:t xml:space="preserve"> in Washington </w:t>
      </w:r>
      <w:r w:rsidRPr="00E94657">
        <w:rPr>
          <w:rStyle w:val="StyleBoldUnderline"/>
        </w:rPr>
        <w:t>has been dominated by warnings about</w:t>
      </w:r>
      <w:r>
        <w:t xml:space="preserve"> the dangers of budget </w:t>
      </w:r>
      <w:r w:rsidRPr="00E94657">
        <w:rPr>
          <w:rStyle w:val="StyleBoldUnderline"/>
        </w:rPr>
        <w:t>deficits</w:t>
      </w:r>
      <w:r>
        <w:t xml:space="preserve">. A few lonely economists have tried from the beginning to point out that </w:t>
      </w:r>
      <w:r w:rsidRPr="00E94657">
        <w:rPr>
          <w:rStyle w:val="StyleBoldUnderline"/>
        </w:rPr>
        <w:t>this</w:t>
      </w:r>
      <w:r>
        <w:t xml:space="preserve"> fixation </w:t>
      </w:r>
      <w:r w:rsidRPr="00E94657">
        <w:rPr>
          <w:rStyle w:val="StyleBoldUnderline"/>
        </w:rPr>
        <w:t>is all wrong,</w:t>
      </w:r>
      <w:r>
        <w:t xml:space="preserve"> that deficit spending is actually appropriate in a depressed economy. But </w:t>
      </w:r>
      <w:r w:rsidRPr="00E94657">
        <w:t>even though</w:t>
      </w:r>
      <w:r w:rsidRPr="00E94657">
        <w:rPr>
          <w:rStyle w:val="StyleBoldUnderline"/>
        </w:rPr>
        <w:t xml:space="preserve"> the deficit scolds have been wrong about everything so far — where are the soaring interest rates</w:t>
      </w:r>
      <w:r>
        <w:t xml:space="preserve"> we were promised? — protests that we are having the wrong conversation have consistently fallen on deaf ears. </w:t>
      </w:r>
    </w:p>
    <w:p w:rsidR="00077A2A" w:rsidRDefault="00077A2A" w:rsidP="00077A2A">
      <w:r>
        <w:t xml:space="preserve">¶ What’s really remarkable at this point, however, is the persistence of the deficit fixation in the face of rapidly changing facts. People still talk as if the deficit were exploding, as if the United States budget were on an unsustainable path; in fact, the deficit is falling more rapidly than it has for generations, it is already down to sustainable levels, and it is too small given the state of the economy. </w:t>
      </w:r>
    </w:p>
    <w:p w:rsidR="00077A2A" w:rsidRDefault="00077A2A" w:rsidP="00077A2A">
      <w:r>
        <w:t xml:space="preserve">¶ Start with the raw numbers. </w:t>
      </w:r>
      <w:r w:rsidRPr="00E94657">
        <w:rPr>
          <w:rStyle w:val="StyleBoldUnderline"/>
        </w:rPr>
        <w:t>America’s</w:t>
      </w:r>
      <w:r>
        <w:t xml:space="preserve"> budget </w:t>
      </w:r>
      <w:r w:rsidRPr="00E94657">
        <w:rPr>
          <w:rStyle w:val="StyleBoldUnderline"/>
        </w:rPr>
        <w:t>deficit soared after the 2008 financial crisis</w:t>
      </w:r>
      <w:r>
        <w:t xml:space="preserve"> and the recession that went with it, as revenue plunged and spending on unemployment benefits and other safety-net programs rose. And this rise in the deficit was a good thing! </w:t>
      </w:r>
      <w:r w:rsidRPr="00E94657">
        <w:rPr>
          <w:rStyle w:val="StyleBoldUnderline"/>
        </w:rPr>
        <w:t>Federal spending helped sustain the economy</w:t>
      </w:r>
      <w:r>
        <w:t xml:space="preserve"> at a time when the private sector was in panicked retreat; arguably, the stabilizing role of a large government was the main reason the Great Recession didn’t turn into a full replay of the Great Depression. </w:t>
      </w:r>
    </w:p>
    <w:p w:rsidR="00077A2A" w:rsidRDefault="00077A2A" w:rsidP="00077A2A">
      <w:r>
        <w:t xml:space="preserve">¶ </w:t>
      </w:r>
      <w:r w:rsidRPr="00E94657">
        <w:rPr>
          <w:rStyle w:val="StyleBoldUnderline"/>
        </w:rPr>
        <w:t>But after</w:t>
      </w:r>
      <w:r>
        <w:t xml:space="preserve"> peaking in </w:t>
      </w:r>
      <w:r w:rsidRPr="00E94657">
        <w:rPr>
          <w:rStyle w:val="StyleBoldUnderline"/>
        </w:rPr>
        <w:t>2009</w:t>
      </w:r>
      <w:r>
        <w:t xml:space="preserve"> at $1.4 trillion, </w:t>
      </w:r>
      <w:r w:rsidRPr="00E94657">
        <w:rPr>
          <w:rStyle w:val="StyleBoldUnderline"/>
        </w:rPr>
        <w:t>the deficit began coming down</w:t>
      </w:r>
      <w:r>
        <w:t xml:space="preserve">. The Congressional Budget Office expects the deficit for fiscal 2013 (which began in October and is almost half over) to be $845 billion. That may still sound like a big number, but given the state of the economy it really isn’t. </w:t>
      </w:r>
    </w:p>
    <w:p w:rsidR="00077A2A" w:rsidRDefault="00077A2A" w:rsidP="00077A2A">
      <w:r>
        <w:t xml:space="preserve">¶ Bear in mind that </w:t>
      </w:r>
      <w:r w:rsidRPr="00E94657">
        <w:rPr>
          <w:rStyle w:val="StyleBoldUnderline"/>
        </w:rPr>
        <w:t>the budget doesn’t have to be balanced to put us on a fiscally sustainable path; all we need is a deficit small enough that debt grows more slowly than the economy</w:t>
      </w:r>
      <w:r>
        <w:t xml:space="preserve">. To take the classic example, America never did pay off the debt from World War II — in fact, our debt doubled in the 30 years that followed the war. But debt as a percentage of G.D.P. fell by three-quarters over the same period. </w:t>
      </w:r>
    </w:p>
    <w:p w:rsidR="00077A2A" w:rsidRDefault="00077A2A" w:rsidP="00077A2A">
      <w:r>
        <w:t xml:space="preserve">¶ Right now, a sustainable deficit would be around $460 billion. The actual deficit is bigger than that. But according to new estimates by the budget office, half of our current deficit reflects the effects of a still-depressed economy. </w:t>
      </w:r>
      <w:r w:rsidRPr="00E94657">
        <w:rPr>
          <w:rStyle w:val="StyleBoldUnderline"/>
        </w:rPr>
        <w:t>The “cyclically adjusted” deficit</w:t>
      </w:r>
      <w:r>
        <w:t xml:space="preserve"> — what the deficit would be if we were near full employment — </w:t>
      </w:r>
      <w:r w:rsidRPr="00E94657">
        <w:rPr>
          <w:rStyle w:val="StyleBoldUnderline"/>
        </w:rPr>
        <w:t>is</w:t>
      </w:r>
      <w:r>
        <w:t xml:space="preserve"> only about $423 billion, which puts it in the </w:t>
      </w:r>
      <w:r w:rsidRPr="00E94657">
        <w:rPr>
          <w:rStyle w:val="StyleBoldUnderline"/>
        </w:rPr>
        <w:t>sustainable</w:t>
      </w:r>
      <w:r>
        <w:t xml:space="preserve"> range; next year the budget office expects that number to fall to just $172 billion. </w:t>
      </w:r>
      <w:r w:rsidRPr="00E94657">
        <w:rPr>
          <w:rStyle w:val="StyleBoldUnderline"/>
        </w:rPr>
        <w:t>And that’s why budget office projections show the nation’s debt position more or less stable over the next decade.</w:t>
      </w:r>
      <w:r>
        <w:t xml:space="preserve"> </w:t>
      </w:r>
    </w:p>
    <w:p w:rsidR="00077A2A" w:rsidRDefault="00077A2A" w:rsidP="00077A2A">
      <w:r>
        <w:t xml:space="preserve">¶ So </w:t>
      </w:r>
      <w:r w:rsidRPr="00E94657">
        <w:rPr>
          <w:rStyle w:val="StyleBoldUnderline"/>
        </w:rPr>
        <w:t>we do not</w:t>
      </w:r>
      <w:r>
        <w:t xml:space="preserve">, repeat do not, </w:t>
      </w:r>
      <w:r w:rsidRPr="00E94657">
        <w:rPr>
          <w:rStyle w:val="StyleBoldUnderline"/>
        </w:rPr>
        <w:t>face any kind of deficit crisis either now or for years to come</w:t>
      </w:r>
      <w:r>
        <w:t xml:space="preserve">. </w:t>
      </w:r>
    </w:p>
    <w:p w:rsidR="00077A2A" w:rsidRDefault="00077A2A" w:rsidP="00077A2A"/>
    <w:p w:rsidR="00077A2A" w:rsidRPr="00E94657" w:rsidRDefault="00077A2A" w:rsidP="00077A2A">
      <w:bookmarkStart w:id="0" w:name="_GoBack"/>
      <w:bookmarkEnd w:id="0"/>
    </w:p>
    <w:sectPr w:rsidR="00077A2A" w:rsidRPr="00E946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617" w:rsidRDefault="00D65617" w:rsidP="005F5576">
      <w:r>
        <w:separator/>
      </w:r>
    </w:p>
  </w:endnote>
  <w:endnote w:type="continuationSeparator" w:id="0">
    <w:p w:rsidR="00D65617" w:rsidRDefault="00D656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617" w:rsidRDefault="00D65617" w:rsidP="005F5576">
      <w:r>
        <w:separator/>
      </w:r>
    </w:p>
  </w:footnote>
  <w:footnote w:type="continuationSeparator" w:id="0">
    <w:p w:rsidR="00D65617" w:rsidRDefault="00D656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17"/>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77A2A"/>
    <w:rsid w:val="00090287"/>
    <w:rsid w:val="00090BA2"/>
    <w:rsid w:val="00093338"/>
    <w:rsid w:val="000978A3"/>
    <w:rsid w:val="00097D7E"/>
    <w:rsid w:val="000A1D39"/>
    <w:rsid w:val="000A4FA5"/>
    <w:rsid w:val="000B2E69"/>
    <w:rsid w:val="000B61C8"/>
    <w:rsid w:val="000C7646"/>
    <w:rsid w:val="000C767D"/>
    <w:rsid w:val="000D0B76"/>
    <w:rsid w:val="000D2AE5"/>
    <w:rsid w:val="000D3A26"/>
    <w:rsid w:val="000D3D8D"/>
    <w:rsid w:val="000E41A3"/>
    <w:rsid w:val="000F37E7"/>
    <w:rsid w:val="0010050D"/>
    <w:rsid w:val="0010610A"/>
    <w:rsid w:val="00113C68"/>
    <w:rsid w:val="00114663"/>
    <w:rsid w:val="0012057B"/>
    <w:rsid w:val="00126D92"/>
    <w:rsid w:val="001301AC"/>
    <w:rsid w:val="001304DF"/>
    <w:rsid w:val="00133A6F"/>
    <w:rsid w:val="001400B4"/>
    <w:rsid w:val="00140397"/>
    <w:rsid w:val="0014072D"/>
    <w:rsid w:val="00141F7D"/>
    <w:rsid w:val="00141FBF"/>
    <w:rsid w:val="00145637"/>
    <w:rsid w:val="0016509D"/>
    <w:rsid w:val="001663DE"/>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4023F"/>
    <w:rsid w:val="00240C4E"/>
    <w:rsid w:val="00243DC0"/>
    <w:rsid w:val="00250E16"/>
    <w:rsid w:val="0025118B"/>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6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83E0A"/>
    <w:rsid w:val="003847C7"/>
    <w:rsid w:val="00385298"/>
    <w:rsid w:val="003852CE"/>
    <w:rsid w:val="00392E92"/>
    <w:rsid w:val="00395C83"/>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17090"/>
    <w:rsid w:val="00421A7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2831"/>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595E"/>
    <w:rsid w:val="00A3686D"/>
    <w:rsid w:val="00A46C7F"/>
    <w:rsid w:val="00A65548"/>
    <w:rsid w:val="00A73245"/>
    <w:rsid w:val="00A77145"/>
    <w:rsid w:val="00A81F35"/>
    <w:rsid w:val="00A82989"/>
    <w:rsid w:val="00A904FE"/>
    <w:rsid w:val="00A9262C"/>
    <w:rsid w:val="00A961E7"/>
    <w:rsid w:val="00AB3B76"/>
    <w:rsid w:val="00AB61DD"/>
    <w:rsid w:val="00AC222F"/>
    <w:rsid w:val="00AC2CC7"/>
    <w:rsid w:val="00AC7B3B"/>
    <w:rsid w:val="00AD3CE6"/>
    <w:rsid w:val="00AE0855"/>
    <w:rsid w:val="00AE1307"/>
    <w:rsid w:val="00AE7586"/>
    <w:rsid w:val="00AF6DE1"/>
    <w:rsid w:val="00AF7A65"/>
    <w:rsid w:val="00B057AC"/>
    <w:rsid w:val="00B06710"/>
    <w:rsid w:val="00B07EBF"/>
    <w:rsid w:val="00B166CB"/>
    <w:rsid w:val="00B235E1"/>
    <w:rsid w:val="00B272CF"/>
    <w:rsid w:val="00B3145D"/>
    <w:rsid w:val="00B357BA"/>
    <w:rsid w:val="00B564DB"/>
    <w:rsid w:val="00B7014A"/>
    <w:rsid w:val="00B768B6"/>
    <w:rsid w:val="00B816A3"/>
    <w:rsid w:val="00B908D1"/>
    <w:rsid w:val="00B940D1"/>
    <w:rsid w:val="00BB58BD"/>
    <w:rsid w:val="00BB6A26"/>
    <w:rsid w:val="00BC1034"/>
    <w:rsid w:val="00BE2408"/>
    <w:rsid w:val="00BE3EC6"/>
    <w:rsid w:val="00BE5BEB"/>
    <w:rsid w:val="00BE6528"/>
    <w:rsid w:val="00BF5D0A"/>
    <w:rsid w:val="00C0087A"/>
    <w:rsid w:val="00C0199D"/>
    <w:rsid w:val="00C03B8E"/>
    <w:rsid w:val="00C05F9D"/>
    <w:rsid w:val="00C27212"/>
    <w:rsid w:val="00C336DB"/>
    <w:rsid w:val="00C34185"/>
    <w:rsid w:val="00C42DD6"/>
    <w:rsid w:val="00C545E7"/>
    <w:rsid w:val="00C66858"/>
    <w:rsid w:val="00C72E69"/>
    <w:rsid w:val="00C7411E"/>
    <w:rsid w:val="00C84988"/>
    <w:rsid w:val="00CA4AF6"/>
    <w:rsid w:val="00CA59CA"/>
    <w:rsid w:val="00CB2356"/>
    <w:rsid w:val="00CB4075"/>
    <w:rsid w:val="00CB4E6D"/>
    <w:rsid w:val="00CC23DE"/>
    <w:rsid w:val="00CD3439"/>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5617"/>
    <w:rsid w:val="00D66ABC"/>
    <w:rsid w:val="00D71CFC"/>
    <w:rsid w:val="00D81AF8"/>
    <w:rsid w:val="00D82A8F"/>
    <w:rsid w:val="00D86024"/>
    <w:rsid w:val="00D94CA3"/>
    <w:rsid w:val="00D96595"/>
    <w:rsid w:val="00DA018C"/>
    <w:rsid w:val="00DA3C9D"/>
    <w:rsid w:val="00DB0F7E"/>
    <w:rsid w:val="00DB5489"/>
    <w:rsid w:val="00DB6C98"/>
    <w:rsid w:val="00DC5F92"/>
    <w:rsid w:val="00DC701C"/>
    <w:rsid w:val="00DD7F91"/>
    <w:rsid w:val="00E00376"/>
    <w:rsid w:val="00E01016"/>
    <w:rsid w:val="00E0255A"/>
    <w:rsid w:val="00E02E4A"/>
    <w:rsid w:val="00E043B1"/>
    <w:rsid w:val="00E0464E"/>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40E8"/>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B53AC"/>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3AC"/>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FB53A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FB53AC"/>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53AC"/>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Ch,no read,No Spacing211,No Spacing12,No Spacing2111,No Spacing5,No Spacing21,No Spacing1121,No Spacing4,No Spacing11111,No Spacing1"/>
    <w:basedOn w:val="Normal"/>
    <w:next w:val="Normal"/>
    <w:link w:val="Heading4Char"/>
    <w:qFormat/>
    <w:rsid w:val="00FB53AC"/>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B5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3AC"/>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FB53AC"/>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FB53AC"/>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FB53AC"/>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FB53AC"/>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53AC"/>
    <w:rPr>
      <w:rFonts w:ascii="Georgia" w:eastAsiaTheme="majorEastAsia" w:hAnsi="Georgia" w:cstheme="majorBidi"/>
      <w:b/>
      <w:bCs/>
      <w:caps/>
      <w:sz w:val="32"/>
      <w:szCs w:val="24"/>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
    <w:basedOn w:val="DefaultParagraphFont"/>
    <w:uiPriority w:val="5"/>
    <w:qFormat/>
    <w:rsid w:val="00FB53A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53AC"/>
    <w:rPr>
      <w:b/>
      <w:bCs/>
      <w:sz w:val="22"/>
      <w:u w:val="none"/>
    </w:rPr>
  </w:style>
  <w:style w:type="paragraph" w:styleId="Header">
    <w:name w:val="header"/>
    <w:basedOn w:val="Normal"/>
    <w:link w:val="HeaderChar"/>
    <w:uiPriority w:val="99"/>
    <w:semiHidden/>
    <w:rsid w:val="00FB53AC"/>
    <w:pPr>
      <w:tabs>
        <w:tab w:val="center" w:pos="4680"/>
        <w:tab w:val="right" w:pos="9360"/>
      </w:tabs>
    </w:pPr>
  </w:style>
  <w:style w:type="character" w:customStyle="1" w:styleId="HeaderChar">
    <w:name w:val="Header Char"/>
    <w:basedOn w:val="DefaultParagraphFont"/>
    <w:link w:val="Header"/>
    <w:uiPriority w:val="99"/>
    <w:semiHidden/>
    <w:rsid w:val="00FB53AC"/>
    <w:rPr>
      <w:rFonts w:ascii="Georgia" w:eastAsia="Times New Roman" w:hAnsi="Georgia" w:cs="Times New Roman"/>
      <w:szCs w:val="24"/>
    </w:rPr>
  </w:style>
  <w:style w:type="paragraph" w:styleId="Footer">
    <w:name w:val="footer"/>
    <w:basedOn w:val="Normal"/>
    <w:link w:val="FooterChar"/>
    <w:uiPriority w:val="99"/>
    <w:semiHidden/>
    <w:rsid w:val="00FB53AC"/>
    <w:pPr>
      <w:tabs>
        <w:tab w:val="center" w:pos="4680"/>
        <w:tab w:val="right" w:pos="9360"/>
      </w:tabs>
    </w:pPr>
  </w:style>
  <w:style w:type="character" w:customStyle="1" w:styleId="FooterChar">
    <w:name w:val="Footer Char"/>
    <w:basedOn w:val="DefaultParagraphFont"/>
    <w:link w:val="Footer"/>
    <w:uiPriority w:val="99"/>
    <w:semiHidden/>
    <w:rsid w:val="00FB53AC"/>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FB53AC"/>
    <w:rPr>
      <w:color w:val="auto"/>
      <w:u w:val="none"/>
    </w:rPr>
  </w:style>
  <w:style w:type="character" w:styleId="FollowedHyperlink">
    <w:name w:val="FollowedHyperlink"/>
    <w:basedOn w:val="DefaultParagraphFont"/>
    <w:uiPriority w:val="99"/>
    <w:semiHidden/>
    <w:rsid w:val="00FB53AC"/>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5 Char,No Spacing21 Char,No Spacing1121 Char,No Spacing4 Char"/>
    <w:basedOn w:val="DefaultParagraphFont"/>
    <w:link w:val="Heading4"/>
    <w:rsid w:val="00FB53AC"/>
    <w:rPr>
      <w:rFonts w:ascii="Georgia" w:eastAsiaTheme="majorEastAsia" w:hAnsi="Georgia" w:cstheme="majorBidi"/>
      <w:b/>
      <w:bCs/>
      <w:iCs/>
      <w:szCs w:val="24"/>
    </w:rPr>
  </w:style>
  <w:style w:type="character" w:customStyle="1" w:styleId="StyleBox12ptBold">
    <w:name w:val="Style Box + 12 pt Bold"/>
    <w:basedOn w:val="DefaultParagraphFont"/>
    <w:rsid w:val="00FB53AC"/>
    <w:rPr>
      <w:rFonts w:ascii="Georgia" w:hAnsi="Georgia"/>
      <w:b/>
      <w:bCs/>
      <w:sz w:val="22"/>
      <w:u w:val="single"/>
      <w:bdr w:val="none" w:sz="0" w:space="0" w:color="auto"/>
    </w:rPr>
  </w:style>
  <w:style w:type="character" w:customStyle="1" w:styleId="StyleBox12pt">
    <w:name w:val="Style Box + 12 pt"/>
    <w:basedOn w:val="DefaultParagraphFont"/>
    <w:rsid w:val="00FB53A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B53AC"/>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FB53AC"/>
    <w:rPr>
      <w:bCs w:val="0"/>
      <w:iCs w:val="0"/>
    </w:rPr>
  </w:style>
  <w:style w:type="character" w:customStyle="1" w:styleId="UnderlinedCardTextChar">
    <w:name w:val="Underlined Card Text Char"/>
    <w:rsid w:val="00FB53AC"/>
    <w:rPr>
      <w:rFonts w:ascii="Georgia" w:eastAsia="Calibri" w:hAnsi="Georgia" w:hint="default"/>
      <w:sz w:val="22"/>
      <w:szCs w:val="22"/>
      <w:u w:val="single"/>
    </w:rPr>
  </w:style>
  <w:style w:type="character" w:customStyle="1" w:styleId="StyleGaramondText1">
    <w:name w:val="Style Garamond Text 1"/>
    <w:basedOn w:val="DefaultParagraphFont"/>
    <w:rsid w:val="00FB53AC"/>
    <w:rPr>
      <w:rFonts w:ascii="Georgia" w:hAnsi="Georgia"/>
      <w:color w:val="0D0D0D" w:themeColor="text1" w:themeTint="F2"/>
      <w:sz w:val="22"/>
    </w:rPr>
  </w:style>
  <w:style w:type="character" w:customStyle="1" w:styleId="StyleGaramondText1Underline">
    <w:name w:val="Style Garamond Text 1 Underline"/>
    <w:basedOn w:val="DefaultParagraphFont"/>
    <w:rsid w:val="00FB53A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B53A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B53A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B53AC"/>
    <w:rPr>
      <w:b w:val="0"/>
      <w:bCs w:val="0"/>
      <w:sz w:val="14"/>
      <w:u w:val="none"/>
    </w:rPr>
  </w:style>
  <w:style w:type="character" w:customStyle="1" w:styleId="boldunderline">
    <w:name w:val="bold underline"/>
    <w:qFormat/>
    <w:rsid w:val="00FB53AC"/>
    <w:rPr>
      <w:b w:val="0"/>
      <w:u w:val="single"/>
    </w:rPr>
  </w:style>
  <w:style w:type="character" w:customStyle="1" w:styleId="Style7ptBold">
    <w:name w:val="Style 7 pt Bold"/>
    <w:basedOn w:val="DefaultParagraphFont"/>
    <w:rsid w:val="00FB53AC"/>
    <w:rPr>
      <w:b w:val="0"/>
      <w:bCs/>
      <w:sz w:val="14"/>
    </w:rPr>
  </w:style>
  <w:style w:type="paragraph" w:customStyle="1" w:styleId="textbold">
    <w:name w:val="text bold"/>
    <w:basedOn w:val="Normal"/>
    <w:link w:val="underline"/>
    <w:rsid w:val="00FB53AC"/>
    <w:pPr>
      <w:ind w:left="720"/>
      <w:jc w:val="both"/>
    </w:pPr>
    <w:rPr>
      <w:rFonts w:asciiTheme="minorHAnsi" w:hAnsiTheme="minorHAnsi" w:cstheme="minorBidi"/>
      <w:u w:val="single"/>
    </w:rPr>
  </w:style>
  <w:style w:type="character" w:customStyle="1" w:styleId="underline">
    <w:name w:val="underline"/>
    <w:link w:val="textbold"/>
    <w:qFormat/>
    <w:rsid w:val="00FB53AC"/>
    <w:rPr>
      <w:rFonts w:eastAsia="Times New Roman"/>
      <w:szCs w:val="24"/>
      <w:u w:val="single"/>
    </w:rPr>
  </w:style>
  <w:style w:type="character" w:customStyle="1" w:styleId="UnderlineBold">
    <w:name w:val="Underline + Bold"/>
    <w:uiPriority w:val="1"/>
    <w:qFormat/>
    <w:rsid w:val="00FB53AC"/>
    <w:rPr>
      <w:b w:val="0"/>
      <w:sz w:val="20"/>
      <w:u w:val="single"/>
    </w:rPr>
  </w:style>
  <w:style w:type="character" w:customStyle="1" w:styleId="Box">
    <w:name w:val="Box"/>
    <w:uiPriority w:val="1"/>
    <w:qFormat/>
    <w:rsid w:val="00FB53AC"/>
    <w:rPr>
      <w:b w:val="0"/>
      <w:u w:val="single"/>
      <w:bdr w:val="none" w:sz="0" w:space="0" w:color="auto"/>
    </w:rPr>
  </w:style>
  <w:style w:type="character" w:customStyle="1" w:styleId="BoldUnderline0">
    <w:name w:val="BoldUnderline"/>
    <w:uiPriority w:val="1"/>
    <w:qFormat/>
    <w:rsid w:val="00FB53AC"/>
    <w:rPr>
      <w:rFonts w:ascii="Georgia" w:hAnsi="Georgia"/>
      <w:b w:val="0"/>
      <w:sz w:val="22"/>
      <w:u w:val="single"/>
    </w:rPr>
  </w:style>
  <w:style w:type="paragraph" w:customStyle="1" w:styleId="Stylecardtext8pt">
    <w:name w:val="Style card text + 8 pt"/>
    <w:basedOn w:val="Normal"/>
    <w:rsid w:val="00FB53AC"/>
    <w:pPr>
      <w:ind w:right="288"/>
    </w:pPr>
    <w:rPr>
      <w:sz w:val="16"/>
    </w:rPr>
  </w:style>
  <w:style w:type="paragraph" w:customStyle="1" w:styleId="Stylecardtext5pt">
    <w:name w:val="Style card text + 5 pt"/>
    <w:basedOn w:val="Normal"/>
    <w:rsid w:val="00FB53AC"/>
    <w:pPr>
      <w:ind w:right="288"/>
    </w:pPr>
    <w:rPr>
      <w:sz w:val="10"/>
    </w:rPr>
  </w:style>
  <w:style w:type="paragraph" w:styleId="Title">
    <w:name w:val="Title"/>
    <w:aliases w:val="UNDERLINE"/>
    <w:basedOn w:val="Normal"/>
    <w:next w:val="Normal"/>
    <w:link w:val="TitleChar"/>
    <w:uiPriority w:val="5"/>
    <w:qFormat/>
    <w:rsid w:val="00FB53AC"/>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FB53AC"/>
    <w:rPr>
      <w:bCs/>
      <w:u w:val="single"/>
    </w:rPr>
  </w:style>
  <w:style w:type="character" w:customStyle="1" w:styleId="StyleStyleBoldUnderlineUnderlineIntenseEmphasis1apple-style-">
    <w:name w:val="Style Style Bold UnderlineUnderlineIntense Emphasis1apple-style-..."/>
    <w:basedOn w:val="DefaultParagraphFont"/>
    <w:rsid w:val="00FB53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B53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B53AC"/>
    <w:rPr>
      <w:rFonts w:ascii="Georgia" w:hAnsi="Georgia"/>
      <w:u w:val="single"/>
    </w:rPr>
  </w:style>
  <w:style w:type="paragraph" w:customStyle="1" w:styleId="StyleCardsGeorgia12ptBoldThickunderlineBorderSin">
    <w:name w:val="Style Cards + Georgia 12 pt Bold Thick underline Border: : (Sin..."/>
    <w:basedOn w:val="Normal"/>
    <w:rsid w:val="00FB53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B53AC"/>
    <w:rPr>
      <w:rFonts w:ascii="Georgia" w:hAnsi="Georgia"/>
      <w:sz w:val="24"/>
      <w:u w:val="single"/>
    </w:rPr>
  </w:style>
  <w:style w:type="paragraph" w:customStyle="1" w:styleId="StyleCardsGeorgia">
    <w:name w:val="Style Cards + Georgia"/>
    <w:basedOn w:val="Normal"/>
    <w:rsid w:val="00FB53AC"/>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FB53A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FB53AC"/>
    <w:pPr>
      <w:contextualSpacing/>
    </w:pPr>
    <w:rPr>
      <w:rFonts w:eastAsia="Malgun Gothic"/>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3AC"/>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FB53A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FB53AC"/>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53AC"/>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Ch,no read,No Spacing211,No Spacing12,No Spacing2111,No Spacing5,No Spacing21,No Spacing1121,No Spacing4,No Spacing11111,No Spacing1"/>
    <w:basedOn w:val="Normal"/>
    <w:next w:val="Normal"/>
    <w:link w:val="Heading4Char"/>
    <w:qFormat/>
    <w:rsid w:val="00FB53AC"/>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B5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3AC"/>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FB53AC"/>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FB53AC"/>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FB53AC"/>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FB53AC"/>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53AC"/>
    <w:rPr>
      <w:rFonts w:ascii="Georgia" w:eastAsiaTheme="majorEastAsia" w:hAnsi="Georgia" w:cstheme="majorBidi"/>
      <w:b/>
      <w:bCs/>
      <w:caps/>
      <w:sz w:val="32"/>
      <w:szCs w:val="24"/>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
    <w:basedOn w:val="DefaultParagraphFont"/>
    <w:uiPriority w:val="5"/>
    <w:qFormat/>
    <w:rsid w:val="00FB53A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53AC"/>
    <w:rPr>
      <w:b/>
      <w:bCs/>
      <w:sz w:val="22"/>
      <w:u w:val="none"/>
    </w:rPr>
  </w:style>
  <w:style w:type="paragraph" w:styleId="Header">
    <w:name w:val="header"/>
    <w:basedOn w:val="Normal"/>
    <w:link w:val="HeaderChar"/>
    <w:uiPriority w:val="99"/>
    <w:semiHidden/>
    <w:rsid w:val="00FB53AC"/>
    <w:pPr>
      <w:tabs>
        <w:tab w:val="center" w:pos="4680"/>
        <w:tab w:val="right" w:pos="9360"/>
      </w:tabs>
    </w:pPr>
  </w:style>
  <w:style w:type="character" w:customStyle="1" w:styleId="HeaderChar">
    <w:name w:val="Header Char"/>
    <w:basedOn w:val="DefaultParagraphFont"/>
    <w:link w:val="Header"/>
    <w:uiPriority w:val="99"/>
    <w:semiHidden/>
    <w:rsid w:val="00FB53AC"/>
    <w:rPr>
      <w:rFonts w:ascii="Georgia" w:eastAsia="Times New Roman" w:hAnsi="Georgia" w:cs="Times New Roman"/>
      <w:szCs w:val="24"/>
    </w:rPr>
  </w:style>
  <w:style w:type="paragraph" w:styleId="Footer">
    <w:name w:val="footer"/>
    <w:basedOn w:val="Normal"/>
    <w:link w:val="FooterChar"/>
    <w:uiPriority w:val="99"/>
    <w:semiHidden/>
    <w:rsid w:val="00FB53AC"/>
    <w:pPr>
      <w:tabs>
        <w:tab w:val="center" w:pos="4680"/>
        <w:tab w:val="right" w:pos="9360"/>
      </w:tabs>
    </w:pPr>
  </w:style>
  <w:style w:type="character" w:customStyle="1" w:styleId="FooterChar">
    <w:name w:val="Footer Char"/>
    <w:basedOn w:val="DefaultParagraphFont"/>
    <w:link w:val="Footer"/>
    <w:uiPriority w:val="99"/>
    <w:semiHidden/>
    <w:rsid w:val="00FB53AC"/>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FB53AC"/>
    <w:rPr>
      <w:color w:val="auto"/>
      <w:u w:val="none"/>
    </w:rPr>
  </w:style>
  <w:style w:type="character" w:styleId="FollowedHyperlink">
    <w:name w:val="FollowedHyperlink"/>
    <w:basedOn w:val="DefaultParagraphFont"/>
    <w:uiPriority w:val="99"/>
    <w:semiHidden/>
    <w:rsid w:val="00FB53AC"/>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5 Char,No Spacing21 Char,No Spacing1121 Char,No Spacing4 Char"/>
    <w:basedOn w:val="DefaultParagraphFont"/>
    <w:link w:val="Heading4"/>
    <w:rsid w:val="00FB53AC"/>
    <w:rPr>
      <w:rFonts w:ascii="Georgia" w:eastAsiaTheme="majorEastAsia" w:hAnsi="Georgia" w:cstheme="majorBidi"/>
      <w:b/>
      <w:bCs/>
      <w:iCs/>
      <w:szCs w:val="24"/>
    </w:rPr>
  </w:style>
  <w:style w:type="character" w:customStyle="1" w:styleId="StyleBox12ptBold">
    <w:name w:val="Style Box + 12 pt Bold"/>
    <w:basedOn w:val="DefaultParagraphFont"/>
    <w:rsid w:val="00FB53AC"/>
    <w:rPr>
      <w:rFonts w:ascii="Georgia" w:hAnsi="Georgia"/>
      <w:b/>
      <w:bCs/>
      <w:sz w:val="22"/>
      <w:u w:val="single"/>
      <w:bdr w:val="none" w:sz="0" w:space="0" w:color="auto"/>
    </w:rPr>
  </w:style>
  <w:style w:type="character" w:customStyle="1" w:styleId="StyleBox12pt">
    <w:name w:val="Style Box + 12 pt"/>
    <w:basedOn w:val="DefaultParagraphFont"/>
    <w:rsid w:val="00FB53A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B53AC"/>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FB53AC"/>
    <w:rPr>
      <w:bCs w:val="0"/>
      <w:iCs w:val="0"/>
    </w:rPr>
  </w:style>
  <w:style w:type="character" w:customStyle="1" w:styleId="UnderlinedCardTextChar">
    <w:name w:val="Underlined Card Text Char"/>
    <w:rsid w:val="00FB53AC"/>
    <w:rPr>
      <w:rFonts w:ascii="Georgia" w:eastAsia="Calibri" w:hAnsi="Georgia" w:hint="default"/>
      <w:sz w:val="22"/>
      <w:szCs w:val="22"/>
      <w:u w:val="single"/>
    </w:rPr>
  </w:style>
  <w:style w:type="character" w:customStyle="1" w:styleId="StyleGaramondText1">
    <w:name w:val="Style Garamond Text 1"/>
    <w:basedOn w:val="DefaultParagraphFont"/>
    <w:rsid w:val="00FB53AC"/>
    <w:rPr>
      <w:rFonts w:ascii="Georgia" w:hAnsi="Georgia"/>
      <w:color w:val="0D0D0D" w:themeColor="text1" w:themeTint="F2"/>
      <w:sz w:val="22"/>
    </w:rPr>
  </w:style>
  <w:style w:type="character" w:customStyle="1" w:styleId="StyleGaramondText1Underline">
    <w:name w:val="Style Garamond Text 1 Underline"/>
    <w:basedOn w:val="DefaultParagraphFont"/>
    <w:rsid w:val="00FB53A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B53A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B53A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B53AC"/>
    <w:rPr>
      <w:b w:val="0"/>
      <w:bCs w:val="0"/>
      <w:sz w:val="14"/>
      <w:u w:val="none"/>
    </w:rPr>
  </w:style>
  <w:style w:type="character" w:customStyle="1" w:styleId="boldunderline">
    <w:name w:val="bold underline"/>
    <w:qFormat/>
    <w:rsid w:val="00FB53AC"/>
    <w:rPr>
      <w:b w:val="0"/>
      <w:u w:val="single"/>
    </w:rPr>
  </w:style>
  <w:style w:type="character" w:customStyle="1" w:styleId="Style7ptBold">
    <w:name w:val="Style 7 pt Bold"/>
    <w:basedOn w:val="DefaultParagraphFont"/>
    <w:rsid w:val="00FB53AC"/>
    <w:rPr>
      <w:b w:val="0"/>
      <w:bCs/>
      <w:sz w:val="14"/>
    </w:rPr>
  </w:style>
  <w:style w:type="paragraph" w:customStyle="1" w:styleId="textbold">
    <w:name w:val="text bold"/>
    <w:basedOn w:val="Normal"/>
    <w:link w:val="underline"/>
    <w:rsid w:val="00FB53AC"/>
    <w:pPr>
      <w:ind w:left="720"/>
      <w:jc w:val="both"/>
    </w:pPr>
    <w:rPr>
      <w:rFonts w:asciiTheme="minorHAnsi" w:hAnsiTheme="minorHAnsi" w:cstheme="minorBidi"/>
      <w:u w:val="single"/>
    </w:rPr>
  </w:style>
  <w:style w:type="character" w:customStyle="1" w:styleId="underline">
    <w:name w:val="underline"/>
    <w:link w:val="textbold"/>
    <w:qFormat/>
    <w:rsid w:val="00FB53AC"/>
    <w:rPr>
      <w:rFonts w:eastAsia="Times New Roman"/>
      <w:szCs w:val="24"/>
      <w:u w:val="single"/>
    </w:rPr>
  </w:style>
  <w:style w:type="character" w:customStyle="1" w:styleId="UnderlineBold">
    <w:name w:val="Underline + Bold"/>
    <w:uiPriority w:val="1"/>
    <w:qFormat/>
    <w:rsid w:val="00FB53AC"/>
    <w:rPr>
      <w:b w:val="0"/>
      <w:sz w:val="20"/>
      <w:u w:val="single"/>
    </w:rPr>
  </w:style>
  <w:style w:type="character" w:customStyle="1" w:styleId="Box">
    <w:name w:val="Box"/>
    <w:uiPriority w:val="1"/>
    <w:qFormat/>
    <w:rsid w:val="00FB53AC"/>
    <w:rPr>
      <w:b w:val="0"/>
      <w:u w:val="single"/>
      <w:bdr w:val="none" w:sz="0" w:space="0" w:color="auto"/>
    </w:rPr>
  </w:style>
  <w:style w:type="character" w:customStyle="1" w:styleId="BoldUnderline0">
    <w:name w:val="BoldUnderline"/>
    <w:uiPriority w:val="1"/>
    <w:qFormat/>
    <w:rsid w:val="00FB53AC"/>
    <w:rPr>
      <w:rFonts w:ascii="Georgia" w:hAnsi="Georgia"/>
      <w:b w:val="0"/>
      <w:sz w:val="22"/>
      <w:u w:val="single"/>
    </w:rPr>
  </w:style>
  <w:style w:type="paragraph" w:customStyle="1" w:styleId="Stylecardtext8pt">
    <w:name w:val="Style card text + 8 pt"/>
    <w:basedOn w:val="Normal"/>
    <w:rsid w:val="00FB53AC"/>
    <w:pPr>
      <w:ind w:right="288"/>
    </w:pPr>
    <w:rPr>
      <w:sz w:val="16"/>
    </w:rPr>
  </w:style>
  <w:style w:type="paragraph" w:customStyle="1" w:styleId="Stylecardtext5pt">
    <w:name w:val="Style card text + 5 pt"/>
    <w:basedOn w:val="Normal"/>
    <w:rsid w:val="00FB53AC"/>
    <w:pPr>
      <w:ind w:right="288"/>
    </w:pPr>
    <w:rPr>
      <w:sz w:val="10"/>
    </w:rPr>
  </w:style>
  <w:style w:type="paragraph" w:styleId="Title">
    <w:name w:val="Title"/>
    <w:aliases w:val="UNDERLINE"/>
    <w:basedOn w:val="Normal"/>
    <w:next w:val="Normal"/>
    <w:link w:val="TitleChar"/>
    <w:uiPriority w:val="5"/>
    <w:qFormat/>
    <w:rsid w:val="00FB53AC"/>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FB53AC"/>
    <w:rPr>
      <w:bCs/>
      <w:u w:val="single"/>
    </w:rPr>
  </w:style>
  <w:style w:type="character" w:customStyle="1" w:styleId="StyleStyleBoldUnderlineUnderlineIntenseEmphasis1apple-style-">
    <w:name w:val="Style Style Bold UnderlineUnderlineIntense Emphasis1apple-style-..."/>
    <w:basedOn w:val="DefaultParagraphFont"/>
    <w:rsid w:val="00FB53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B53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B53AC"/>
    <w:rPr>
      <w:rFonts w:ascii="Georgia" w:hAnsi="Georgia"/>
      <w:u w:val="single"/>
    </w:rPr>
  </w:style>
  <w:style w:type="paragraph" w:customStyle="1" w:styleId="StyleCardsGeorgia12ptBoldThickunderlineBorderSin">
    <w:name w:val="Style Cards + Georgia 12 pt Bold Thick underline Border: : (Sin..."/>
    <w:basedOn w:val="Normal"/>
    <w:rsid w:val="00FB53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B53AC"/>
    <w:rPr>
      <w:rFonts w:ascii="Georgia" w:hAnsi="Georgia"/>
      <w:sz w:val="24"/>
      <w:u w:val="single"/>
    </w:rPr>
  </w:style>
  <w:style w:type="paragraph" w:customStyle="1" w:styleId="StyleCardsGeorgia">
    <w:name w:val="Style Cards + Georgia"/>
    <w:basedOn w:val="Normal"/>
    <w:rsid w:val="00FB53AC"/>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FB53A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FB53AC"/>
    <w:pPr>
      <w:contextualSpacing/>
    </w:pPr>
    <w:rPr>
      <w:rFonts w:eastAsia="Malgun Gothic"/>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g.fsu.edu/Library/casestudy%20of%20incentive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0" Type="http://schemas.openxmlformats.org/officeDocument/2006/relationships/hyperlink" Target="http://www.3estrategies.org/Documents/IncentivesforSEcompaniesguide--3-06_00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9</Pages>
  <Words>4273</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Allen, Michigan 2012-2013</dc:creator>
  <cp:keywords/>
  <dc:description/>
  <cp:lastModifiedBy>Ellis Allen, Michigan 2012-2013</cp:lastModifiedBy>
  <cp:revision>3</cp:revision>
  <dcterms:created xsi:type="dcterms:W3CDTF">2013-03-30T19:59:00Z</dcterms:created>
  <dcterms:modified xsi:type="dcterms:W3CDTF">2013-03-30T21:50:00Z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