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343" w:rsidRDefault="00775343" w:rsidP="00775343">
      <w:pPr>
        <w:pStyle w:val="Heading3"/>
      </w:pPr>
      <w:bookmarkStart w:id="0" w:name="_Toc209620468"/>
      <w:r>
        <w:t>Heidegger K - 2AC</w:t>
      </w:r>
      <w:bookmarkEnd w:id="0"/>
    </w:p>
    <w:p w:rsidR="00775343" w:rsidRDefault="00775343" w:rsidP="00775343">
      <w:pPr>
        <w:pStyle w:val="Heading4"/>
      </w:pPr>
      <w:r>
        <w:t xml:space="preserve">Their theory is based in correlationism and </w:t>
      </w:r>
      <w:proofErr w:type="spellStart"/>
      <w:r>
        <w:t>anthro</w:t>
      </w:r>
      <w:proofErr w:type="spellEnd"/>
      <w:r>
        <w:t xml:space="preserve"> – the 1AC Richmond </w:t>
      </w:r>
      <w:proofErr w:type="spellStart"/>
      <w:proofErr w:type="gramStart"/>
      <w:r>
        <w:t>ev</w:t>
      </w:r>
      <w:proofErr w:type="spellEnd"/>
      <w:proofErr w:type="gramEnd"/>
      <w:r>
        <w:t xml:space="preserve"> – correlationism is an </w:t>
      </w:r>
      <w:proofErr w:type="spellStart"/>
      <w:r>
        <w:t>ontotheology</w:t>
      </w:r>
      <w:proofErr w:type="spellEnd"/>
      <w:r>
        <w:t xml:space="preserve"> – makes equal ontological footing impossible – the 1AC is a DA to the alt </w:t>
      </w:r>
    </w:p>
    <w:p w:rsidR="00775343" w:rsidRPr="00433A38" w:rsidRDefault="00775343" w:rsidP="00775343">
      <w:pPr>
        <w:rPr>
          <w:rStyle w:val="StyleBoldUnderline"/>
        </w:rPr>
      </w:pPr>
      <w:r w:rsidRPr="00D4620E">
        <w:rPr>
          <w:rStyle w:val="StyleStyleBold12pt"/>
        </w:rPr>
        <w:t>Bryant</w:t>
      </w:r>
      <w:r>
        <w:t xml:space="preserve"> </w:t>
      </w:r>
      <w:r w:rsidRPr="00D4620E">
        <w:t>Professor of Philosophy at Collin College</w:t>
      </w:r>
      <w:r>
        <w:t xml:space="preserve"> </w:t>
      </w:r>
      <w:r w:rsidRPr="00D4620E">
        <w:rPr>
          <w:rStyle w:val="StyleStyleBold12pt"/>
        </w:rPr>
        <w:t>2011</w:t>
      </w:r>
      <w:r>
        <w:t xml:space="preserve"> Levi Democracy of Objects </w:t>
      </w:r>
      <w:r w:rsidRPr="00851F1C">
        <w:t>http://quod.lib.umich.edu/o/ohp/9750134.0001.001/1:5/--</w:t>
      </w:r>
      <w:proofErr w:type="spellStart"/>
      <w:r w:rsidRPr="00851F1C">
        <w:t>democracy-of-objects?rgn</w:t>
      </w:r>
      <w:proofErr w:type="spellEnd"/>
      <w:r w:rsidRPr="00851F1C">
        <w:t>=div1;view=</w:t>
      </w:r>
      <w:proofErr w:type="spellStart"/>
      <w:r w:rsidRPr="00851F1C">
        <w:t>fulltext</w:t>
      </w:r>
      <w:proofErr w:type="spellEnd"/>
    </w:p>
    <w:p w:rsidR="00775343" w:rsidRPr="00A36320" w:rsidRDefault="00775343" w:rsidP="00775343">
      <w:pPr>
        <w:rPr>
          <w:sz w:val="16"/>
        </w:rPr>
      </w:pPr>
      <w:r w:rsidRPr="00FB2EC8">
        <w:rPr>
          <w:rStyle w:val="StyleBoldUnderline"/>
          <w:highlight w:val="green"/>
        </w:rPr>
        <w:t>With correlationism, the question of ontology is no longer, “what is being qua being?” but rather, “what is being</w:t>
      </w:r>
      <w:r w:rsidRPr="00A36320">
        <w:rPr>
          <w:rStyle w:val="StyleBoldUnderline"/>
        </w:rPr>
        <w:t xml:space="preserve"> </w:t>
      </w:r>
      <w:r w:rsidRPr="00E114BC">
        <w:rPr>
          <w:rStyle w:val="StyleBoldUnderline"/>
          <w:highlight w:val="green"/>
        </w:rPr>
        <w:t>qua Dasein?”</w:t>
      </w:r>
      <w:r w:rsidRPr="00A36320">
        <w:rPr>
          <w:rStyle w:val="StyleBoldUnderline"/>
        </w:rPr>
        <w:t xml:space="preserve"> or,</w:t>
      </w:r>
      <w:r w:rsidRPr="00A36320">
        <w:rPr>
          <w:sz w:val="16"/>
        </w:rPr>
        <w:t xml:space="preserve"> “what is being </w:t>
      </w:r>
      <w:r w:rsidRPr="00E114BC">
        <w:rPr>
          <w:rStyle w:val="StyleBoldUnderline"/>
        </w:rPr>
        <w:t>qua language?”</w:t>
      </w:r>
      <w:r w:rsidRPr="00A36320">
        <w:rPr>
          <w:rStyle w:val="StyleBoldUnderline"/>
        </w:rPr>
        <w:t xml:space="preserve"> or,</w:t>
      </w:r>
      <w:r w:rsidRPr="00A36320">
        <w:rPr>
          <w:sz w:val="16"/>
        </w:rPr>
        <w:t xml:space="preserve"> “what is being </w:t>
      </w:r>
      <w:r w:rsidRPr="00A36320">
        <w:rPr>
          <w:rStyle w:val="StyleBoldUnderline"/>
        </w:rPr>
        <w:t>qua power?” or</w:t>
      </w:r>
      <w:r w:rsidRPr="00A36320">
        <w:rPr>
          <w:sz w:val="16"/>
        </w:rPr>
        <w:t xml:space="preserve">, “what is being </w:t>
      </w:r>
      <w:r w:rsidRPr="00A36320">
        <w:rPr>
          <w:rStyle w:val="StyleBoldUnderline"/>
        </w:rPr>
        <w:t>qua history?” or,</w:t>
      </w:r>
      <w:r w:rsidRPr="00A36320">
        <w:rPr>
          <w:sz w:val="16"/>
        </w:rPr>
        <w:t xml:space="preserve"> “what is being </w:t>
      </w:r>
      <w:r w:rsidRPr="00A36320">
        <w:rPr>
          <w:rStyle w:val="StyleBoldUnderline"/>
        </w:rPr>
        <w:t>qua the lived body?” and many other avatars</w:t>
      </w:r>
      <w:r w:rsidRPr="00A36320">
        <w:rPr>
          <w:sz w:val="16"/>
        </w:rPr>
        <w:t xml:space="preserve"> besides. While disputes among these various formulations of the correlation are heated, </w:t>
      </w:r>
      <w:r w:rsidRPr="00FB2EC8">
        <w:rPr>
          <w:rStyle w:val="StyleBoldUnderline"/>
          <w:highlight w:val="green"/>
        </w:rPr>
        <w:t>we are</w:t>
      </w:r>
      <w:r w:rsidRPr="00A36320">
        <w:rPr>
          <w:sz w:val="16"/>
        </w:rPr>
        <w:t xml:space="preserve"> nonetheless </w:t>
      </w:r>
      <w:r w:rsidRPr="00FB2EC8">
        <w:rPr>
          <w:rStyle w:val="StyleBoldUnderline"/>
          <w:highlight w:val="green"/>
        </w:rPr>
        <w:t>faced with a series of anthropomorphic determinations such that being is always to be thought in relation to some aspect of the human</w:t>
      </w:r>
      <w:r w:rsidRPr="00A36320">
        <w:rPr>
          <w:rStyle w:val="StyleBoldUnderline"/>
        </w:rPr>
        <w:t>.</w:t>
      </w:r>
      <w:r w:rsidRPr="00A36320">
        <w:rPr>
          <w:sz w:val="16"/>
        </w:rPr>
        <w:t xml:space="preserve"> Protagoras, in one form or another, rules the day. </w:t>
      </w:r>
      <w:r w:rsidRPr="00FB2EC8">
        <w:rPr>
          <w:rStyle w:val="StyleBoldUnderline"/>
          <w:highlight w:val="green"/>
        </w:rPr>
        <w:t>What we</w:t>
      </w:r>
      <w:r w:rsidRPr="00A36320">
        <w:rPr>
          <w:sz w:val="16"/>
        </w:rPr>
        <w:t xml:space="preserve"> thus </w:t>
      </w:r>
      <w:r w:rsidRPr="00FB2EC8">
        <w:rPr>
          <w:rStyle w:val="StyleBoldUnderline"/>
          <w:highlight w:val="green"/>
        </w:rPr>
        <w:t>get</w:t>
      </w:r>
      <w:bookmarkStart w:id="1" w:name="_GoBack"/>
      <w:bookmarkEnd w:id="1"/>
      <w:r w:rsidRPr="00FB2EC8">
        <w:rPr>
          <w:rStyle w:val="StyleBoldUnderline"/>
          <w:highlight w:val="green"/>
        </w:rPr>
        <w:t xml:space="preserve"> is not a democracy of objects</w:t>
      </w:r>
      <w:r w:rsidRPr="00A36320">
        <w:rPr>
          <w:sz w:val="16"/>
        </w:rPr>
        <w:t xml:space="preserve"> or </w:t>
      </w:r>
      <w:proofErr w:type="spellStart"/>
      <w:r w:rsidRPr="00A36320">
        <w:rPr>
          <w:sz w:val="16"/>
        </w:rPr>
        <w:t>actants</w:t>
      </w:r>
      <w:proofErr w:type="spellEnd"/>
      <w:r w:rsidRPr="00A36320">
        <w:rPr>
          <w:sz w:val="16"/>
        </w:rPr>
        <w:t xml:space="preserve"> </w:t>
      </w:r>
      <w:r w:rsidRPr="00FB2EC8">
        <w:rPr>
          <w:rStyle w:val="StyleBoldUnderline"/>
          <w:highlight w:val="green"/>
        </w:rPr>
        <w:t>where all objects are on equal ontological footing</w:t>
      </w:r>
      <w:r w:rsidRPr="00A36320">
        <w:rPr>
          <w:sz w:val="16"/>
        </w:rPr>
        <w:t xml:space="preserve"> and the philosopher can be just as interested in questions of how, to evoke Harman's favorite example, cotton relates to fire as she is in questions of how humans relate to mangoes, but instead a monarchy of the human in relation to all other beings where some instance of the human is treated as that which overdetermines all other beings and where the primary order of the day is always to determine how individual minds relate to other objects or how the social and cultural relates to being. </w:t>
      </w:r>
      <w:r w:rsidRPr="00A36320">
        <w:rPr>
          <w:rStyle w:val="StyleBoldUnderline"/>
        </w:rPr>
        <w:t>If,</w:t>
      </w:r>
      <w:r w:rsidRPr="00A36320">
        <w:rPr>
          <w:sz w:val="16"/>
        </w:rPr>
        <w:t xml:space="preserve"> as </w:t>
      </w:r>
      <w:proofErr w:type="spellStart"/>
      <w:r w:rsidRPr="00A36320">
        <w:rPr>
          <w:sz w:val="16"/>
        </w:rPr>
        <w:t>Žižek</w:t>
      </w:r>
      <w:proofErr w:type="spellEnd"/>
      <w:r w:rsidRPr="00A36320">
        <w:rPr>
          <w:sz w:val="16"/>
        </w:rPr>
        <w:t xml:space="preserve"> contends, </w:t>
      </w:r>
      <w:r w:rsidRPr="00A36320">
        <w:rPr>
          <w:rStyle w:val="StyleBoldUnderline"/>
        </w:rPr>
        <w:t>metaphysics,</w:t>
      </w:r>
      <w:r w:rsidRPr="00A36320">
        <w:rPr>
          <w:sz w:val="16"/>
        </w:rPr>
        <w:t xml:space="preserve"> in the pejorative sense of </w:t>
      </w:r>
      <w:proofErr w:type="spellStart"/>
      <w:r w:rsidRPr="00A36320">
        <w:rPr>
          <w:sz w:val="16"/>
        </w:rPr>
        <w:t>ontotheology</w:t>
      </w:r>
      <w:proofErr w:type="spellEnd"/>
      <w:r w:rsidRPr="00A36320">
        <w:rPr>
          <w:sz w:val="16"/>
        </w:rPr>
        <w:t xml:space="preserve">, </w:t>
      </w:r>
      <w:r w:rsidRPr="00A36320">
        <w:rPr>
          <w:rStyle w:val="StyleBoldUnderline"/>
        </w:rPr>
        <w:t xml:space="preserve">consists in elevating a part to the ground of the whole, then </w:t>
      </w:r>
      <w:r w:rsidRPr="00FB2EC8">
        <w:rPr>
          <w:rStyle w:val="StyleBoldUnderline"/>
          <w:highlight w:val="green"/>
        </w:rPr>
        <w:t>the anthropocentrism of correlationism is metaphysical through and through despite its protestations to the contrary or its characterizations of itself as a critique of metaphysics.</w:t>
      </w:r>
      <w:r w:rsidRPr="00A36320">
        <w:rPr>
          <w:sz w:val="16"/>
        </w:rPr>
        <w:t xml:space="preserve">[15] </w:t>
      </w:r>
      <w:r w:rsidRPr="00FB2EC8">
        <w:rPr>
          <w:rStyle w:val="StyleBoldUnderline"/>
          <w:highlight w:val="green"/>
        </w:rPr>
        <w:t xml:space="preserve">Correlationism is </w:t>
      </w:r>
      <w:proofErr w:type="spellStart"/>
      <w:r w:rsidRPr="00FB2EC8">
        <w:rPr>
          <w:rStyle w:val="StyleBoldUnderline"/>
          <w:highlight w:val="green"/>
        </w:rPr>
        <w:t>ontotheology</w:t>
      </w:r>
      <w:proofErr w:type="spellEnd"/>
      <w:r w:rsidRPr="00FB2EC8">
        <w:rPr>
          <w:rStyle w:val="StyleBoldUnderline"/>
          <w:highlight w:val="green"/>
        </w:rPr>
        <w:t xml:space="preserve"> with the human in the place of God.</w:t>
      </w:r>
    </w:p>
    <w:p w:rsidR="00775343" w:rsidRPr="00C9272A" w:rsidRDefault="00775343" w:rsidP="00775343">
      <w:pPr>
        <w:pStyle w:val="Heading4"/>
      </w:pPr>
      <w:r>
        <w:t>Being-for-</w:t>
      </w:r>
      <w:proofErr w:type="spellStart"/>
      <w:r>
        <w:t>Daesin</w:t>
      </w:r>
      <w:proofErr w:type="spellEnd"/>
      <w:r>
        <w:t xml:space="preserve"> </w:t>
      </w:r>
      <w:r>
        <w:sym w:font="Wingdings" w:char="F0E8"/>
      </w:r>
      <w:r>
        <w:t xml:space="preserve"> </w:t>
      </w:r>
      <w:proofErr w:type="spellStart"/>
      <w:r>
        <w:t>anthro</w:t>
      </w:r>
      <w:proofErr w:type="spellEnd"/>
      <w:r>
        <w:t xml:space="preserve"> – only an object oriented ontology solves </w:t>
      </w:r>
    </w:p>
    <w:p w:rsidR="00775343" w:rsidRDefault="00775343" w:rsidP="00775343">
      <w:r w:rsidRPr="00D4620E">
        <w:rPr>
          <w:rStyle w:val="StyleStyleBold12pt"/>
        </w:rPr>
        <w:t>Bryant</w:t>
      </w:r>
      <w:r>
        <w:t xml:space="preserve"> </w:t>
      </w:r>
      <w:r w:rsidRPr="00D4620E">
        <w:t>Professor of Philosophy at Collin College</w:t>
      </w:r>
      <w:r>
        <w:t xml:space="preserve"> </w:t>
      </w:r>
      <w:r w:rsidRPr="00D4620E">
        <w:rPr>
          <w:rStyle w:val="StyleStyleBold12pt"/>
        </w:rPr>
        <w:t>2011</w:t>
      </w:r>
      <w:r>
        <w:t xml:space="preserve"> Levi Democracy of Objects </w:t>
      </w:r>
      <w:r w:rsidRPr="00851F1C">
        <w:t>http://quod.lib.umich.edu/o/ohp/9750134.0001.001/1:5/--</w:t>
      </w:r>
      <w:proofErr w:type="spellStart"/>
      <w:r w:rsidRPr="00851F1C">
        <w:t>democracy-of-objects?rgn</w:t>
      </w:r>
      <w:proofErr w:type="spellEnd"/>
      <w:r w:rsidRPr="00851F1C">
        <w:t>=div1;view=</w:t>
      </w:r>
      <w:proofErr w:type="spellStart"/>
      <w:r w:rsidRPr="00851F1C">
        <w:t>fulltext</w:t>
      </w:r>
      <w:proofErr w:type="spellEnd"/>
    </w:p>
    <w:p w:rsidR="00775343" w:rsidRPr="00C9272A" w:rsidRDefault="00775343" w:rsidP="00775343">
      <w:pPr>
        <w:rPr>
          <w:sz w:val="16"/>
        </w:rPr>
      </w:pPr>
      <w:r w:rsidRPr="00721D4B">
        <w:rPr>
          <w:rStyle w:val="StyleBoldUnderline"/>
          <w:highlight w:val="green"/>
        </w:rPr>
        <w:t>Our historical moment is characterized by a</w:t>
      </w:r>
      <w:r w:rsidRPr="00C9272A">
        <w:rPr>
          <w:rStyle w:val="StyleBoldUnderline"/>
        </w:rPr>
        <w:t xml:space="preserve"> general distrust, even </w:t>
      </w:r>
      <w:r w:rsidRPr="00721D4B">
        <w:rPr>
          <w:rStyle w:val="StyleBoldUnderline"/>
          <w:highlight w:val="green"/>
        </w:rPr>
        <w:t>disdain, for the category of objects</w:t>
      </w:r>
      <w:r w:rsidRPr="00C9272A">
        <w:rPr>
          <w:rStyle w:val="StyleBoldUnderline"/>
        </w:rPr>
        <w:t>, ontology, and above all any variant of realism.</w:t>
      </w:r>
      <w:r w:rsidRPr="00C9272A">
        <w:rPr>
          <w:sz w:val="16"/>
        </w:rPr>
        <w:t xml:space="preserve"> Moreover, </w:t>
      </w:r>
      <w:r w:rsidRPr="00C9272A">
        <w:rPr>
          <w:rStyle w:val="StyleBoldUnderline"/>
        </w:rPr>
        <w:t>it is characterized by a primacy of epistemology over ontology.</w:t>
      </w:r>
      <w:r w:rsidRPr="00C9272A">
        <w:rPr>
          <w:sz w:val="16"/>
        </w:rPr>
        <w:t xml:space="preserve"> </w:t>
      </w:r>
      <w:r w:rsidRPr="00721D4B">
        <w:rPr>
          <w:rStyle w:val="StyleBoldUnderline"/>
          <w:highlight w:val="green"/>
        </w:rPr>
        <w:t>While it is indeed true that Heidegger,</w:t>
      </w:r>
      <w:r w:rsidRPr="00C9272A">
        <w:rPr>
          <w:sz w:val="16"/>
        </w:rPr>
        <w:t xml:space="preserve"> in Being and Time, </w:t>
      </w:r>
      <w:r w:rsidRPr="00721D4B">
        <w:rPr>
          <w:rStyle w:val="StyleBoldUnderline"/>
          <w:highlight w:val="green"/>
        </w:rPr>
        <w:t>attempted to resurrect ontology, this only took place through a profound transformation of the very meaning of ontology.</w:t>
      </w:r>
      <w:r w:rsidRPr="00C9272A">
        <w:rPr>
          <w:sz w:val="16"/>
        </w:rPr>
        <w:t xml:space="preserve"> [8] Ontology </w:t>
      </w:r>
      <w:proofErr w:type="gramStart"/>
      <w:r w:rsidRPr="00C9272A">
        <w:rPr>
          <w:sz w:val="16"/>
        </w:rPr>
        <w:t>would</w:t>
      </w:r>
      <w:proofErr w:type="gramEnd"/>
      <w:r w:rsidRPr="00C9272A">
        <w:rPr>
          <w:sz w:val="16"/>
        </w:rPr>
        <w:t xml:space="preserve"> no longer be the investigation of being qua being in all its variety and diversity regardless of whether humans exist, but rather would instead become an interrogation of </w:t>
      </w:r>
      <w:proofErr w:type="spellStart"/>
      <w:r w:rsidRPr="00C9272A">
        <w:rPr>
          <w:sz w:val="16"/>
        </w:rPr>
        <w:t>Dasein's</w:t>
      </w:r>
      <w:proofErr w:type="spellEnd"/>
      <w:r w:rsidRPr="00C9272A">
        <w:rPr>
          <w:sz w:val="16"/>
        </w:rPr>
        <w:t xml:space="preserve"> or human being's access to being. </w:t>
      </w:r>
      <w:r w:rsidRPr="00721D4B">
        <w:rPr>
          <w:rStyle w:val="StyleBoldUnderline"/>
          <w:highlight w:val="green"/>
        </w:rPr>
        <w:t>Ontology would become an investigation of being-for-Dasein, rather than an investigation of being as such.</w:t>
      </w:r>
      <w:r w:rsidRPr="00721D4B">
        <w:rPr>
          <w:sz w:val="16"/>
          <w:highlight w:val="green"/>
        </w:rPr>
        <w:t xml:space="preserve"> </w:t>
      </w:r>
      <w:r w:rsidRPr="00721D4B">
        <w:rPr>
          <w:rStyle w:val="StyleBoldUnderline"/>
        </w:rPr>
        <w:t>In conjunction with this transformation of ontology</w:t>
      </w:r>
      <w:r w:rsidRPr="00C9272A">
        <w:rPr>
          <w:rStyle w:val="StyleBoldUnderline"/>
        </w:rPr>
        <w:t xml:space="preserve"> </w:t>
      </w:r>
      <w:r w:rsidRPr="00C9272A">
        <w:rPr>
          <w:sz w:val="16"/>
        </w:rPr>
        <w:t xml:space="preserve">from an investigation of being as such </w:t>
      </w:r>
      <w:r w:rsidRPr="00C9272A">
        <w:rPr>
          <w:rStyle w:val="StyleBoldUnderline"/>
        </w:rPr>
        <w:t xml:space="preserve">into an investigation of being-for-humans, </w:t>
      </w:r>
      <w:r w:rsidRPr="00721D4B">
        <w:rPr>
          <w:rStyle w:val="StyleBoldUnderline"/>
          <w:highlight w:val="green"/>
        </w:rPr>
        <w:t>we have</w:t>
      </w:r>
      <w:r w:rsidRPr="00C9272A">
        <w:rPr>
          <w:rStyle w:val="StyleBoldUnderline"/>
        </w:rPr>
        <w:t xml:space="preserve"> also everywhere </w:t>
      </w:r>
      <w:r w:rsidRPr="00721D4B">
        <w:rPr>
          <w:rStyle w:val="StyleBoldUnderline"/>
          <w:highlight w:val="green"/>
        </w:rPr>
        <w:t>witnessed a push to dissolve objects or primary substances in the acid of experience,</w:t>
      </w:r>
      <w:r w:rsidRPr="00C9272A">
        <w:rPr>
          <w:rStyle w:val="StyleBoldUnderline"/>
        </w:rPr>
        <w:t xml:space="preserve"> intentionality, power, language, normativity, signs, events, relations, or processes. </w:t>
      </w:r>
      <w:r w:rsidRPr="00721D4B">
        <w:rPr>
          <w:rStyle w:val="StyleBoldUnderline"/>
          <w:highlight w:val="green"/>
        </w:rPr>
        <w:t>To defend the existence of objects is, within the framework of this line of thought, the height of naïveté for objects are held to be nothing more than surface-effects of something more fundamental such as the signifier, signs, power or activities of the mind.</w:t>
      </w:r>
      <w:r w:rsidRPr="00C9272A">
        <w:rPr>
          <w:sz w:val="16"/>
        </w:rPr>
        <w:t xml:space="preserve"> With Hume, for example, it is argued that objects are really nothing more than bundles of impressions or sensations linked together by associations and habits in the mind. Here there is no deeper fact of objects existing beyond these impressions and habits. Likewise, Lacan will tell us that “the universe is the flower of rhetoric</w:t>
      </w:r>
      <w:proofErr w:type="gramStart"/>
      <w:r w:rsidRPr="00C9272A">
        <w:rPr>
          <w:sz w:val="16"/>
        </w:rPr>
        <w:t>”[</w:t>
      </w:r>
      <w:proofErr w:type="gramEnd"/>
      <w:r w:rsidRPr="00C9272A">
        <w:rPr>
          <w:sz w:val="16"/>
        </w:rPr>
        <w:t>9], treating the beings that populate the world as an effect of the signifier.</w:t>
      </w:r>
    </w:p>
    <w:p w:rsidR="00775343" w:rsidRPr="00C9272A" w:rsidRDefault="00775343" w:rsidP="00775343">
      <w:pPr>
        <w:rPr>
          <w:sz w:val="16"/>
        </w:rPr>
      </w:pPr>
      <w:r w:rsidRPr="00721D4B">
        <w:rPr>
          <w:rStyle w:val="StyleBoldUnderline"/>
          <w:highlight w:val="green"/>
        </w:rPr>
        <w:t>We can</w:t>
      </w:r>
      <w:r w:rsidRPr="00C9272A">
        <w:rPr>
          <w:rStyle w:val="StyleBoldUnderline"/>
        </w:rPr>
        <w:t xml:space="preserve"> thus </w:t>
      </w:r>
      <w:r w:rsidRPr="00721D4B">
        <w:rPr>
          <w:rStyle w:val="StyleBoldUnderline"/>
          <w:highlight w:val="green"/>
        </w:rPr>
        <w:t>discern a shift in how ontology is understood and accompanying this shift the deployment of a universal acid that has come to dissolve the being of objects</w:t>
      </w:r>
      <w:r w:rsidRPr="00C9272A">
        <w:rPr>
          <w:rStyle w:val="StyleBoldUnderline"/>
        </w:rPr>
        <w:t>.</w:t>
      </w:r>
      <w:r w:rsidRPr="00C9272A">
        <w:rPr>
          <w:sz w:val="16"/>
        </w:rPr>
        <w:t xml:space="preserve"> The new ontology argues that we can only ever speak of being as it is for us. Depending on the philosophy in question, this “us” can be minds, lived bodies, language, signs, power, social structures, and so on. There are dozens of variations. The key point here is that it is argued that being can only be thought in terms of what Graham Harman has called our access to being</w:t>
      </w:r>
      <w:proofErr w:type="gramStart"/>
      <w:r w:rsidRPr="00C9272A">
        <w:rPr>
          <w:sz w:val="16"/>
        </w:rPr>
        <w:t>.[</w:t>
      </w:r>
      <w:proofErr w:type="gramEnd"/>
      <w:r w:rsidRPr="00C9272A">
        <w:rPr>
          <w:sz w:val="16"/>
        </w:rPr>
        <w:t xml:space="preserve">10] As such, </w:t>
      </w:r>
      <w:r w:rsidRPr="00721D4B">
        <w:rPr>
          <w:rStyle w:val="StyleBoldUnderline"/>
          <w:highlight w:val="green"/>
        </w:rPr>
        <w:t>ontology becomes</w:t>
      </w:r>
      <w:r w:rsidRPr="00C9272A">
        <w:rPr>
          <w:rStyle w:val="StyleBoldUnderline"/>
        </w:rPr>
        <w:t xml:space="preserve"> not an interrogation of being </w:t>
      </w:r>
      <w:r w:rsidRPr="00C9272A">
        <w:rPr>
          <w:rStyle w:val="StyleBoldUnderline"/>
        </w:rPr>
        <w:lastRenderedPageBreak/>
        <w:t xml:space="preserve">as such, but rather </w:t>
      </w:r>
      <w:r w:rsidRPr="00721D4B">
        <w:rPr>
          <w:rStyle w:val="StyleBoldUnderline"/>
          <w:highlight w:val="green"/>
        </w:rPr>
        <w:t>an interrogation of our access to being.</w:t>
      </w:r>
      <w:r w:rsidRPr="00C9272A">
        <w:rPr>
          <w:sz w:val="16"/>
        </w:rPr>
        <w:t xml:space="preserve"> The answer to the question, “what is being?” now, everywhere and always, carries a footnote, colophon, or bit of fine print such that the question must be read as “what is being for us?”</w:t>
      </w:r>
    </w:p>
    <w:p w:rsidR="00775343" w:rsidRDefault="00775343" w:rsidP="00775343">
      <w:pPr>
        <w:rPr>
          <w:sz w:val="16"/>
        </w:rPr>
      </w:pPr>
      <w:r w:rsidRPr="00433A38">
        <w:rPr>
          <w:sz w:val="16"/>
        </w:rPr>
        <w:t xml:space="preserve">And </w:t>
      </w:r>
      <w:r w:rsidRPr="00721D4B">
        <w:rPr>
          <w:rStyle w:val="StyleBoldUnderline"/>
          <w:highlight w:val="green"/>
        </w:rPr>
        <w:t>if the question of ontology now becomes the question, “what is being for us?” it follows that there can be no question of what being might be as such, for we have resolved to treat being only in terms of our access to being such that what being might be apart from our access to being now becomes an entirely meaningless question</w:t>
      </w:r>
      <w:r w:rsidRPr="00C9272A">
        <w:rPr>
          <w:rStyle w:val="StyleBoldUnderline"/>
        </w:rPr>
        <w:t>.</w:t>
      </w:r>
      <w:r w:rsidRPr="00433A38">
        <w:rPr>
          <w:sz w:val="16"/>
        </w:rPr>
        <w:t xml:space="preserve"> This </w:t>
      </w:r>
      <w:r w:rsidRPr="00433A38">
        <w:rPr>
          <w:rStyle w:val="StyleBoldUnderline"/>
        </w:rPr>
        <w:t>for two reasons: First,</w:t>
      </w:r>
      <w:r w:rsidRPr="00433A38">
        <w:rPr>
          <w:sz w:val="16"/>
        </w:rPr>
        <w:t xml:space="preserve"> </w:t>
      </w:r>
      <w:r w:rsidRPr="00C9272A">
        <w:rPr>
          <w:rStyle w:val="StyleBoldUnderline"/>
        </w:rPr>
        <w:t xml:space="preserve">were we capable of knowing being apart from our access to being, it is argued, it would follow that we therefore have access to this being, thereby converting this being alleged to be beyond its </w:t>
      </w:r>
      <w:proofErr w:type="spellStart"/>
      <w:r w:rsidRPr="00C9272A">
        <w:rPr>
          <w:rStyle w:val="StyleBoldUnderline"/>
        </w:rPr>
        <w:t>givenness</w:t>
      </w:r>
      <w:proofErr w:type="spellEnd"/>
      <w:r w:rsidRPr="00C9272A">
        <w:rPr>
          <w:rStyle w:val="StyleBoldUnderline"/>
        </w:rPr>
        <w:t xml:space="preserve"> to us back into being-for-us</w:t>
      </w:r>
      <w:r w:rsidRPr="00433A38">
        <w:rPr>
          <w:sz w:val="16"/>
        </w:rPr>
        <w:t xml:space="preserve">. </w:t>
      </w:r>
      <w:r w:rsidRPr="00433A38">
        <w:rPr>
          <w:rStyle w:val="StyleBoldUnderline"/>
        </w:rPr>
        <w:t>Second,</w:t>
      </w:r>
      <w:r w:rsidRPr="00433A38">
        <w:rPr>
          <w:sz w:val="16"/>
        </w:rPr>
        <w:t xml:space="preserve"> </w:t>
      </w:r>
      <w:r w:rsidRPr="00C9272A">
        <w:rPr>
          <w:rStyle w:val="StyleBoldUnderline"/>
        </w:rPr>
        <w:t>to know something, the argument runs, we must have access to that thing. Yet being beyond our access to it is precisely a form of being to which we have no access.</w:t>
      </w:r>
      <w:r w:rsidRPr="00433A38">
        <w:rPr>
          <w:sz w:val="16"/>
        </w:rPr>
        <w:t xml:space="preserve"> </w:t>
      </w:r>
      <w:r w:rsidRPr="00C9272A">
        <w:rPr>
          <w:rStyle w:val="StyleBoldUnderline"/>
        </w:rPr>
        <w:t>Therefore</w:t>
      </w:r>
      <w:r w:rsidRPr="00433A38">
        <w:rPr>
          <w:sz w:val="16"/>
        </w:rPr>
        <w:t xml:space="preserve"> it follows that </w:t>
      </w:r>
      <w:r w:rsidRPr="00433A38">
        <w:rPr>
          <w:rStyle w:val="StyleBoldUnderline"/>
        </w:rPr>
        <w:t>claims about such a being are, strictly speaking, meaningless.</w:t>
      </w:r>
      <w:r w:rsidRPr="00433A38">
        <w:rPr>
          <w:sz w:val="16"/>
        </w:rPr>
        <w:t xml:space="preserve"> I hope to show later why there is good reason to doubt the soundness of both of these arguments, but for the moment </w:t>
      </w:r>
    </w:p>
    <w:p w:rsidR="000022F2" w:rsidRDefault="000022F2" w:rsidP="00D17C4E"/>
    <w:p w:rsidR="00775343" w:rsidRDefault="00775343" w:rsidP="00775343">
      <w:pPr>
        <w:pStyle w:val="Heading4"/>
      </w:pPr>
      <w:r>
        <w:t>Perm translate the resolution and do the alt</w:t>
      </w:r>
    </w:p>
    <w:p w:rsidR="00775343" w:rsidRDefault="00775343" w:rsidP="00775343"/>
    <w:p w:rsidR="00775343" w:rsidRDefault="00775343" w:rsidP="00775343">
      <w:pPr>
        <w:pStyle w:val="Heading4"/>
      </w:pPr>
      <w:r>
        <w:t xml:space="preserve">Perm </w:t>
      </w:r>
      <w:proofErr w:type="spellStart"/>
      <w:r>
        <w:t>aff</w:t>
      </w:r>
      <w:proofErr w:type="spellEnd"/>
      <w:r>
        <w:t xml:space="preserve"> and all noncompetitive parts of the alt</w:t>
      </w:r>
    </w:p>
    <w:p w:rsidR="00775343" w:rsidRDefault="00775343" w:rsidP="00775343">
      <w:pPr>
        <w:pStyle w:val="Heading4"/>
      </w:pPr>
    </w:p>
    <w:p w:rsidR="00775343" w:rsidRDefault="00775343" w:rsidP="00775343">
      <w:pPr>
        <w:pStyle w:val="Heading4"/>
      </w:pPr>
      <w:r>
        <w:t>Interspecies violence is inflicted in the same forms as inter-human violence: this takes the form of genocide, colonialism, and war</w:t>
      </w:r>
    </w:p>
    <w:p w:rsidR="00775343" w:rsidRPr="00482E2C" w:rsidRDefault="00775343" w:rsidP="00775343">
      <w:pPr>
        <w:rPr>
          <w:rStyle w:val="StyleStyleBold12pt"/>
        </w:rPr>
      </w:pPr>
      <w:r w:rsidRPr="00482E2C">
        <w:rPr>
          <w:rStyle w:val="StyleStyleBold12pt"/>
        </w:rPr>
        <w:t xml:space="preserve">Kochi and </w:t>
      </w:r>
      <w:proofErr w:type="spellStart"/>
      <w:r w:rsidRPr="00482E2C">
        <w:rPr>
          <w:rStyle w:val="StyleStyleBold12pt"/>
        </w:rPr>
        <w:t>Ordan</w:t>
      </w:r>
      <w:proofErr w:type="spellEnd"/>
      <w:r w:rsidRPr="00482E2C">
        <w:rPr>
          <w:rStyle w:val="StyleStyleBold12pt"/>
        </w:rPr>
        <w:t xml:space="preserve"> 2008</w:t>
      </w:r>
    </w:p>
    <w:p w:rsidR="00775343" w:rsidRDefault="00775343" w:rsidP="00775343">
      <w:proofErr w:type="spellStart"/>
      <w:r>
        <w:t>Tarik</w:t>
      </w:r>
      <w:proofErr w:type="spellEnd"/>
      <w:r>
        <w:t xml:space="preserve"> Kochi &amp; Noam </w:t>
      </w:r>
      <w:proofErr w:type="spellStart"/>
      <w:r>
        <w:t>Ordan</w:t>
      </w:r>
      <w:proofErr w:type="spellEnd"/>
    </w:p>
    <w:p w:rsidR="00775343" w:rsidRDefault="00775343" w:rsidP="00775343">
      <w:r>
        <w:t xml:space="preserve">Queen’s University &amp; Bar </w:t>
      </w:r>
      <w:proofErr w:type="spellStart"/>
      <w:r>
        <w:t>Ilan</w:t>
      </w:r>
      <w:proofErr w:type="spellEnd"/>
      <w:r>
        <w:t xml:space="preserve"> University” An argument for the global suicide of humanity”, </w:t>
      </w:r>
      <w:proofErr w:type="spellStart"/>
      <w:r>
        <w:t>vol</w:t>
      </w:r>
      <w:proofErr w:type="spellEnd"/>
      <w:r>
        <w:t xml:space="preserve"> 7, no 4, Borderlands, http://www.borderlands.net.au/vol7no3_2008/kochiordan_argument.pdf</w:t>
      </w:r>
    </w:p>
    <w:p w:rsidR="00775343" w:rsidRPr="001F1F67" w:rsidRDefault="00775343" w:rsidP="00775343">
      <w:pPr>
        <w:rPr>
          <w:sz w:val="16"/>
        </w:rPr>
      </w:pPr>
      <w:r w:rsidRPr="001F1F67">
        <w:rPr>
          <w:sz w:val="16"/>
        </w:rPr>
        <w:t xml:space="preserve">Within the picture many paint of humanity, events such as the Holocaust are considered as an exception, an aberration. </w:t>
      </w:r>
      <w:r w:rsidRPr="00ED4648">
        <w:rPr>
          <w:rStyle w:val="StyleBoldUnderline"/>
        </w:rPr>
        <w:t xml:space="preserve">The Holocaust is often portrayed as an example of ‘evil’, a moment of </w:t>
      </w:r>
      <w:proofErr w:type="gramStart"/>
      <w:r w:rsidRPr="00ED4648">
        <w:rPr>
          <w:rStyle w:val="StyleBoldUnderline"/>
        </w:rPr>
        <w:t>hatred,</w:t>
      </w:r>
      <w:proofErr w:type="gramEnd"/>
      <w:r w:rsidRPr="00ED4648">
        <w:rPr>
          <w:rStyle w:val="StyleBoldUnderline"/>
        </w:rPr>
        <w:t xml:space="preserve"> madness and cruelty</w:t>
      </w:r>
      <w:r w:rsidRPr="001F1F67">
        <w:rPr>
          <w:sz w:val="16"/>
        </w:rPr>
        <w:t xml:space="preserve"> (cf. the differing accounts of ‘evil’ given in Neiman, 2004). </w:t>
      </w:r>
      <w:r w:rsidRPr="00ED4648">
        <w:rPr>
          <w:rStyle w:val="StyleBoldUnderline"/>
        </w:rPr>
        <w:t xml:space="preserve">The event is also treated as one through which humanity might comprehend its own weakness and draw strength, via the resolve that such actions will never happen again. However, if we take seriously the differing ways in which the Holocaust was ‘evil’, then one must surely include </w:t>
      </w:r>
      <w:proofErr w:type="spellStart"/>
      <w:r w:rsidRPr="00ED4648">
        <w:rPr>
          <w:rStyle w:val="StyleBoldUnderline"/>
        </w:rPr>
        <w:t>along side</w:t>
      </w:r>
      <w:proofErr w:type="spellEnd"/>
      <w:r w:rsidRPr="00ED4648">
        <w:rPr>
          <w:rStyle w:val="StyleBoldUnderline"/>
        </w:rPr>
        <w:t xml:space="preserve"> it the almost uncountable numbers of genocides that have occurred throughout human history</w:t>
      </w:r>
      <w:r w:rsidRPr="001F1F67">
        <w:rPr>
          <w:sz w:val="16"/>
        </w:rPr>
        <w:t xml:space="preserve">. borderlands 7:3 10 </w:t>
      </w:r>
      <w:r w:rsidRPr="00ED4648">
        <w:rPr>
          <w:rStyle w:val="StyleBoldUnderline"/>
        </w:rPr>
        <w:t xml:space="preserve">Hence, </w:t>
      </w:r>
      <w:r w:rsidRPr="00C26034">
        <w:rPr>
          <w:rStyle w:val="StyleBoldUnderline"/>
          <w:highlight w:val="yellow"/>
        </w:rPr>
        <w:t xml:space="preserve">if we are to think of the content of the ‘human heritage’, then this must include the annihilation of indigenous peoples and their cultures across the globe and the manner in which their beliefs, </w:t>
      </w:r>
      <w:proofErr w:type="spellStart"/>
      <w:r w:rsidRPr="00C26034">
        <w:rPr>
          <w:rStyle w:val="StyleBoldUnderline"/>
          <w:highlight w:val="yellow"/>
        </w:rPr>
        <w:t>behaviours</w:t>
      </w:r>
      <w:proofErr w:type="spellEnd"/>
      <w:r w:rsidRPr="00C26034">
        <w:rPr>
          <w:rStyle w:val="StyleBoldUnderline"/>
          <w:highlight w:val="yellow"/>
        </w:rPr>
        <w:t xml:space="preserve"> and social practices have been erased from what the people of the ‘West’ generally consider to be the content of a human heritage. Again the history of colonialism is telling here. It reminds us exactly how normal, regular and mundane acts of annihilation of different forms of human life and culture have been throughout </w:t>
      </w:r>
      <w:r w:rsidRPr="00C26034">
        <w:rPr>
          <w:rStyle w:val="StyleBoldUnderline"/>
        </w:rPr>
        <w:t>human</w:t>
      </w:r>
      <w:r w:rsidRPr="00C26034">
        <w:rPr>
          <w:rStyle w:val="StyleBoldUnderline"/>
          <w:highlight w:val="yellow"/>
        </w:rPr>
        <w:t xml:space="preserve"> history</w:t>
      </w:r>
      <w:r w:rsidRPr="001F1F67">
        <w:rPr>
          <w:sz w:val="16"/>
        </w:rPr>
        <w:t xml:space="preserve">. Indeed </w:t>
      </w:r>
      <w:r w:rsidRPr="00ED4648">
        <w:rPr>
          <w:rStyle w:val="StyleBoldUnderline"/>
        </w:rPr>
        <w:t>the history of colonialism</w:t>
      </w:r>
      <w:r w:rsidRPr="001F1F67">
        <w:rPr>
          <w:sz w:val="16"/>
        </w:rPr>
        <w:t xml:space="preserve">, in its various guises, </w:t>
      </w:r>
      <w:r w:rsidRPr="00ED4648">
        <w:rPr>
          <w:rStyle w:val="StyleBoldUnderline"/>
        </w:rPr>
        <w:t xml:space="preserve">points to the fact that so many of our </w:t>
      </w:r>
      <w:r w:rsidRPr="00C26034">
        <w:rPr>
          <w:rStyle w:val="StyleBoldUnderline"/>
          <w:highlight w:val="yellow"/>
        </w:rPr>
        <w:t>legal institutions and forms of ethical life</w:t>
      </w:r>
      <w:r w:rsidRPr="001F1F67">
        <w:rPr>
          <w:sz w:val="16"/>
        </w:rPr>
        <w:t xml:space="preserve"> (i.e. nation-states which pride themselves on protecting human rights through the rule of law) </w:t>
      </w:r>
      <w:r w:rsidRPr="00C26034">
        <w:rPr>
          <w:rStyle w:val="StyleBoldUnderline"/>
          <w:highlight w:val="yellow"/>
        </w:rPr>
        <w:t>have been founded upon colonial violence, war and the appropriation of</w:t>
      </w:r>
      <w:r w:rsidRPr="00ED4648">
        <w:rPr>
          <w:rStyle w:val="StyleBoldUnderline"/>
        </w:rPr>
        <w:t xml:space="preserve"> </w:t>
      </w:r>
      <w:r w:rsidRPr="001F1F67">
        <w:rPr>
          <w:sz w:val="16"/>
        </w:rPr>
        <w:t>other peoples’</w:t>
      </w:r>
      <w:r w:rsidRPr="00ED4648">
        <w:rPr>
          <w:rStyle w:val="StyleBoldUnderline"/>
        </w:rPr>
        <w:t xml:space="preserve"> </w:t>
      </w:r>
      <w:r w:rsidRPr="00C26034">
        <w:rPr>
          <w:rStyle w:val="StyleBoldUnderline"/>
          <w:highlight w:val="yellow"/>
        </w:rPr>
        <w:t>land</w:t>
      </w:r>
      <w:r w:rsidRPr="001F1F67">
        <w:rPr>
          <w:sz w:val="16"/>
        </w:rPr>
        <w:t xml:space="preserve"> (Schmitt, 2003; Benjamin, 1986). Further, </w:t>
      </w:r>
      <w:r w:rsidRPr="00ED4648">
        <w:rPr>
          <w:rStyle w:val="StyleBoldUnderline"/>
        </w:rPr>
        <w:t xml:space="preserve">the history of colonialism highlights the central function of ‘race war’ that often underlies human social </w:t>
      </w:r>
      <w:proofErr w:type="spellStart"/>
      <w:r w:rsidRPr="00ED4648">
        <w:rPr>
          <w:rStyle w:val="StyleBoldUnderline"/>
        </w:rPr>
        <w:t>organisation</w:t>
      </w:r>
      <w:proofErr w:type="spellEnd"/>
      <w:r w:rsidRPr="00ED4648">
        <w:rPr>
          <w:rStyle w:val="StyleBoldUnderline"/>
        </w:rPr>
        <w:t xml:space="preserve"> and many of its legal and ethical systems of thought</w:t>
      </w:r>
      <w:r w:rsidRPr="001F1F67">
        <w:rPr>
          <w:sz w:val="16"/>
        </w:rPr>
        <w:t xml:space="preserve"> (Foucault, 2003). </w:t>
      </w:r>
      <w:r w:rsidRPr="00C26034">
        <w:rPr>
          <w:rStyle w:val="StyleBoldUnderline"/>
          <w:highlight w:val="yellow"/>
        </w:rPr>
        <w:t>This history of modern colonialism</w:t>
      </w:r>
      <w:r w:rsidRPr="00ED4648">
        <w:rPr>
          <w:rStyle w:val="StyleBoldUnderline"/>
        </w:rPr>
        <w:t xml:space="preserve"> thus </w:t>
      </w:r>
      <w:r w:rsidRPr="00C26034">
        <w:rPr>
          <w:rStyle w:val="StyleBoldUnderline"/>
          <w:highlight w:val="yellow"/>
        </w:rPr>
        <w:t>presents a key to understanding that events such as the Holocaust are not an aberration and exception but are closer to the norm, and</w:t>
      </w:r>
      <w:r w:rsidRPr="00ED4648">
        <w:rPr>
          <w:rStyle w:val="StyleBoldUnderline"/>
        </w:rPr>
        <w:t xml:space="preserve"> sadly, </w:t>
      </w:r>
      <w:r w:rsidRPr="00C26034">
        <w:rPr>
          <w:rStyle w:val="StyleBoldUnderline"/>
          <w:highlight w:val="yellow"/>
        </w:rPr>
        <w:t>lie at the heart of any heritage of humanity.</w:t>
      </w:r>
      <w:r w:rsidRPr="00ED4648">
        <w:rPr>
          <w:rStyle w:val="StyleBoldUnderline"/>
        </w:rPr>
        <w:t xml:space="preserve"> After all, all too often the European </w:t>
      </w:r>
      <w:proofErr w:type="spellStart"/>
      <w:r w:rsidRPr="00ED4648">
        <w:rPr>
          <w:rStyle w:val="StyleBoldUnderline"/>
        </w:rPr>
        <w:t>colonisation</w:t>
      </w:r>
      <w:proofErr w:type="spellEnd"/>
      <w:r w:rsidRPr="00ED4648">
        <w:rPr>
          <w:rStyle w:val="StyleBoldUnderline"/>
        </w:rPr>
        <w:t xml:space="preserve"> of the globe was justified by arguments that indigenous inhabitants were racially ‘inferior’ and in some instances that they were closer to ‘apes’ than to </w:t>
      </w:r>
      <w:r w:rsidRPr="00ED4648">
        <w:rPr>
          <w:rStyle w:val="StyleBoldUnderline"/>
        </w:rPr>
        <w:lastRenderedPageBreak/>
        <w:t>humans</w:t>
      </w:r>
      <w:r w:rsidRPr="001F1F67">
        <w:rPr>
          <w:sz w:val="16"/>
        </w:rPr>
        <w:t xml:space="preserve"> (Diamond, 2006). </w:t>
      </w:r>
      <w:r w:rsidRPr="00C26034">
        <w:rPr>
          <w:rStyle w:val="Emphasis"/>
          <w:highlight w:val="yellow"/>
        </w:rPr>
        <w:t>Such violence justified by an erroneous view of ‘race’ is in many ways merely an extension of an underlying attitude of speciesism involving a long history of killing and enslavement of non-human species by humans.</w:t>
      </w:r>
      <w:r w:rsidRPr="00ED4648">
        <w:rPr>
          <w:rStyle w:val="StyleBoldUnderline"/>
        </w:rPr>
        <w:t xml:space="preserve"> </w:t>
      </w:r>
      <w:r w:rsidRPr="00C26034">
        <w:rPr>
          <w:rStyle w:val="StyleBoldUnderline"/>
          <w:highlight w:val="yellow"/>
        </w:rPr>
        <w:t>Such a connection between the two histories of inter-human violence</w:t>
      </w:r>
      <w:r w:rsidRPr="001F1F67">
        <w:rPr>
          <w:sz w:val="16"/>
        </w:rPr>
        <w:t xml:space="preserve"> (via the mythical notion of differing human ‘races’) </w:t>
      </w:r>
      <w:r w:rsidRPr="00C26034">
        <w:rPr>
          <w:rStyle w:val="StyleBoldUnderline"/>
          <w:highlight w:val="yellow"/>
        </w:rPr>
        <w:t>and interspecies violence, is well expressed in</w:t>
      </w:r>
      <w:r w:rsidRPr="00ED4648">
        <w:rPr>
          <w:rStyle w:val="StyleBoldUnderline"/>
        </w:rPr>
        <w:t xml:space="preserve"> Isaac </w:t>
      </w:r>
      <w:proofErr w:type="spellStart"/>
      <w:r w:rsidRPr="00ED4648">
        <w:rPr>
          <w:rStyle w:val="StyleBoldUnderline"/>
        </w:rPr>
        <w:t>Bashevis</w:t>
      </w:r>
      <w:proofErr w:type="spellEnd"/>
      <w:r w:rsidRPr="00ED4648">
        <w:rPr>
          <w:rStyle w:val="StyleBoldUnderline"/>
        </w:rPr>
        <w:t xml:space="preserve"> </w:t>
      </w:r>
      <w:r w:rsidRPr="00C26034">
        <w:rPr>
          <w:rStyle w:val="StyleBoldUnderline"/>
          <w:highlight w:val="yellow"/>
        </w:rPr>
        <w:t xml:space="preserve">Singer’s comment that whereas humans consider themselves “the crown of creation”, </w:t>
      </w:r>
      <w:r w:rsidRPr="00C26034">
        <w:rPr>
          <w:rStyle w:val="Emphasis"/>
          <w:highlight w:val="yellow"/>
        </w:rPr>
        <w:t>for animals “all people are Nazis” and animal life is “an eternal Treblinka”</w:t>
      </w:r>
      <w:r w:rsidRPr="00ED4648">
        <w:rPr>
          <w:rStyle w:val="Emphasis"/>
        </w:rPr>
        <w:t xml:space="preserve"> </w:t>
      </w:r>
      <w:r w:rsidRPr="001F1F67">
        <w:rPr>
          <w:sz w:val="16"/>
        </w:rPr>
        <w:t>(Singer, 1968, p.750).</w:t>
      </w:r>
    </w:p>
    <w:p w:rsidR="00775343" w:rsidRDefault="00775343" w:rsidP="00775343">
      <w:pPr>
        <w:rPr>
          <w:sz w:val="16"/>
        </w:rPr>
      </w:pPr>
    </w:p>
    <w:p w:rsidR="00775343" w:rsidRPr="00775343" w:rsidRDefault="00775343" w:rsidP="00775343">
      <w:pPr>
        <w:pStyle w:val="Heading4"/>
      </w:pPr>
      <w:r>
        <w:t xml:space="preserve"> </w:t>
      </w:r>
    </w:p>
    <w:sectPr w:rsidR="00775343" w:rsidRPr="007753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32DA" w:rsidRDefault="002132DA" w:rsidP="005F5576">
      <w:r>
        <w:separator/>
      </w:r>
    </w:p>
  </w:endnote>
  <w:endnote w:type="continuationSeparator" w:id="0">
    <w:p w:rsidR="002132DA" w:rsidRDefault="002132D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32DA" w:rsidRDefault="002132DA" w:rsidP="005F5576">
      <w:r>
        <w:separator/>
      </w:r>
    </w:p>
  </w:footnote>
  <w:footnote w:type="continuationSeparator" w:id="0">
    <w:p w:rsidR="002132DA" w:rsidRDefault="002132D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2DA"/>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32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343"/>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1273"/>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documentManagement/types"/>
    <ds:schemaRef ds:uri="http://schemas.openxmlformats.org/package/2006/metadata/core-properties"/>
    <ds:schemaRef ds:uri="http://purl.org/dc/elements/1.1/"/>
    <ds:schemaRef ds:uri="http://purl.org/dc/dcmitype/"/>
    <ds:schemaRef ds:uri="http://schemas.microsoft.com/office/2006/metadata/properties"/>
    <ds:schemaRef ds:uri="http://purl.org/dc/terms/"/>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Pages>
  <Words>1355</Words>
  <Characters>7727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Team 2011</dc:creator>
  <cp:lastModifiedBy>Michael, Team 2011</cp:lastModifiedBy>
  <cp:revision>2</cp:revision>
  <dcterms:created xsi:type="dcterms:W3CDTF">2012-11-10T17:58:00Z</dcterms:created>
  <dcterms:modified xsi:type="dcterms:W3CDTF">2012-11-10T17:58:00Z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