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20C" w:rsidRDefault="00C2220C" w:rsidP="00966CF9">
      <w:pPr>
        <w:pStyle w:val="Heading2"/>
      </w:pPr>
      <w:r>
        <w:t>1NC</w:t>
      </w:r>
    </w:p>
    <w:p w:rsidR="00C2220C" w:rsidRDefault="00C2220C" w:rsidP="00C2220C">
      <w:pPr>
        <w:pStyle w:val="Heading3"/>
      </w:pPr>
      <w:r>
        <w:lastRenderedPageBreak/>
        <w:t>1NC – Critical Hip Hop Linguistics</w:t>
      </w:r>
    </w:p>
    <w:p w:rsidR="00C2220C" w:rsidRDefault="00C2220C" w:rsidP="00C2220C">
      <w:pPr>
        <w:pStyle w:val="Heading4"/>
      </w:pPr>
      <w:r>
        <w:t>[Poem]</w:t>
      </w:r>
    </w:p>
    <w:p w:rsidR="00C2220C" w:rsidRDefault="00C2220C" w:rsidP="00C2220C">
      <w:pPr>
        <w:pStyle w:val="Heading4"/>
      </w:pPr>
      <w:r>
        <w:t>The 1ac relies on objective legal discourse that is burdensome on minority students. Their discourse proceeds with the expectation that students will learn to perform the standard mode of legal reasoning and embrace the objective perspectiveless of traditional political engagement. This perspective assumes a white worldview forcing Black and Brown studies to assume colorless legal analysis separating them from their cultural identity</w:t>
      </w:r>
    </w:p>
    <w:p w:rsidR="00C2220C" w:rsidRDefault="00C2220C" w:rsidP="00C2220C">
      <w:pPr>
        <w:rPr>
          <w:rStyle w:val="StyleStyleBold12pt"/>
        </w:rPr>
      </w:pPr>
      <w:r>
        <w:rPr>
          <w:rStyle w:val="StyleStyleBold12pt"/>
        </w:rPr>
        <w:t>Crenshaw, Professor at UCLA, 1994</w:t>
      </w:r>
    </w:p>
    <w:p w:rsidR="00C2220C" w:rsidRDefault="00C2220C" w:rsidP="00C2220C">
      <w:r w:rsidRPr="00C2220C">
        <w:t>Kimberle Williams; Southern California Review of Law and Women’s Studies – Southern California Review of Law and Women’s Studies- Foreword: Toward a Race Conscious Pedagogy in Legal Education – Fall, 1994- 4 S. Cal. Rev. L. &amp; Women’s Stud. 33- lexis</w:t>
      </w:r>
    </w:p>
    <w:p w:rsidR="00C2220C" w:rsidRDefault="00C2220C" w:rsidP="00C2220C"/>
    <w:p w:rsidR="00C2220C" w:rsidRDefault="00C2220C" w:rsidP="00C2220C">
      <w:r>
        <w:t>Minority students across the country…norms by being racially biased.</w:t>
      </w:r>
    </w:p>
    <w:p w:rsidR="00C2220C" w:rsidRDefault="00C2220C" w:rsidP="00C2220C">
      <w:pPr>
        <w:pStyle w:val="Heading4"/>
      </w:pPr>
      <w:r>
        <w:t>Reality is constituted in language; language configures our understandings, interpretations and responses to experience. The discourse of the 1AC establishes a standardizing discourse, foreclosing and crowding out the possibility of difference. One standard language cannot speak the cultural concerns of people of color and marginalized populations. Neutral discourse and white supremacy negate resistance discourses on claiming authority on reason and language</w:t>
      </w:r>
    </w:p>
    <w:p w:rsidR="00C2220C" w:rsidRDefault="00C2220C" w:rsidP="00C2220C">
      <w:r w:rsidRPr="00C2220C">
        <w:rPr>
          <w:rStyle w:val="StyleStyleBold12pt"/>
        </w:rPr>
        <w:t>Francis 2k7</w:t>
      </w:r>
      <w:r>
        <w:t xml:space="preserve"> Toni P Francis (University of South Florida- Scholar Commons- Graduate School Theses and Dissertations USF Graduate School- 6-1-2007- Identity politics: Postcolonial theory and writing program instructor- TF online-)</w:t>
      </w:r>
    </w:p>
    <w:p w:rsidR="00C2220C" w:rsidRDefault="00C2220C" w:rsidP="00C2220C"/>
    <w:p w:rsidR="00C2220C" w:rsidRDefault="00C2220C" w:rsidP="00C2220C">
      <w:r>
        <w:t>If we accept McLaren’s postmodern…extinction for many discourse communities</w:t>
      </w:r>
    </w:p>
    <w:p w:rsidR="00C2220C" w:rsidRDefault="00C2220C" w:rsidP="00C2220C">
      <w:pPr>
        <w:pStyle w:val="Heading4"/>
      </w:pPr>
      <w:r>
        <w:lastRenderedPageBreak/>
        <w:t>The 1ACs scholarship and performance makes over overarching claims to pursuing objectivity that crowd out the possibility of subjectivity entirely.</w:t>
      </w:r>
    </w:p>
    <w:p w:rsidR="00C2220C" w:rsidRDefault="00C2220C" w:rsidP="00C2220C">
      <w:pPr>
        <w:pStyle w:val="Heading4"/>
      </w:pPr>
      <w:r>
        <w:t>Knowledge production needs to shift beyond traditional Europe conceptions of objectification. European thought structures engage and produce hypothetical worlds that don’t get to the reality of lived material conditions, objectifying experiences and behavior towards others. The process of objectification is what permits poor decision making to continue</w:t>
      </w:r>
    </w:p>
    <w:p w:rsidR="00C2220C" w:rsidRDefault="00C2220C" w:rsidP="00C2220C">
      <w:r w:rsidRPr="00C2220C">
        <w:rPr>
          <w:rStyle w:val="StyleStyleBold12pt"/>
        </w:rPr>
        <w:t>Ani, 1994</w:t>
      </w:r>
      <w:r>
        <w:t xml:space="preserve"> Marimba, Yurugu: An African-Centered Critique of European Cultural Thought and Behavior. March 1994 Pg 86</w:t>
      </w:r>
    </w:p>
    <w:p w:rsidR="00C2220C" w:rsidRDefault="00C2220C" w:rsidP="00C2220C"/>
    <w:p w:rsidR="00C2220C" w:rsidRPr="00C2220C" w:rsidRDefault="00C2220C" w:rsidP="00C2220C">
      <w:r>
        <w:t>It is the epistemological tool….Europeans feel no emotional identification.</w:t>
      </w:r>
    </w:p>
    <w:p w:rsidR="00C2220C" w:rsidRPr="00C2220C" w:rsidRDefault="00C2220C" w:rsidP="00C2220C">
      <w:pPr>
        <w:pStyle w:val="Heading4"/>
      </w:pPr>
      <w:r w:rsidRPr="00C2220C">
        <w:t>The resolution and the plan have been restricted to a consumption-oriented energy paradigm rooted in a reductive and mechanistic worldview producing disposable people, poverty, and climate chaos. The 1AC views the resources of the world and certain bodies as utilities with a specific purpose in the market system. Bodies and resources that do not fit into the confines of the mechanistic world-view are easily disposed of, destroyed and eradicated. There must be a fundamental paradigm shift to this reductive logic of consumption and profit.</w:t>
      </w:r>
    </w:p>
    <w:p w:rsidR="00C2220C" w:rsidRPr="00C2220C" w:rsidRDefault="00C2220C" w:rsidP="00C2220C">
      <w:pPr>
        <w:rPr>
          <w:rStyle w:val="StyleStyleBold12pt"/>
        </w:rPr>
      </w:pPr>
      <w:r w:rsidRPr="00C2220C">
        <w:rPr>
          <w:rStyle w:val="StyleStyleBold12pt"/>
        </w:rPr>
        <w:t>Shiva 2k8</w:t>
      </w:r>
    </w:p>
    <w:p w:rsidR="00C2220C" w:rsidRDefault="00C2220C" w:rsidP="00C2220C">
      <w:r>
        <w:t>Vandana; “Soil not Oil” [Vandana Shiva is a world-renowned environmental thinker and activist. A leader in the International Forum in Globalization along with Ralph Nader and Jeremy Rifkin and the Slow Food movement. Shiva won the Alternative Nobel Peace Prize (the Right Livelihood Award) in 1993]</w:t>
      </w:r>
    </w:p>
    <w:p w:rsidR="00C2220C" w:rsidRDefault="00C2220C" w:rsidP="00C2220C"/>
    <w:p w:rsidR="00C2220C" w:rsidRDefault="00C2220C" w:rsidP="00C2220C">
      <w:r>
        <w:t>We have two choices: we…fossil fuel-driven industrial systems.</w:t>
      </w:r>
    </w:p>
    <w:p w:rsidR="00C2220C" w:rsidRDefault="00C2220C" w:rsidP="00C2220C">
      <w:pPr>
        <w:pStyle w:val="Heading4"/>
      </w:pPr>
      <w:r>
        <w:lastRenderedPageBreak/>
        <w:t>Thus: Resolved to murder the United racially divided prison states Federal penitentiary government should react to global violence of environmental injustice by expandin bond state paper agreements for those mini modular fluoride chemical toxic thorium reactors.</w:t>
      </w:r>
    </w:p>
    <w:p w:rsidR="00C2220C" w:rsidRDefault="00C2220C" w:rsidP="00C2220C">
      <w:pPr>
        <w:pStyle w:val="Heading4"/>
      </w:pPr>
      <w:r>
        <w:t>We signify upon the plan in order to promote difference and disrupt the uniform interpretation of what the plan is intended to mean. Western aesthetics assumes an accurate interpretation, a correct meaning of words that promotes ignorance of black vernacular expressions leading to a mythification of black culture as being violent. Signifyin(g) is a form of political engagement that mobilizes questions around larger power relations. It is a method of teaching, playing into the mistake of meaning, a serious “unseriousness” that can generate political expression.</w:t>
      </w:r>
    </w:p>
    <w:p w:rsidR="00C2220C" w:rsidRDefault="00C2220C" w:rsidP="00C2220C">
      <w:r w:rsidRPr="002E10E5">
        <w:rPr>
          <w:rStyle w:val="StyleStyleBold12pt"/>
        </w:rPr>
        <w:t>Potter</w:t>
      </w:r>
      <w:r>
        <w:t xml:space="preserve">, professor of English @Rhode Island College, </w:t>
      </w:r>
      <w:r w:rsidRPr="002E10E5">
        <w:rPr>
          <w:rStyle w:val="StyleStyleBold12pt"/>
        </w:rPr>
        <w:t>1995</w:t>
      </w:r>
    </w:p>
    <w:p w:rsidR="00C2220C" w:rsidRDefault="00C2220C" w:rsidP="00C2220C">
      <w:r>
        <w:t>Russell A.; Writer for HardC.O.R.E; “Spectacular Vernaculars: Hip-Hop and the Politics of Postmodernism”; Pg: 82-84</w:t>
      </w:r>
    </w:p>
    <w:p w:rsidR="002E10E5" w:rsidRDefault="002E10E5" w:rsidP="00C2220C"/>
    <w:p w:rsidR="00C2220C" w:rsidRDefault="00C2220C" w:rsidP="00C2220C">
      <w:r>
        <w:t>Thus, on a micro level…</w:t>
      </w:r>
      <w:r w:rsidR="002E10E5">
        <w:t>political expression, a “serious” unseriousness.</w:t>
      </w:r>
    </w:p>
    <w:p w:rsidR="002E10E5" w:rsidRDefault="002E10E5" w:rsidP="002E10E5">
      <w:pPr>
        <w:pStyle w:val="Heading4"/>
      </w:pPr>
      <w:r>
        <w:t>This debate should be evaluated based on who has the best methodology for the liberation of the oppressed.</w:t>
      </w:r>
    </w:p>
    <w:p w:rsidR="002E10E5" w:rsidRDefault="002E10E5" w:rsidP="002E10E5">
      <w:pPr>
        <w:pStyle w:val="Heading4"/>
      </w:pPr>
      <w:r>
        <w:t>Lenny and I utilize hip-hop to signify upon the plan radically remixing and reconceptualizing its language. From its inception, Hip-hop has been used as a form of “Matter Mapping” allowing non-powerful knowledge’s, cultures and voices of the disadvantages to be heard by creating a broad linguistic, cultural, and sociosemiotic space. Black and Latino youth undergo a process of desilencing, bringing their experiences to the forefront so they can be valued and critically engaged. Students becomes knowledge producers embodying their perceptions of power rather than replicating generic disembodied approaches. Our sampling of the plan is a sophisticated plat on language redefining the idea of literacy, knowledge and originality making language available to scrutiny.</w:t>
      </w:r>
    </w:p>
    <w:p w:rsidR="002E10E5" w:rsidRDefault="002E10E5" w:rsidP="002E10E5">
      <w:r>
        <w:t>Ibrahim- associate professor, faculty of education, University of Ottowa- 2k8-</w:t>
      </w:r>
    </w:p>
    <w:p w:rsidR="002E10E5" w:rsidRDefault="002E10E5" w:rsidP="002E10E5">
      <w:r>
        <w:t>Awad; Takin Hip Hop to a Whole Nother Level- Global Linguistic Flows- p. 242- 246</w:t>
      </w:r>
    </w:p>
    <w:p w:rsidR="002E10E5" w:rsidRDefault="002E10E5" w:rsidP="002E10E5">
      <w:bookmarkStart w:id="0" w:name="_GoBack"/>
      <w:bookmarkEnd w:id="0"/>
    </w:p>
    <w:p w:rsidR="002E10E5" w:rsidRPr="002E10E5" w:rsidRDefault="002E10E5" w:rsidP="002E10E5">
      <w:r>
        <w:t>Yet, as pedagogues we are…Hip Hop’s in da house!</w:t>
      </w:r>
    </w:p>
    <w:p w:rsidR="00966CF9" w:rsidRDefault="00966CF9" w:rsidP="00966CF9">
      <w:pPr>
        <w:pStyle w:val="Heading2"/>
      </w:pPr>
      <w:r>
        <w:lastRenderedPageBreak/>
        <w:t>2NC</w:t>
      </w:r>
    </w:p>
    <w:p w:rsidR="00966CF9" w:rsidRDefault="00966CF9" w:rsidP="00966CF9">
      <w:pPr>
        <w:pStyle w:val="Heading3"/>
      </w:pPr>
      <w:r>
        <w:lastRenderedPageBreak/>
        <w:t>2NC – Overview</w:t>
      </w:r>
    </w:p>
    <w:p w:rsidR="00966CF9" w:rsidRDefault="00966CF9" w:rsidP="00966CF9">
      <w:pPr>
        <w:pStyle w:val="Nothing"/>
      </w:pPr>
      <w:r>
        <w:rPr>
          <w:color w:val="000000"/>
          <w:sz w:val="16"/>
          <w:szCs w:val="16"/>
        </w:rPr>
        <w:t xml:space="preserve">Charles W. </w:t>
      </w:r>
      <w:r>
        <w:rPr>
          <w:b/>
          <w:color w:val="000000"/>
        </w:rPr>
        <w:t>Mills</w:t>
      </w:r>
      <w:r>
        <w:rPr>
          <w:color w:val="000000"/>
        </w:rPr>
        <w:t xml:space="preserve">, </w:t>
      </w:r>
      <w:r>
        <w:rPr>
          <w:color w:val="000000"/>
          <w:sz w:val="16"/>
          <w:szCs w:val="16"/>
        </w:rPr>
        <w:t>Professor of Philosophy at the University of Illinois, Chicago,</w:t>
      </w:r>
      <w:r>
        <w:rPr>
          <w:color w:val="000000"/>
        </w:rPr>
        <w:t xml:space="preserve"> </w:t>
      </w:r>
      <w:r>
        <w:rPr>
          <w:color w:val="000000"/>
          <w:sz w:val="16"/>
          <w:szCs w:val="16"/>
        </w:rPr>
        <w:t>20</w:t>
      </w:r>
      <w:r>
        <w:rPr>
          <w:b/>
          <w:color w:val="000000"/>
        </w:rPr>
        <w:t>01</w:t>
      </w:r>
      <w:r>
        <w:rPr>
          <w:color w:val="000000"/>
        </w:rPr>
        <w:t xml:space="preserve"> </w:t>
      </w:r>
      <w:r>
        <w:rPr>
          <w:color w:val="000000"/>
          <w:sz w:val="16"/>
          <w:szCs w:val="16"/>
        </w:rPr>
        <w:t>[“Faces of Environmental Racism: Confronting Issues of Global Justice (2nd ed.,), p. 84-89]</w:t>
      </w:r>
    </w:p>
    <w:p w:rsidR="00966CF9" w:rsidRDefault="00966CF9" w:rsidP="00966CF9">
      <w:pPr>
        <w:pStyle w:val="Nothing"/>
        <w:ind w:left="245"/>
        <w:rPr>
          <w:color w:val="000000"/>
          <w:sz w:val="16"/>
          <w:szCs w:val="16"/>
        </w:rPr>
      </w:pPr>
      <w:r>
        <w:rPr>
          <w:color w:val="000000"/>
          <w:sz w:val="16"/>
          <w:szCs w:val="16"/>
        </w:rPr>
        <w:t xml:space="preserve">Black trash, by contrast, is redundant, because “black” already has </w:t>
      </w:r>
    </w:p>
    <w:p w:rsidR="00966CF9" w:rsidRDefault="00966CF9" w:rsidP="00966CF9">
      <w:pPr>
        <w:pStyle w:val="Nothing"/>
        <w:ind w:left="245"/>
        <w:rPr>
          <w:color w:val="000000"/>
          <w:sz w:val="16"/>
          <w:szCs w:val="16"/>
        </w:rPr>
      </w:pPr>
      <w:r>
        <w:rPr>
          <w:color w:val="000000"/>
          <w:sz w:val="16"/>
          <w:szCs w:val="16"/>
        </w:rPr>
        <w:t>AND</w:t>
      </w:r>
    </w:p>
    <w:p w:rsidR="00966CF9" w:rsidRDefault="00966CF9" w:rsidP="00966CF9">
      <w:pPr>
        <w:pStyle w:val="Nothing"/>
        <w:ind w:left="245"/>
      </w:pPr>
      <w:r>
        <w:rPr>
          <w:b/>
          <w:color w:val="000000"/>
          <w:u w:val="single"/>
          <w:shd w:val="clear" w:color="auto" w:fill="FFFF00"/>
        </w:rPr>
        <w:t xml:space="preserve">as the racialized refuse, </w:t>
      </w:r>
      <w:r>
        <w:rPr>
          <w:color w:val="000000"/>
          <w:sz w:val="16"/>
          <w:szCs w:val="16"/>
        </w:rPr>
        <w:t>the black trash, of the white body politi</w:t>
      </w:r>
    </w:p>
    <w:p w:rsidR="00966CF9" w:rsidRDefault="00966CF9" w:rsidP="00966CF9">
      <w:pPr>
        <w:jc w:val="both"/>
      </w:pPr>
    </w:p>
    <w:p w:rsidR="00966CF9" w:rsidRDefault="00966CF9" w:rsidP="00966CF9">
      <w:pPr>
        <w:pStyle w:val="Heading3"/>
      </w:pPr>
      <w:r>
        <w:lastRenderedPageBreak/>
        <w:t>2NC – AT: Roleplaying</w:t>
      </w:r>
    </w:p>
    <w:p w:rsidR="00966CF9" w:rsidRDefault="00966CF9" w:rsidP="00966CF9">
      <w:pPr>
        <w:jc w:val="both"/>
      </w:pPr>
    </w:p>
    <w:p w:rsidR="00966CF9" w:rsidRPr="00D116FB" w:rsidRDefault="00966CF9" w:rsidP="00966CF9">
      <w:pPr>
        <w:jc w:val="both"/>
        <w:rPr>
          <w:rFonts w:ascii="Calibri" w:hAnsi="Calibri"/>
          <w:b/>
        </w:rPr>
      </w:pPr>
      <w:r w:rsidRPr="00D116FB">
        <w:rPr>
          <w:rFonts w:ascii="Calibri" w:hAnsi="Calibri"/>
          <w:b/>
        </w:rPr>
        <w:t>The role-playing method that they advocate forces us to divorce the individual from the immediate self and take on the role of another subject. Learning about liberalism and government action does not necessitat</w:t>
      </w:r>
      <w:r>
        <w:rPr>
          <w:rFonts w:ascii="Calibri" w:hAnsi="Calibri"/>
          <w:b/>
        </w:rPr>
        <w:t>e roleplaying as the govt. Their</w:t>
      </w:r>
      <w:r w:rsidRPr="00D116FB">
        <w:rPr>
          <w:rFonts w:ascii="Calibri" w:hAnsi="Calibri"/>
          <w:b/>
        </w:rPr>
        <w:t xml:space="preserve"> framework generates passive subject and paves the path to tyranny.</w:t>
      </w:r>
    </w:p>
    <w:p w:rsidR="00966CF9" w:rsidRDefault="00966CF9" w:rsidP="00966CF9">
      <w:pPr>
        <w:jc w:val="both"/>
        <w:rPr>
          <w:rFonts w:ascii="Calibri" w:hAnsi="Calibri"/>
          <w:b/>
        </w:rPr>
      </w:pPr>
    </w:p>
    <w:p w:rsidR="00966CF9" w:rsidRPr="00D116FB" w:rsidRDefault="00966CF9" w:rsidP="00966CF9">
      <w:pPr>
        <w:jc w:val="both"/>
        <w:rPr>
          <w:rFonts w:ascii="Calibri" w:hAnsi="Calibri"/>
          <w:sz w:val="22"/>
        </w:rPr>
      </w:pPr>
      <w:r w:rsidRPr="00D116FB">
        <w:rPr>
          <w:rFonts w:ascii="Calibri" w:hAnsi="Calibri"/>
          <w:b/>
        </w:rPr>
        <w:t>Antonio 1995</w:t>
      </w:r>
      <w:r w:rsidRPr="00D116FB">
        <w:rPr>
          <w:rFonts w:ascii="Calibri" w:hAnsi="Calibri"/>
        </w:rPr>
        <w:t xml:space="preserve"> </w:t>
      </w:r>
      <w:r w:rsidRPr="00D116FB">
        <w:rPr>
          <w:rFonts w:ascii="Calibri" w:hAnsi="Calibri"/>
          <w:sz w:val="22"/>
          <w:szCs w:val="22"/>
        </w:rPr>
        <w:t>[Robert; Professor of Sociology at the University of Kansas; Nietzsche’s Antisociology: Subjectified Culture and the End of History; American Journal of Sociology; Volume 101, No. 1; July 1995]</w:t>
      </w:r>
    </w:p>
    <w:p w:rsidR="00966CF9" w:rsidRDefault="00966CF9" w:rsidP="00966CF9">
      <w:pPr>
        <w:jc w:val="both"/>
        <w:rPr>
          <w:rFonts w:ascii="Calibri" w:hAnsi="Calibri"/>
          <w:sz w:val="14"/>
        </w:rPr>
      </w:pPr>
      <w:r w:rsidRPr="00D116FB">
        <w:rPr>
          <w:rFonts w:ascii="Calibri" w:hAnsi="Calibri"/>
          <w:sz w:val="14"/>
        </w:rPr>
        <w:t>While modern theorists saw differentiated roles and professions as a matrix of autonomy and reflexivity</w:t>
      </w:r>
    </w:p>
    <w:p w:rsidR="00966CF9" w:rsidRDefault="00966CF9" w:rsidP="00966CF9">
      <w:pPr>
        <w:jc w:val="both"/>
        <w:rPr>
          <w:rFonts w:ascii="Calibri" w:hAnsi="Calibri"/>
          <w:sz w:val="14"/>
        </w:rPr>
      </w:pPr>
      <w:r>
        <w:rPr>
          <w:rFonts w:ascii="Calibri" w:hAnsi="Calibri"/>
          <w:sz w:val="14"/>
        </w:rPr>
        <w:t>AND</w:t>
      </w:r>
    </w:p>
    <w:p w:rsidR="00966CF9" w:rsidRPr="00D116FB" w:rsidRDefault="00966CF9" w:rsidP="00966CF9">
      <w:pPr>
        <w:jc w:val="both"/>
        <w:rPr>
          <w:rFonts w:ascii="Calibri" w:hAnsi="Calibri"/>
          <w:sz w:val="14"/>
        </w:rPr>
      </w:pPr>
      <w:r w:rsidRPr="00D116FB">
        <w:rPr>
          <w:rFonts w:ascii="Calibri" w:hAnsi="Calibri"/>
          <w:sz w:val="14"/>
        </w:rPr>
        <w:t>117-18, 213, 288-89, 303-4).</w:t>
      </w:r>
    </w:p>
    <w:p w:rsidR="00966CF9" w:rsidRDefault="00966CF9" w:rsidP="00966CF9">
      <w:pPr>
        <w:jc w:val="both"/>
      </w:pPr>
    </w:p>
    <w:p w:rsidR="00966CF9" w:rsidRPr="000A6E01" w:rsidRDefault="00966CF9" w:rsidP="00966CF9">
      <w:pPr>
        <w:pStyle w:val="Heading3"/>
      </w:pPr>
      <w:r>
        <w:lastRenderedPageBreak/>
        <w:t xml:space="preserve">2NC – AT: Objectivity </w:t>
      </w:r>
    </w:p>
    <w:p w:rsidR="00966CF9" w:rsidRPr="005B4F57" w:rsidRDefault="00966CF9" w:rsidP="00966CF9">
      <w:pPr>
        <w:widowControl w:val="0"/>
        <w:autoSpaceDE w:val="0"/>
        <w:autoSpaceDN w:val="0"/>
        <w:adjustRightInd w:val="0"/>
        <w:rPr>
          <w:rFonts w:cs="Arial"/>
          <w:sz w:val="16"/>
          <w:szCs w:val="16"/>
        </w:rPr>
      </w:pPr>
      <w:r w:rsidRPr="005B4F57">
        <w:rPr>
          <w:rFonts w:cs="Arial"/>
          <w:sz w:val="26"/>
          <w:szCs w:val="26"/>
        </w:rPr>
        <w:t xml:space="preserve">Kimberle Williams </w:t>
      </w:r>
      <w:r w:rsidRPr="005B4F57">
        <w:rPr>
          <w:rFonts w:cs="Arial"/>
          <w:b/>
          <w:bCs/>
          <w:sz w:val="26"/>
          <w:szCs w:val="26"/>
          <w:u w:val="single"/>
        </w:rPr>
        <w:t>Crenshaw</w:t>
      </w:r>
      <w:r w:rsidRPr="005B4F57">
        <w:rPr>
          <w:rFonts w:cs="Arial"/>
          <w:b/>
          <w:bCs/>
          <w:sz w:val="26"/>
          <w:szCs w:val="26"/>
        </w:rPr>
        <w:t xml:space="preserve"> </w:t>
      </w:r>
      <w:r w:rsidRPr="005B4F57">
        <w:rPr>
          <w:rFonts w:cs="Arial"/>
          <w:sz w:val="26"/>
          <w:szCs w:val="26"/>
        </w:rPr>
        <w:t xml:space="preserve">– </w:t>
      </w:r>
      <w:r w:rsidRPr="005B4F57">
        <w:rPr>
          <w:rFonts w:cs="Arial"/>
          <w:sz w:val="16"/>
          <w:szCs w:val="16"/>
        </w:rPr>
        <w:t>Professor at UCLA- 19</w:t>
      </w:r>
      <w:r w:rsidRPr="005B4F57">
        <w:rPr>
          <w:rFonts w:cs="Arial"/>
          <w:b/>
          <w:bCs/>
          <w:sz w:val="16"/>
          <w:szCs w:val="16"/>
        </w:rPr>
        <w:t xml:space="preserve">94- </w:t>
      </w:r>
      <w:r w:rsidRPr="005B4F57">
        <w:rPr>
          <w:rFonts w:cs="Arial"/>
          <w:sz w:val="16"/>
          <w:szCs w:val="16"/>
        </w:rPr>
        <w:t>Southern California Review of Law and Women's Studies- Southern California Review of Law and Women's Studies- FOREWORD: TOWARD A RACE-CONSCIOUS PEDAGOGY IN LEGAL</w:t>
      </w:r>
      <w:r w:rsidRPr="005B4F57">
        <w:rPr>
          <w:rFonts w:cs="Arial"/>
          <w:sz w:val="26"/>
          <w:szCs w:val="26"/>
        </w:rPr>
        <w:t xml:space="preserve"> </w:t>
      </w:r>
      <w:r w:rsidRPr="005B4F57">
        <w:rPr>
          <w:rFonts w:cs="Arial"/>
          <w:sz w:val="16"/>
          <w:szCs w:val="16"/>
        </w:rPr>
        <w:t>EDUCATION - Fall, 1994- 4 S. Cal. Rev. L. &amp; Women's Stud. 33- lexis</w:t>
      </w:r>
    </w:p>
    <w:p w:rsidR="00966CF9" w:rsidRDefault="00966CF9" w:rsidP="00966CF9">
      <w:pPr>
        <w:jc w:val="both"/>
        <w:rPr>
          <w:rFonts w:cs="Arial"/>
          <w:b/>
          <w:bCs/>
          <w:highlight w:val="yellow"/>
          <w:u w:val="single"/>
        </w:rPr>
      </w:pPr>
      <w:r w:rsidRPr="00AB2309">
        <w:rPr>
          <w:rFonts w:cs="Arial"/>
          <w:b/>
          <w:bCs/>
          <w:highlight w:val="yellow"/>
          <w:u w:val="single"/>
        </w:rPr>
        <w:t xml:space="preserve">Many of these problems could be averted if professors framed discussions so that the boundaries </w:t>
      </w:r>
    </w:p>
    <w:p w:rsidR="00966CF9" w:rsidRDefault="00966CF9" w:rsidP="00966CF9">
      <w:pPr>
        <w:jc w:val="both"/>
        <w:rPr>
          <w:rFonts w:cs="Arial"/>
          <w:b/>
          <w:bCs/>
          <w:highlight w:val="yellow"/>
          <w:u w:val="single"/>
        </w:rPr>
      </w:pPr>
      <w:r>
        <w:rPr>
          <w:rFonts w:cs="Arial"/>
          <w:b/>
          <w:bCs/>
          <w:highlight w:val="yellow"/>
          <w:u w:val="single"/>
        </w:rPr>
        <w:t>AND</w:t>
      </w:r>
    </w:p>
    <w:p w:rsidR="00966CF9" w:rsidRDefault="00966CF9" w:rsidP="00966CF9">
      <w:pPr>
        <w:jc w:val="both"/>
        <w:rPr>
          <w:rFonts w:cs="Arial"/>
          <w:b/>
          <w:bCs/>
        </w:rPr>
      </w:pPr>
      <w:r w:rsidRPr="005B4F57">
        <w:rPr>
          <w:rFonts w:cs="Arial"/>
          <w:b/>
          <w:bCs/>
        </w:rPr>
        <w:t xml:space="preserve">privilege the perspectives and interests of some groups over others </w:t>
      </w:r>
      <w:r w:rsidRPr="00AB2309">
        <w:rPr>
          <w:rFonts w:cs="Arial"/>
          <w:b/>
          <w:bCs/>
          <w:highlight w:val="yellow"/>
          <w:u w:val="single"/>
        </w:rPr>
        <w:t>will go unrecognized</w:t>
      </w:r>
      <w:r w:rsidRPr="005B4F57">
        <w:rPr>
          <w:rFonts w:cs="Arial"/>
          <w:b/>
          <w:bCs/>
          <w:highlight w:val="yellow"/>
        </w:rPr>
        <w:t>.</w:t>
      </w:r>
    </w:p>
    <w:p w:rsidR="00966CF9" w:rsidRDefault="00966CF9" w:rsidP="00966CF9">
      <w:pPr>
        <w:jc w:val="both"/>
        <w:rPr>
          <w:rFonts w:cs="Arial"/>
          <w:b/>
          <w:bCs/>
        </w:rPr>
      </w:pPr>
    </w:p>
    <w:p w:rsidR="00966CF9" w:rsidRDefault="00966CF9" w:rsidP="00966CF9">
      <w:pPr>
        <w:jc w:val="both"/>
        <w:rPr>
          <w:rFonts w:cs="Arial"/>
          <w:b/>
          <w:bCs/>
        </w:rPr>
      </w:pPr>
    </w:p>
    <w:p w:rsidR="00966CF9" w:rsidRDefault="00966CF9" w:rsidP="00966CF9">
      <w:pPr>
        <w:pStyle w:val="Heading3"/>
      </w:pPr>
      <w:r>
        <w:lastRenderedPageBreak/>
        <w:t>2NC – AT: Minority Participation in Technocracy</w:t>
      </w:r>
    </w:p>
    <w:p w:rsidR="00966CF9" w:rsidRDefault="00966CF9" w:rsidP="00966CF9">
      <w:pPr>
        <w:jc w:val="both"/>
        <w:rPr>
          <w:rFonts w:cs="Arial"/>
          <w:b/>
          <w:bCs/>
        </w:rPr>
      </w:pPr>
    </w:p>
    <w:p w:rsidR="00966CF9" w:rsidRDefault="00966CF9" w:rsidP="00966CF9">
      <w:pPr>
        <w:rPr>
          <w:b/>
          <w:bCs/>
          <w:u w:val="single"/>
        </w:rPr>
      </w:pPr>
      <w:r>
        <w:rPr>
          <w:b/>
          <w:bCs/>
        </w:rPr>
        <w:t>Cole and Foster- 2001</w:t>
      </w:r>
      <w:r w:rsidRPr="00F32EB3">
        <w:rPr>
          <w:sz w:val="16"/>
          <w:szCs w:val="16"/>
        </w:rPr>
        <w:t xml:space="preserve">- </w:t>
      </w:r>
      <w:r w:rsidRPr="00F32EB3">
        <w:rPr>
          <w:rStyle w:val="Emphasis"/>
          <w:sz w:val="16"/>
          <w:szCs w:val="16"/>
        </w:rPr>
        <w:t>Luke Cole is</w:t>
      </w:r>
      <w:r w:rsidRPr="00F32EB3">
        <w:rPr>
          <w:sz w:val="16"/>
          <w:szCs w:val="16"/>
        </w:rPr>
        <w:t xml:space="preserve"> director of the Center on Race, Poverty &amp; the Environment in San Francisco. </w:t>
      </w:r>
      <w:r w:rsidRPr="00F32EB3">
        <w:rPr>
          <w:rStyle w:val="Emphasis"/>
          <w:sz w:val="16"/>
          <w:szCs w:val="16"/>
        </w:rPr>
        <w:t>Sheila Foster is</w:t>
      </w:r>
      <w:r w:rsidRPr="00F32EB3">
        <w:rPr>
          <w:sz w:val="16"/>
          <w:szCs w:val="16"/>
        </w:rPr>
        <w:t xml:space="preserve"> the Vice Dean for Academic Affairs and the Albert A. Walsh Professor of Real Estate, Land Use and Property Law at Fordham University. - FROM THE GROUND UP ENVIRONMENTAL RACISM AND THE RISE OF THE ENVIRONMENTAL JUSTICE MOVEMENT-p. 103-134</w:t>
      </w:r>
    </w:p>
    <w:p w:rsidR="00966CF9" w:rsidRDefault="00966CF9" w:rsidP="00966CF9">
      <w:pPr>
        <w:jc w:val="both"/>
        <w:rPr>
          <w:b/>
          <w:bCs/>
          <w:highlight w:val="yellow"/>
          <w:u w:val="single"/>
        </w:rPr>
      </w:pPr>
      <w:r w:rsidRPr="00F32EB3">
        <w:rPr>
          <w:b/>
          <w:bCs/>
          <w:highlight w:val="yellow"/>
          <w:u w:val="single"/>
        </w:rPr>
        <w:t xml:space="preserve">Despite basic notice and comment requirements, many communities do not receive adequate notice and </w:t>
      </w:r>
    </w:p>
    <w:p w:rsidR="00966CF9" w:rsidRDefault="00966CF9" w:rsidP="00966CF9">
      <w:pPr>
        <w:jc w:val="both"/>
        <w:rPr>
          <w:b/>
          <w:bCs/>
          <w:highlight w:val="yellow"/>
          <w:u w:val="single"/>
        </w:rPr>
      </w:pPr>
      <w:r>
        <w:rPr>
          <w:b/>
          <w:bCs/>
          <w:highlight w:val="yellow"/>
          <w:u w:val="single"/>
        </w:rPr>
        <w:t>AND</w:t>
      </w:r>
    </w:p>
    <w:p w:rsidR="00966CF9" w:rsidRPr="005B4F57" w:rsidRDefault="00966CF9" w:rsidP="00966CF9">
      <w:pPr>
        <w:jc w:val="both"/>
      </w:pPr>
      <w:r w:rsidRPr="00F32EB3">
        <w:rPr>
          <w:b/>
          <w:bCs/>
          <w:highlight w:val="yellow"/>
          <w:u w:val="single"/>
        </w:rPr>
        <w:t>of a consensus” necessary for a legitimate decision-making process.</w:t>
      </w:r>
      <w:r>
        <w:t xml:space="preserve"> 16</w:t>
      </w:r>
    </w:p>
    <w:p w:rsidR="00966CF9" w:rsidRDefault="00966CF9" w:rsidP="00966CF9"/>
    <w:p w:rsidR="00966CF9" w:rsidRDefault="00966CF9" w:rsidP="00966CF9">
      <w:pPr>
        <w:pStyle w:val="Heading2"/>
      </w:pPr>
      <w:r>
        <w:lastRenderedPageBreak/>
        <w:t>1NR</w:t>
      </w:r>
    </w:p>
    <w:p w:rsidR="000022F2" w:rsidRDefault="00966CF9" w:rsidP="00966CF9">
      <w:pPr>
        <w:pStyle w:val="Heading3"/>
      </w:pPr>
      <w:r>
        <w:lastRenderedPageBreak/>
        <w:t>1NR – AT: Perm</w:t>
      </w:r>
    </w:p>
    <w:p w:rsidR="00966CF9" w:rsidRPr="008D0B66" w:rsidRDefault="00966CF9" w:rsidP="00966CF9">
      <w:pPr>
        <w:spacing w:before="100" w:beforeAutospacing="1" w:after="100" w:afterAutospacing="1"/>
        <w:contextualSpacing/>
        <w:rPr>
          <w:rFonts w:ascii="Verdana" w:hAnsi="Verdana"/>
          <w:sz w:val="16"/>
          <w:szCs w:val="16"/>
        </w:rPr>
      </w:pPr>
      <w:r w:rsidRPr="008D0B66">
        <w:rPr>
          <w:rFonts w:ascii="Verdana" w:hAnsi="Verdana"/>
          <w:b/>
          <w:iCs/>
        </w:rPr>
        <w:t>Yancy</w:t>
      </w:r>
      <w:r w:rsidRPr="008D0B66">
        <w:rPr>
          <w:rFonts w:ascii="Verdana" w:hAnsi="Verdana"/>
          <w:b/>
          <w:i/>
          <w:iCs/>
        </w:rPr>
        <w:t xml:space="preserve"> 05</w:t>
      </w:r>
      <w:r w:rsidRPr="008D0B66">
        <w:rPr>
          <w:rFonts w:ascii="Verdana" w:hAnsi="Verdana"/>
          <w:i/>
          <w:iCs/>
        </w:rPr>
        <w:t xml:space="preserve"> </w:t>
      </w:r>
      <w:r w:rsidRPr="008D0B66">
        <w:rPr>
          <w:rFonts w:ascii="Verdana" w:hAnsi="Verdana"/>
          <w:i/>
          <w:iCs/>
          <w:sz w:val="16"/>
          <w:szCs w:val="16"/>
        </w:rPr>
        <w:t>Journal of Speculative Philosophy</w:t>
      </w:r>
      <w:r w:rsidRPr="008D0B66">
        <w:rPr>
          <w:rFonts w:ascii="Verdana" w:hAnsi="Verdana"/>
          <w:sz w:val="16"/>
          <w:szCs w:val="16"/>
        </w:rPr>
        <w:t xml:space="preserve"> 19.4 (2005) 215-241</w:t>
      </w:r>
    </w:p>
    <w:p w:rsidR="00966CF9" w:rsidRDefault="00966CF9" w:rsidP="00966CF9">
      <w:pPr>
        <w:rPr>
          <w:rFonts w:ascii="Verdana" w:hAnsi="Verdana" w:cs="Arial"/>
          <w:b/>
          <w:szCs w:val="20"/>
          <w:highlight w:val="yellow"/>
          <w:u w:val="single"/>
        </w:rPr>
      </w:pPr>
      <w:r w:rsidRPr="008D0B66">
        <w:rPr>
          <w:rFonts w:ascii="Verdana" w:hAnsi="Verdana" w:cs="Arial"/>
          <w:b/>
          <w:szCs w:val="20"/>
          <w:highlight w:val="yellow"/>
          <w:u w:val="single"/>
        </w:rPr>
        <w:t xml:space="preserve">I write out of a personal existential context. This context is a profound source </w:t>
      </w:r>
    </w:p>
    <w:p w:rsidR="00966CF9" w:rsidRDefault="00966CF9" w:rsidP="00966CF9">
      <w:pPr>
        <w:rPr>
          <w:rFonts w:ascii="Verdana" w:hAnsi="Verdana" w:cs="Arial"/>
          <w:b/>
          <w:szCs w:val="20"/>
          <w:highlight w:val="yellow"/>
          <w:u w:val="single"/>
        </w:rPr>
      </w:pPr>
      <w:r>
        <w:rPr>
          <w:rFonts w:ascii="Verdana" w:hAnsi="Verdana" w:cs="Arial"/>
          <w:b/>
          <w:szCs w:val="20"/>
          <w:highlight w:val="yellow"/>
          <w:u w:val="single"/>
        </w:rPr>
        <w:t>AND</w:t>
      </w:r>
    </w:p>
    <w:p w:rsidR="00966CF9" w:rsidRDefault="00966CF9" w:rsidP="00966CF9">
      <w:pPr>
        <w:rPr>
          <w:rFonts w:ascii="Verdana" w:hAnsi="Verdana" w:cs="Arial"/>
          <w:sz w:val="20"/>
          <w:szCs w:val="20"/>
        </w:rPr>
      </w:pPr>
      <w:r w:rsidRPr="008D0B66">
        <w:rPr>
          <w:rFonts w:ascii="Verdana" w:hAnsi="Verdana" w:cs="Arial"/>
          <w:b/>
          <w:szCs w:val="20"/>
          <w:highlight w:val="yellow"/>
          <w:u w:val="single"/>
        </w:rPr>
        <w:t>demotion along a scale of human value</w:t>
      </w:r>
      <w:r w:rsidRPr="008D0B66">
        <w:rPr>
          <w:rFonts w:ascii="Verdana" w:hAnsi="Verdana" w:cs="Arial"/>
          <w:b/>
          <w:szCs w:val="20"/>
          <w:highlight w:val="yellow"/>
        </w:rPr>
        <w:t>"</w:t>
      </w:r>
      <w:r w:rsidRPr="008D0B66">
        <w:rPr>
          <w:rFonts w:ascii="Verdana" w:hAnsi="Verdana" w:cs="Arial"/>
          <w:szCs w:val="20"/>
        </w:rPr>
        <w:t xml:space="preserve"> </w:t>
      </w:r>
      <w:r w:rsidRPr="008D0B66">
        <w:rPr>
          <w:rFonts w:ascii="Verdana" w:hAnsi="Verdana" w:cs="Arial"/>
          <w:sz w:val="20"/>
          <w:szCs w:val="20"/>
        </w:rPr>
        <w:t>(Snead 1994, 4).</w:t>
      </w:r>
    </w:p>
    <w:p w:rsidR="00966CF9" w:rsidRPr="008D0B66" w:rsidRDefault="00966CF9" w:rsidP="00966CF9">
      <w:pPr>
        <w:contextualSpacing/>
        <w:rPr>
          <w:rFonts w:ascii="Verdana" w:hAnsi="Verdana"/>
          <w:b/>
          <w:sz w:val="22"/>
        </w:rPr>
      </w:pPr>
      <w:r>
        <w:rPr>
          <w:rFonts w:ascii="Verdana" w:hAnsi="Verdana" w:cs="Arial"/>
          <w:sz w:val="20"/>
          <w:szCs w:val="20"/>
        </w:rPr>
        <w:br w:type="column"/>
      </w:r>
      <w:r w:rsidRPr="008D0B66">
        <w:rPr>
          <w:rFonts w:ascii="Verdana" w:hAnsi="Verdana"/>
          <w:b/>
          <w:sz w:val="22"/>
        </w:rPr>
        <w:lastRenderedPageBreak/>
        <w:t xml:space="preserve">The permutation contains difference locking the counterplan into a nounified entity erasing black inventiveness. The counterplan is embodied our action is verb-al constantly moving and evolving. Their attempt to locate the counterplan into a static position closes down escape routes for black culture. Allowing the counterplan to be is the only to solve. </w:t>
      </w:r>
    </w:p>
    <w:p w:rsidR="00966CF9" w:rsidRPr="008D0B66" w:rsidRDefault="00966CF9" w:rsidP="00966CF9">
      <w:pPr>
        <w:contextualSpacing/>
        <w:rPr>
          <w:rFonts w:ascii="Verdana" w:hAnsi="Verdana"/>
          <w:sz w:val="16"/>
          <w:szCs w:val="16"/>
        </w:rPr>
      </w:pPr>
      <w:r w:rsidRPr="008D0B66">
        <w:rPr>
          <w:rFonts w:ascii="Verdana" w:hAnsi="Verdana"/>
          <w:b/>
        </w:rPr>
        <w:t>Nealon</w:t>
      </w:r>
      <w:r w:rsidRPr="008D0B66">
        <w:rPr>
          <w:rFonts w:ascii="Verdana" w:hAnsi="Verdana"/>
        </w:rPr>
        <w:t xml:space="preserve">, </w:t>
      </w:r>
      <w:r w:rsidRPr="008D0B66">
        <w:rPr>
          <w:rFonts w:ascii="Verdana" w:hAnsi="Verdana"/>
          <w:sz w:val="16"/>
          <w:szCs w:val="16"/>
        </w:rPr>
        <w:t>Jeffrey, Refraining: Becoming Black</w:t>
      </w:r>
      <w:r w:rsidRPr="008D0B66">
        <w:rPr>
          <w:rFonts w:ascii="Verdana" w:hAnsi="Verdana"/>
        </w:rPr>
        <w:t xml:space="preserve"> </w:t>
      </w:r>
      <w:r w:rsidRPr="008D0B66">
        <w:rPr>
          <w:rFonts w:ascii="Verdana" w:hAnsi="Verdana"/>
          <w:b/>
        </w:rPr>
        <w:t>98</w:t>
      </w:r>
      <w:r w:rsidRPr="008D0B66">
        <w:rPr>
          <w:rFonts w:ascii="Verdana" w:hAnsi="Verdana"/>
        </w:rPr>
        <w:t xml:space="preserve"> </w:t>
      </w:r>
      <w:r w:rsidRPr="008D0B66">
        <w:rPr>
          <w:rFonts w:ascii="Verdana" w:hAnsi="Verdana"/>
          <w:sz w:val="16"/>
          <w:szCs w:val="16"/>
        </w:rPr>
        <w:t>symploke 6.1 (1998) 83-86</w:t>
      </w:r>
    </w:p>
    <w:p w:rsidR="00966CF9" w:rsidRDefault="00966CF9" w:rsidP="00966CF9">
      <w:pPr>
        <w:rPr>
          <w:rFonts w:ascii="Verdana" w:hAnsi="Verdana" w:cs="Arial"/>
          <w:sz w:val="20"/>
          <w:szCs w:val="20"/>
        </w:rPr>
      </w:pPr>
      <w:r w:rsidRPr="008D0B66">
        <w:rPr>
          <w:rFonts w:ascii="Verdana" w:hAnsi="Verdana" w:cs="Arial"/>
          <w:b/>
          <w:szCs w:val="20"/>
          <w:highlight w:val="yellow"/>
          <w:u w:val="single"/>
        </w:rPr>
        <w:t>"From verb to noun" means the erasure of black inventiveness</w:t>
      </w:r>
      <w:r w:rsidRPr="008D0B66">
        <w:rPr>
          <w:rFonts w:ascii="Verdana" w:hAnsi="Verdana" w:cs="Arial"/>
          <w:sz w:val="20"/>
          <w:szCs w:val="20"/>
        </w:rPr>
        <w:t xml:space="preserve"> . . . </w:t>
      </w:r>
    </w:p>
    <w:p w:rsidR="00966CF9" w:rsidRDefault="00966CF9" w:rsidP="00966CF9">
      <w:pPr>
        <w:rPr>
          <w:rFonts w:ascii="Verdana" w:hAnsi="Verdana" w:cs="Arial"/>
          <w:sz w:val="20"/>
          <w:szCs w:val="20"/>
        </w:rPr>
      </w:pPr>
      <w:r>
        <w:rPr>
          <w:rFonts w:ascii="Verdana" w:hAnsi="Verdana" w:cs="Arial"/>
          <w:sz w:val="20"/>
          <w:szCs w:val="20"/>
        </w:rPr>
        <w:t>AND</w:t>
      </w:r>
    </w:p>
    <w:p w:rsidR="00966CF9" w:rsidRDefault="00966CF9" w:rsidP="00966CF9">
      <w:pPr>
        <w:rPr>
          <w:rFonts w:ascii="Verdana" w:hAnsi="Verdana" w:cs="Arial"/>
          <w:b/>
          <w:szCs w:val="20"/>
          <w:u w:val="single"/>
        </w:rPr>
      </w:pPr>
      <w:r w:rsidRPr="008D0B66">
        <w:rPr>
          <w:rFonts w:ascii="Verdana" w:hAnsi="Verdana" w:cs="Arial"/>
          <w:b/>
          <w:szCs w:val="20"/>
          <w:highlight w:val="yellow"/>
          <w:u w:val="single"/>
        </w:rPr>
        <w:t>noun has</w:t>
      </w:r>
      <w:r w:rsidRPr="008D0B66">
        <w:rPr>
          <w:rFonts w:ascii="Verdana" w:hAnsi="Verdana" w:cs="Arial"/>
          <w:sz w:val="16"/>
          <w:szCs w:val="16"/>
        </w:rPr>
        <w:t xml:space="preserve"> in fact</w:t>
      </w:r>
      <w:r w:rsidRPr="008D0B66">
        <w:rPr>
          <w:rFonts w:ascii="Verdana" w:hAnsi="Verdana" w:cs="Arial"/>
          <w:b/>
          <w:sz w:val="20"/>
          <w:szCs w:val="20"/>
          <w:u w:val="single"/>
        </w:rPr>
        <w:t xml:space="preserve"> </w:t>
      </w:r>
      <w:r w:rsidRPr="008D0B66">
        <w:rPr>
          <w:rFonts w:ascii="Verdana" w:hAnsi="Verdana" w:cs="Arial"/>
          <w:b/>
          <w:szCs w:val="20"/>
          <w:highlight w:val="yellow"/>
          <w:u w:val="single"/>
        </w:rPr>
        <w:t>been "disastrous for</w:t>
      </w:r>
      <w:r w:rsidRPr="008D0B66">
        <w:rPr>
          <w:rFonts w:ascii="Verdana" w:hAnsi="Verdana" w:cs="Arial"/>
          <w:sz w:val="16"/>
          <w:szCs w:val="16"/>
        </w:rPr>
        <w:t xml:space="preserve"> the entire philosophy of </w:t>
      </w:r>
      <w:r w:rsidRPr="008D0B66">
        <w:rPr>
          <w:rFonts w:ascii="Verdana" w:hAnsi="Verdana" w:cs="Arial"/>
          <w:b/>
          <w:szCs w:val="20"/>
          <w:highlight w:val="yellow"/>
          <w:u w:val="single"/>
        </w:rPr>
        <w:t>difference</w:t>
      </w:r>
      <w:r w:rsidRPr="008D0B66">
        <w:rPr>
          <w:rFonts w:ascii="Verdana" w:hAnsi="Verdana" w:cs="Arial"/>
          <w:b/>
          <w:szCs w:val="20"/>
          <w:u w:val="single"/>
        </w:rPr>
        <w:t>.</w:t>
      </w:r>
    </w:p>
    <w:p w:rsidR="00966CF9" w:rsidRDefault="00966CF9" w:rsidP="00966CF9">
      <w:pPr>
        <w:pStyle w:val="Heading3"/>
      </w:pPr>
      <w:r>
        <w:lastRenderedPageBreak/>
        <w:t>1NR – CP/Alt Solvency</w:t>
      </w:r>
    </w:p>
    <w:p w:rsidR="00966CF9" w:rsidRPr="008D0B66" w:rsidRDefault="00966CF9" w:rsidP="00966CF9">
      <w:pPr>
        <w:contextualSpacing/>
        <w:rPr>
          <w:rFonts w:ascii="Verdana" w:hAnsi="Verdana"/>
          <w:b/>
        </w:rPr>
      </w:pPr>
      <w:r>
        <w:rPr>
          <w:rFonts w:ascii="Verdana" w:hAnsi="Verdana" w:cs="Arial"/>
          <w:b/>
          <w:szCs w:val="20"/>
          <w:u w:val="single"/>
        </w:rPr>
        <w:br w:type="column"/>
      </w:r>
      <w:r w:rsidRPr="008D0B66">
        <w:rPr>
          <w:rFonts w:ascii="Verdana" w:hAnsi="Verdana"/>
          <w:b/>
          <w:bCs/>
        </w:rPr>
        <w:lastRenderedPageBreak/>
        <w:t>Performance comes first. We don't seek to completely destroy Western language or thought, only interject our bodies and knowledge into this space to prevent its homogenizing tendencies. Our incorporation of the plan into our local knowledge tradition is a first step to create debate as a space to negotiation trust between distinct intellectual traditions rather than violently erasing it in the name of consensus.</w:t>
      </w:r>
    </w:p>
    <w:p w:rsidR="00966CF9" w:rsidRPr="008D0B66" w:rsidRDefault="00966CF9" w:rsidP="00966CF9">
      <w:pPr>
        <w:contextualSpacing/>
        <w:rPr>
          <w:rFonts w:ascii="Verdana" w:hAnsi="Verdana"/>
        </w:rPr>
      </w:pPr>
      <w:r w:rsidRPr="008D0B66">
        <w:rPr>
          <w:rFonts w:ascii="Verdana" w:hAnsi="Verdana"/>
        </w:rPr>
        <w:t xml:space="preserve">Noel </w:t>
      </w:r>
      <w:r w:rsidRPr="008D0B66">
        <w:rPr>
          <w:rFonts w:ascii="Verdana" w:hAnsi="Verdana"/>
          <w:b/>
          <w:bCs/>
          <w:highlight w:val="yellow"/>
        </w:rPr>
        <w:t>Gough</w:t>
      </w:r>
      <w:r w:rsidRPr="008D0B66">
        <w:rPr>
          <w:rFonts w:ascii="Verdana" w:hAnsi="Verdana"/>
          <w:b/>
          <w:bCs/>
        </w:rPr>
        <w:t xml:space="preserve"> </w:t>
      </w:r>
      <w:r w:rsidRPr="008D0B66">
        <w:rPr>
          <w:rFonts w:ascii="Verdana" w:hAnsi="Verdana"/>
          <w:sz w:val="16"/>
          <w:szCs w:val="16"/>
        </w:rPr>
        <w:t xml:space="preserve">- Deakin University, Victoria, Australia – </w:t>
      </w:r>
      <w:r w:rsidRPr="008D0B66">
        <w:rPr>
          <w:rFonts w:ascii="Verdana" w:hAnsi="Verdana"/>
          <w:bCs/>
          <w:sz w:val="16"/>
          <w:szCs w:val="16"/>
        </w:rPr>
        <w:t>20</w:t>
      </w:r>
      <w:r w:rsidRPr="008D0B66">
        <w:rPr>
          <w:rFonts w:ascii="Verdana" w:hAnsi="Verdana"/>
          <w:b/>
          <w:bCs/>
          <w:highlight w:val="yellow"/>
        </w:rPr>
        <w:t>2K2</w:t>
      </w:r>
      <w:r w:rsidRPr="008D0B66">
        <w:rPr>
          <w:rFonts w:ascii="Verdana" w:hAnsi="Verdana"/>
        </w:rPr>
        <w:t xml:space="preserve">- </w:t>
      </w:r>
    </w:p>
    <w:p w:rsidR="00966CF9" w:rsidRPr="008D0B66" w:rsidRDefault="00966CF9" w:rsidP="00966CF9">
      <w:pPr>
        <w:contextualSpacing/>
        <w:rPr>
          <w:rFonts w:ascii="Verdana" w:hAnsi="Verdana"/>
          <w:sz w:val="16"/>
          <w:szCs w:val="16"/>
        </w:rPr>
      </w:pPr>
      <w:r w:rsidRPr="008D0B66">
        <w:rPr>
          <w:rFonts w:ascii="Verdana" w:hAnsi="Verdana"/>
          <w:sz w:val="16"/>
          <w:szCs w:val="16"/>
        </w:rPr>
        <w:t xml:space="preserve">Thinking/acting locally/globally: Western science and environmental education in a global knowledge economy  - International Journal of Science Education (Special Edition: Environmental Education </w:t>
      </w:r>
    </w:p>
    <w:p w:rsidR="00966CF9" w:rsidRDefault="00966CF9" w:rsidP="00966CF9">
      <w:pPr>
        <w:contextualSpacing/>
        <w:rPr>
          <w:rFonts w:ascii="Verdana" w:hAnsi="Verdana"/>
          <w:sz w:val="16"/>
          <w:szCs w:val="16"/>
        </w:rPr>
      </w:pPr>
      <w:r w:rsidRPr="008D0B66">
        <w:rPr>
          <w:rFonts w:ascii="Verdana" w:hAnsi="Verdana"/>
          <w:sz w:val="16"/>
          <w:szCs w:val="16"/>
        </w:rPr>
        <w:t>and Science Education), 24 (11) 2002, pp. 1217-1237.</w:t>
      </w:r>
    </w:p>
    <w:p w:rsidR="00F71AF9" w:rsidRPr="008D0B66" w:rsidRDefault="00F71AF9" w:rsidP="00966CF9">
      <w:pPr>
        <w:contextualSpacing/>
        <w:rPr>
          <w:rFonts w:ascii="Verdana" w:hAnsi="Verdana"/>
          <w:sz w:val="16"/>
          <w:szCs w:val="16"/>
        </w:rPr>
      </w:pPr>
    </w:p>
    <w:p w:rsidR="00F71AF9" w:rsidRDefault="00966CF9" w:rsidP="00966CF9">
      <w:pPr>
        <w:rPr>
          <w:rFonts w:ascii="Verdana" w:hAnsi="Verdana"/>
          <w:sz w:val="16"/>
          <w:szCs w:val="16"/>
        </w:rPr>
      </w:pPr>
      <w:r w:rsidRPr="008D0B66">
        <w:rPr>
          <w:rFonts w:ascii="Verdana" w:hAnsi="Verdana"/>
          <w:sz w:val="16"/>
          <w:szCs w:val="16"/>
        </w:rPr>
        <w:t>He continues</w:t>
      </w:r>
      <w:r w:rsidRPr="008D0B66">
        <w:rPr>
          <w:rFonts w:ascii="Verdana" w:hAnsi="Verdana"/>
        </w:rPr>
        <w:t xml:space="preserve"> </w:t>
      </w:r>
      <w:r w:rsidRPr="008D0B66">
        <w:rPr>
          <w:rFonts w:ascii="Verdana" w:hAnsi="Verdana"/>
          <w:sz w:val="16"/>
          <w:szCs w:val="16"/>
        </w:rPr>
        <w:t xml:space="preserve">However, I would like to argue that a particularly perspicuous cross- </w:t>
      </w:r>
    </w:p>
    <w:p w:rsidR="00F71AF9" w:rsidRDefault="00F71AF9" w:rsidP="00966CF9">
      <w:pPr>
        <w:rPr>
          <w:rFonts w:ascii="Verdana" w:hAnsi="Verdana"/>
          <w:sz w:val="16"/>
          <w:szCs w:val="16"/>
        </w:rPr>
      </w:pPr>
      <w:r>
        <w:rPr>
          <w:rFonts w:ascii="Verdana" w:hAnsi="Verdana"/>
          <w:sz w:val="16"/>
          <w:szCs w:val="16"/>
        </w:rPr>
        <w:t>AND</w:t>
      </w:r>
    </w:p>
    <w:p w:rsidR="00966CF9" w:rsidRDefault="00966CF9" w:rsidP="00966CF9">
      <w:r w:rsidRPr="008D0B66">
        <w:rPr>
          <w:rFonts w:ascii="Verdana" w:hAnsi="Verdana"/>
          <w:b/>
          <w:bCs/>
          <w:u w:val="single"/>
          <w:shd w:val="clear" w:color="auto" w:fill="FFFF00"/>
        </w:rPr>
        <w:t>perform our distinctive approaches to knowledge production in ways that authentically demonstrate their localness</w:t>
      </w:r>
    </w:p>
    <w:p w:rsidR="00966CF9" w:rsidRPr="00966CF9" w:rsidRDefault="00966CF9" w:rsidP="00966CF9"/>
    <w:sectPr w:rsidR="00966CF9" w:rsidRPr="00966CF9" w:rsidSect="00F432A8">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5A1" w:rsidRDefault="00B445A1" w:rsidP="005F5576">
      <w:r>
        <w:separator/>
      </w:r>
    </w:p>
  </w:endnote>
  <w:endnote w:type="continuationSeparator" w:id="0">
    <w:p w:rsidR="00B445A1" w:rsidRDefault="00B445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5A1" w:rsidRDefault="00B445A1" w:rsidP="005F5576">
      <w:r>
        <w:separator/>
      </w:r>
    </w:p>
  </w:footnote>
  <w:footnote w:type="continuationSeparator" w:id="0">
    <w:p w:rsidR="00B445A1" w:rsidRDefault="00B445A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812" w:rsidRPr="005D4EBD" w:rsidRDefault="00B445A1" w:rsidP="00DE32EB">
    <w:pPr>
      <w:pStyle w:val="Heading1"/>
      <w:pBdr>
        <w:right w:val="single" w:sz="24" w:space="5" w:color="auto"/>
      </w:pBdr>
      <w:tabs>
        <w:tab w:val="center" w:pos="4320"/>
        <w:tab w:val="right" w:pos="8640"/>
      </w:tabs>
      <w:jc w:val="left"/>
    </w:pPr>
    <w:r>
      <w:tab/>
      <w:t>2NC OVERVIEW CHHLP CP</w:t>
    </w:r>
  </w:p>
  <w:p w:rsidR="00193812" w:rsidRPr="00DE32EB" w:rsidRDefault="00B445A1" w:rsidP="00DE32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F9"/>
    <w:rsid w:val="000022F2"/>
    <w:rsid w:val="0000459F"/>
    <w:rsid w:val="00004EB4"/>
    <w:rsid w:val="000203F0"/>
    <w:rsid w:val="0002196C"/>
    <w:rsid w:val="00021F29"/>
    <w:rsid w:val="00027EED"/>
    <w:rsid w:val="0003041D"/>
    <w:rsid w:val="00033028"/>
    <w:rsid w:val="000360A7"/>
    <w:rsid w:val="000444F9"/>
    <w:rsid w:val="00052A1D"/>
    <w:rsid w:val="00055E12"/>
    <w:rsid w:val="00064A59"/>
    <w:rsid w:val="0007162E"/>
    <w:rsid w:val="00073B9A"/>
    <w:rsid w:val="00090287"/>
    <w:rsid w:val="00090BA2"/>
    <w:rsid w:val="000978A3"/>
    <w:rsid w:val="00097D7E"/>
    <w:rsid w:val="000A1D39"/>
    <w:rsid w:val="000A4FA5"/>
    <w:rsid w:val="000B61C8"/>
    <w:rsid w:val="000C515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E06"/>
    <w:rsid w:val="001C1D82"/>
    <w:rsid w:val="001C2147"/>
    <w:rsid w:val="001C587E"/>
    <w:rsid w:val="001C7C90"/>
    <w:rsid w:val="001D0D51"/>
    <w:rsid w:val="001F7572"/>
    <w:rsid w:val="0020006E"/>
    <w:rsid w:val="002009AE"/>
    <w:rsid w:val="00202233"/>
    <w:rsid w:val="002101DA"/>
    <w:rsid w:val="00217499"/>
    <w:rsid w:val="00221ED5"/>
    <w:rsid w:val="0024023F"/>
    <w:rsid w:val="00240C4E"/>
    <w:rsid w:val="00243DC0"/>
    <w:rsid w:val="00250E16"/>
    <w:rsid w:val="00257696"/>
    <w:rsid w:val="0026382E"/>
    <w:rsid w:val="00272786"/>
    <w:rsid w:val="00287AB7"/>
    <w:rsid w:val="00294D00"/>
    <w:rsid w:val="002A213E"/>
    <w:rsid w:val="002A612B"/>
    <w:rsid w:val="002B1350"/>
    <w:rsid w:val="002B210A"/>
    <w:rsid w:val="002B68A4"/>
    <w:rsid w:val="002C571D"/>
    <w:rsid w:val="002C5772"/>
    <w:rsid w:val="002D0374"/>
    <w:rsid w:val="002D2946"/>
    <w:rsid w:val="002D529E"/>
    <w:rsid w:val="002D6BD6"/>
    <w:rsid w:val="002E10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A0D"/>
    <w:rsid w:val="00383E0A"/>
    <w:rsid w:val="003847C7"/>
    <w:rsid w:val="00385298"/>
    <w:rsid w:val="003852CE"/>
    <w:rsid w:val="00392E92"/>
    <w:rsid w:val="00395C83"/>
    <w:rsid w:val="003A2A3B"/>
    <w:rsid w:val="003A440C"/>
    <w:rsid w:val="003B024E"/>
    <w:rsid w:val="003B0C84"/>
    <w:rsid w:val="003B163B"/>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2D6"/>
    <w:rsid w:val="00656C61"/>
    <w:rsid w:val="006672D8"/>
    <w:rsid w:val="00670121"/>
    <w:rsid w:val="00670D96"/>
    <w:rsid w:val="00672877"/>
    <w:rsid w:val="00683154"/>
    <w:rsid w:val="00690115"/>
    <w:rsid w:val="00690898"/>
    <w:rsid w:val="00693039"/>
    <w:rsid w:val="00693A5A"/>
    <w:rsid w:val="006A5325"/>
    <w:rsid w:val="006B302F"/>
    <w:rsid w:val="006C64D4"/>
    <w:rsid w:val="006E53F0"/>
    <w:rsid w:val="006F46C3"/>
    <w:rsid w:val="006F7CDF"/>
    <w:rsid w:val="00700BDB"/>
    <w:rsid w:val="0070121B"/>
    <w:rsid w:val="00701E73"/>
    <w:rsid w:val="00711FE2"/>
    <w:rsid w:val="00712649"/>
    <w:rsid w:val="00714BC9"/>
    <w:rsid w:val="00723F91"/>
    <w:rsid w:val="00725623"/>
    <w:rsid w:val="00725B8A"/>
    <w:rsid w:val="00743059"/>
    <w:rsid w:val="00744F58"/>
    <w:rsid w:val="00750CED"/>
    <w:rsid w:val="00753A29"/>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CF9"/>
    <w:rsid w:val="009706C1"/>
    <w:rsid w:val="00976675"/>
    <w:rsid w:val="00976FBF"/>
    <w:rsid w:val="00984B38"/>
    <w:rsid w:val="009A0636"/>
    <w:rsid w:val="009A6FF5"/>
    <w:rsid w:val="009B2B47"/>
    <w:rsid w:val="009B32BE"/>
    <w:rsid w:val="009B35DB"/>
    <w:rsid w:val="009C4298"/>
    <w:rsid w:val="009D0820"/>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63B"/>
    <w:rsid w:val="00AE7586"/>
    <w:rsid w:val="00AF7A65"/>
    <w:rsid w:val="00B06710"/>
    <w:rsid w:val="00B07EBF"/>
    <w:rsid w:val="00B166CB"/>
    <w:rsid w:val="00B235E1"/>
    <w:rsid w:val="00B272CF"/>
    <w:rsid w:val="00B3145D"/>
    <w:rsid w:val="00B357BA"/>
    <w:rsid w:val="00B445A1"/>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220C"/>
    <w:rsid w:val="00C27212"/>
    <w:rsid w:val="00C34185"/>
    <w:rsid w:val="00C42DD6"/>
    <w:rsid w:val="00C545E7"/>
    <w:rsid w:val="00C66858"/>
    <w:rsid w:val="00C72E69"/>
    <w:rsid w:val="00C7411E"/>
    <w:rsid w:val="00C84988"/>
    <w:rsid w:val="00CA4AF6"/>
    <w:rsid w:val="00CA59CA"/>
    <w:rsid w:val="00CB2356"/>
    <w:rsid w:val="00CB4075"/>
    <w:rsid w:val="00CB4E6D"/>
    <w:rsid w:val="00CB65B0"/>
    <w:rsid w:val="00CC23DE"/>
    <w:rsid w:val="00CD3E3A"/>
    <w:rsid w:val="00CD7459"/>
    <w:rsid w:val="00CE55A6"/>
    <w:rsid w:val="00CF0393"/>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3F7"/>
    <w:rsid w:val="00DC701C"/>
    <w:rsid w:val="00DD7F91"/>
    <w:rsid w:val="00DF10F7"/>
    <w:rsid w:val="00E00376"/>
    <w:rsid w:val="00E01016"/>
    <w:rsid w:val="00E043B1"/>
    <w:rsid w:val="00E14EBD"/>
    <w:rsid w:val="00E16734"/>
    <w:rsid w:val="00E23260"/>
    <w:rsid w:val="00E2367A"/>
    <w:rsid w:val="00E2722B"/>
    <w:rsid w:val="00E27BC7"/>
    <w:rsid w:val="00E35FC9"/>
    <w:rsid w:val="00E377A4"/>
    <w:rsid w:val="00E41346"/>
    <w:rsid w:val="00E420E9"/>
    <w:rsid w:val="00E4635D"/>
    <w:rsid w:val="00E61D76"/>
    <w:rsid w:val="00E674DB"/>
    <w:rsid w:val="00E70912"/>
    <w:rsid w:val="00E75F28"/>
    <w:rsid w:val="00E86242"/>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417F"/>
    <w:rsid w:val="00F40837"/>
    <w:rsid w:val="00F42F79"/>
    <w:rsid w:val="00F47773"/>
    <w:rsid w:val="00F5019D"/>
    <w:rsid w:val="00F56308"/>
    <w:rsid w:val="00F634D6"/>
    <w:rsid w:val="00F64385"/>
    <w:rsid w:val="00F6473F"/>
    <w:rsid w:val="00F71AF9"/>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6CF9"/>
    <w:pPr>
      <w:spacing w:after="0" w:line="240" w:lineRule="auto"/>
    </w:pPr>
    <w:rPr>
      <w:rFonts w:eastAsiaTheme="minorEastAsia"/>
      <w:sz w:val="24"/>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Calibri"/>
      <w:sz w:val="22"/>
      <w:szCs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sz w:val="22"/>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rsid w:val="00966CF9"/>
    <w:pPr>
      <w:tabs>
        <w:tab w:val="left" w:pos="720"/>
      </w:tabs>
      <w:suppressAutoHyphens/>
      <w:spacing w:after="0" w:line="240" w:lineRule="auto"/>
      <w:jc w:val="both"/>
    </w:pPr>
    <w:rPr>
      <w:rFonts w:ascii="Times New Roman" w:eastAsia="SimSun" w:hAnsi="Times New Roman" w:cs="Mangal"/>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66CF9"/>
    <w:pPr>
      <w:spacing w:after="0" w:line="240" w:lineRule="auto"/>
    </w:pPr>
    <w:rPr>
      <w:rFonts w:eastAsiaTheme="minorEastAsia"/>
      <w:sz w:val="24"/>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rPr>
      <w:rFonts w:ascii="Calibri" w:eastAsiaTheme="minorHAnsi" w:hAnsi="Calibri" w:cs="Calibri"/>
      <w:sz w:val="22"/>
      <w:szCs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eastAsiaTheme="minorHAnsi" w:hAnsi="Calibri" w:cs="Calibri"/>
      <w:sz w:val="22"/>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rsid w:val="00966CF9"/>
    <w:pPr>
      <w:tabs>
        <w:tab w:val="left" w:pos="720"/>
      </w:tabs>
      <w:suppressAutoHyphens/>
      <w:spacing w:after="0" w:line="240" w:lineRule="auto"/>
      <w:jc w:val="both"/>
    </w:pPr>
    <w:rPr>
      <w:rFonts w:ascii="Times New Roman" w:eastAsia="SimSun" w:hAnsi="Times New Roman" w:cs="Mangal"/>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42</TotalTime>
  <Pages>14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3</cp:revision>
  <dcterms:created xsi:type="dcterms:W3CDTF">2013-02-23T14:16:00Z</dcterms:created>
  <dcterms:modified xsi:type="dcterms:W3CDTF">2013-02-23T15:05:00Z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