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226" w:rsidRDefault="006A5226" w:rsidP="006A5226">
      <w:pPr>
        <w:pStyle w:val="Heading2"/>
      </w:pPr>
      <w:proofErr w:type="gramStart"/>
      <w:r>
        <w:t>t</w:t>
      </w:r>
      <w:proofErr w:type="gramEnd"/>
    </w:p>
    <w:p w:rsidR="002E20A2" w:rsidRDefault="002E20A2" w:rsidP="002E20A2">
      <w:pPr>
        <w:pStyle w:val="Heading4"/>
      </w:pPr>
      <w:r>
        <w:t>Plan in a vacuum is topical and for energy production:</w:t>
      </w:r>
    </w:p>
    <w:p w:rsidR="002E20A2" w:rsidRPr="005535BC" w:rsidRDefault="002E20A2" w:rsidP="002E20A2">
      <w:pPr>
        <w:pStyle w:val="Heading4"/>
      </w:pPr>
      <w:r>
        <w:t>Second, counter-interpretation: financial incentives include tax-incentives to leverage private sector resources</w:t>
      </w:r>
    </w:p>
    <w:p w:rsidR="002E20A2" w:rsidRDefault="002E20A2" w:rsidP="002E20A2"/>
    <w:p w:rsidR="002E20A2" w:rsidRPr="002C31DA" w:rsidRDefault="002E20A2" w:rsidP="002E20A2">
      <w:pPr>
        <w:rPr>
          <w:rStyle w:val="StyleStyleBold12pt"/>
        </w:rPr>
      </w:pPr>
      <w:r w:rsidRPr="002C31DA">
        <w:rPr>
          <w:rStyle w:val="StyleStyleBold12pt"/>
        </w:rPr>
        <w:t>Clean and Secure Energy Action Report 10</w:t>
      </w:r>
    </w:p>
    <w:p w:rsidR="002E20A2" w:rsidRDefault="002E20A2" w:rsidP="002E20A2">
      <w:r>
        <w:t>[</w:t>
      </w:r>
      <w:proofErr w:type="gramStart"/>
      <w:r>
        <w:t>staff</w:t>
      </w:r>
      <w:proofErr w:type="gramEnd"/>
      <w:r>
        <w:t>, 2010 update, “</w:t>
      </w:r>
      <w:r w:rsidRPr="002C31DA">
        <w:t>Financial Incentives - Loans, Rebates, Taxes, Bonds, Etc.</w:t>
      </w:r>
      <w:r>
        <w:t xml:space="preserve">”, p. </w:t>
      </w:r>
      <w:hyperlink r:id="rId11" w:history="1">
        <w:r w:rsidRPr="00357D76">
          <w:rPr>
            <w:rStyle w:val="Hyperlink"/>
          </w:rPr>
          <w:t>http://www.nga.org/files/live/sites/NGA/files/pdf/1008CLEANENERGYELECTRICITYINCENTIVES.PDF</w:t>
        </w:r>
      </w:hyperlink>
      <w:r>
        <w:t xml:space="preserve"> //</w:t>
      </w:r>
      <w:proofErr w:type="spellStart"/>
      <w:r>
        <w:t>wyo-tjc</w:t>
      </w:r>
      <w:proofErr w:type="spellEnd"/>
      <w:r>
        <w:t>]</w:t>
      </w:r>
    </w:p>
    <w:p w:rsidR="002E20A2" w:rsidRDefault="002E20A2" w:rsidP="002E20A2">
      <w:r w:rsidRPr="00B6687C">
        <w:rPr>
          <w:rStyle w:val="StyleBoldUnderline"/>
          <w:highlight w:val="yellow"/>
        </w:rPr>
        <w:t>Financial incentives</w:t>
      </w:r>
      <w:r w:rsidRPr="002C31DA">
        <w:rPr>
          <w:rStyle w:val="StyleBoldUnderline"/>
        </w:rPr>
        <w:t xml:space="preserve"> can </w:t>
      </w:r>
      <w:r w:rsidRPr="00B6687C">
        <w:rPr>
          <w:rStyle w:val="StyleBoldUnderline"/>
          <w:highlight w:val="yellow"/>
        </w:rPr>
        <w:t>help</w:t>
      </w:r>
      <w:r w:rsidRPr="002C31DA">
        <w:rPr>
          <w:rStyle w:val="StyleBoldUnderline"/>
        </w:rPr>
        <w:t xml:space="preserve"> states address market barriers and</w:t>
      </w:r>
      <w:r>
        <w:t xml:space="preserve"> </w:t>
      </w:r>
      <w:r w:rsidRPr="00B6687C">
        <w:rPr>
          <w:rStyle w:val="StyleBoldUnderline"/>
          <w:highlight w:val="yellow"/>
        </w:rPr>
        <w:t>leverage private sector resources for greater investmen</w:t>
      </w:r>
      <w:r w:rsidRPr="00B6687C">
        <w:rPr>
          <w:highlight w:val="yellow"/>
        </w:rPr>
        <w:t>t</w:t>
      </w:r>
      <w:r w:rsidRPr="00B6687C">
        <w:rPr>
          <w:rStyle w:val="StyleBoldUnderline"/>
          <w:highlight w:val="yellow"/>
        </w:rPr>
        <w:t xml:space="preserve"> in</w:t>
      </w:r>
      <w:r>
        <w:t xml:space="preserve"> energy efficiency or </w:t>
      </w:r>
      <w:r w:rsidRPr="00B6687C">
        <w:rPr>
          <w:rStyle w:val="StyleBoldUnderline"/>
          <w:highlight w:val="yellow"/>
        </w:rPr>
        <w:t>renewable energy</w:t>
      </w:r>
      <w:r>
        <w:t xml:space="preserve"> systems. </w:t>
      </w:r>
      <w:r w:rsidRPr="00B6687C">
        <w:rPr>
          <w:rStyle w:val="StyleBoldUnderline"/>
          <w:highlight w:val="yellow"/>
        </w:rPr>
        <w:t>Types of financial incentives</w:t>
      </w:r>
      <w:r w:rsidRPr="002C31DA">
        <w:rPr>
          <w:rStyle w:val="StyleBoldUnderline"/>
        </w:rPr>
        <w:t xml:space="preserve"> </w:t>
      </w:r>
      <w:r w:rsidRPr="002C31DA">
        <w:t>state</w:t>
      </w:r>
      <w:r w:rsidRPr="002C31DA">
        <w:rPr>
          <w:rStyle w:val="StyleBoldUnderline"/>
        </w:rPr>
        <w:t xml:space="preserve"> governments offer </w:t>
      </w:r>
      <w:r w:rsidRPr="00B6687C">
        <w:rPr>
          <w:rStyle w:val="StyleBoldUnderline"/>
          <w:highlight w:val="yellow"/>
        </w:rPr>
        <w:t>include: tax incentives</w:t>
      </w:r>
      <w:r>
        <w:t xml:space="preserve">, </w:t>
      </w:r>
      <w:r w:rsidRPr="002C31DA">
        <w:rPr>
          <w:rStyle w:val="StyleBoldUnderline"/>
        </w:rPr>
        <w:t>grants, loans, rebates</w:t>
      </w:r>
      <w:r>
        <w:t>, industry recruitment/</w:t>
      </w:r>
      <w:r w:rsidRPr="002C31DA">
        <w:rPr>
          <w:rStyle w:val="StyleBoldUnderline"/>
        </w:rPr>
        <w:t>support, bond programs</w:t>
      </w:r>
      <w:r>
        <w:t xml:space="preserve">, green </w:t>
      </w:r>
      <w:r w:rsidRPr="002C31DA">
        <w:rPr>
          <w:rStyle w:val="StyleBoldUnderline"/>
        </w:rPr>
        <w:t>building incentives</w:t>
      </w:r>
      <w:r>
        <w:t>, leasing/lease purchase programs, and production incentives.</w:t>
      </w:r>
    </w:p>
    <w:p w:rsidR="002E20A2" w:rsidRDefault="002E20A2" w:rsidP="002E20A2">
      <w:pPr>
        <w:pStyle w:val="Heading4"/>
      </w:pPr>
      <w:r>
        <w:t>Third, we meet the counter-</w:t>
      </w:r>
      <w:proofErr w:type="spellStart"/>
      <w:r>
        <w:t>interp</w:t>
      </w:r>
      <w:proofErr w:type="spellEnd"/>
      <w:r>
        <w:t>- MLPs are a tax incentive</w:t>
      </w:r>
    </w:p>
    <w:p w:rsidR="002E20A2" w:rsidRDefault="002E20A2" w:rsidP="002E20A2"/>
    <w:p w:rsidR="002E20A2" w:rsidRPr="00004463" w:rsidRDefault="002E20A2" w:rsidP="002E20A2">
      <w:pPr>
        <w:rPr>
          <w:rStyle w:val="StyleStyleBold12pt"/>
        </w:rPr>
      </w:pPr>
      <w:r w:rsidRPr="00004463">
        <w:rPr>
          <w:rStyle w:val="StyleStyleBold12pt"/>
        </w:rPr>
        <w:t>Bradford 7.30</w:t>
      </w:r>
    </w:p>
    <w:p w:rsidR="002E20A2" w:rsidRDefault="002E20A2" w:rsidP="002E20A2">
      <w:r>
        <w:t xml:space="preserve">[Travis, staff writer, New MLP Parity Act Could Give a Boost to Geothermal/Renewable Energy Investors, p. </w:t>
      </w:r>
      <w:hyperlink r:id="rId12" w:history="1">
        <w:r w:rsidRPr="00357D76">
          <w:rPr>
            <w:rStyle w:val="Hyperlink"/>
          </w:rPr>
          <w:t>http://prometheus.org/2012/07/30/new-mlp-parity-act-could-give-a-boost-to-geothermalrenewable-energy-investors/</w:t>
        </w:r>
      </w:hyperlink>
      <w:r>
        <w:t xml:space="preserve"> //</w:t>
      </w:r>
      <w:proofErr w:type="spellStart"/>
      <w:r>
        <w:t>wyo-tjc</w:t>
      </w:r>
      <w:proofErr w:type="spellEnd"/>
      <w:r>
        <w:t>]</w:t>
      </w:r>
    </w:p>
    <w:p w:rsidR="002E20A2" w:rsidRDefault="002E20A2" w:rsidP="002E20A2">
      <w:r>
        <w:t>WASHINGTON, D.C. — U.S. Senators Chris Coons (D-Del.) and Jerry Moran (R-Kan.) have introduced legislation, S. 3275, or Master Limited Partnerships (</w:t>
      </w:r>
      <w:r w:rsidRPr="002A0CAD">
        <w:rPr>
          <w:rStyle w:val="StyleBoldUnderline"/>
          <w:highlight w:val="yellow"/>
        </w:rPr>
        <w:t>MLP) Parity Act</w:t>
      </w:r>
      <w:r>
        <w:t xml:space="preserve">, which </w:t>
      </w:r>
      <w:r w:rsidRPr="002A0CAD">
        <w:rPr>
          <w:rStyle w:val="StyleBoldUnderline"/>
          <w:highlight w:val="yellow"/>
        </w:rPr>
        <w:t xml:space="preserve">gives renewable energy projects access to a </w:t>
      </w:r>
      <w:r w:rsidRPr="002A0CAD">
        <w:rPr>
          <w:rStyle w:val="Emphasis"/>
          <w:highlight w:val="yellow"/>
        </w:rPr>
        <w:t>tax incentive</w:t>
      </w:r>
      <w:r w:rsidRPr="002A0CAD">
        <w:rPr>
          <w:rStyle w:val="StyleBoldUnderline"/>
          <w:highlight w:val="yellow"/>
        </w:rPr>
        <w:t xml:space="preserve"> available now only to oil, gas, and coal projects</w:t>
      </w:r>
      <w:r>
        <w:t>.</w:t>
      </w:r>
    </w:p>
    <w:p w:rsidR="002E20A2" w:rsidRPr="002A0CAD" w:rsidRDefault="002E20A2" w:rsidP="002E20A2">
      <w:pPr>
        <w:rPr>
          <w:sz w:val="16"/>
        </w:rPr>
      </w:pPr>
      <w:r w:rsidRPr="002A0CAD">
        <w:rPr>
          <w:rStyle w:val="StyleBoldUnderline"/>
          <w:highlight w:val="yellow"/>
        </w:rPr>
        <w:t>The act could</w:t>
      </w:r>
      <w:r w:rsidRPr="002A0CAD">
        <w:rPr>
          <w:sz w:val="16"/>
        </w:rPr>
        <w:t xml:space="preserve"> “</w:t>
      </w:r>
      <w:r w:rsidRPr="00004463">
        <w:rPr>
          <w:rStyle w:val="StyleBoldUnderline"/>
        </w:rPr>
        <w:t>level the</w:t>
      </w:r>
      <w:r w:rsidRPr="002A0CAD">
        <w:rPr>
          <w:sz w:val="16"/>
        </w:rPr>
        <w:t xml:space="preserve"> energy </w:t>
      </w:r>
      <w:r w:rsidRPr="00004463">
        <w:rPr>
          <w:rStyle w:val="StyleBoldUnderline"/>
        </w:rPr>
        <w:t xml:space="preserve">playing field by </w:t>
      </w:r>
      <w:r w:rsidRPr="002A0CAD">
        <w:rPr>
          <w:rStyle w:val="StyleBoldUnderline"/>
          <w:highlight w:val="yellow"/>
        </w:rPr>
        <w:t>giving</w:t>
      </w:r>
      <w:r w:rsidRPr="00004463">
        <w:rPr>
          <w:rStyle w:val="StyleBoldUnderline"/>
        </w:rPr>
        <w:t xml:space="preserve"> </w:t>
      </w:r>
      <w:r w:rsidRPr="002A0CAD">
        <w:rPr>
          <w:rStyle w:val="StyleBoldUnderline"/>
          <w:highlight w:val="yellow"/>
        </w:rPr>
        <w:t>investors</w:t>
      </w:r>
      <w:r w:rsidRPr="002A0CAD">
        <w:rPr>
          <w:sz w:val="16"/>
        </w:rPr>
        <w:t xml:space="preserve"> in renewable-energy projects </w:t>
      </w:r>
      <w:r w:rsidRPr="002A0CAD">
        <w:rPr>
          <w:rStyle w:val="StyleBoldUnderline"/>
          <w:highlight w:val="yellow"/>
        </w:rPr>
        <w:t>access to a decades-old tax advantage</w:t>
      </w:r>
      <w:r w:rsidRPr="00004463">
        <w:rPr>
          <w:rStyle w:val="StyleBoldUnderline"/>
        </w:rPr>
        <w:t xml:space="preserve"> </w:t>
      </w:r>
      <w:r w:rsidRPr="002A0CAD">
        <w:rPr>
          <w:sz w:val="16"/>
        </w:rPr>
        <w:t>now available only to investors in fossil fuel-based energy projects,” they noted in their press release.  ”The Master Limited Partnerships Parity Act is a straightforward, powerful tweak to the federal tax code that could  unleash significant private capital by helping additional energy-generation and renewable fuels companies form master limited partnerships, which combine the funding advantages of corporations and the tax advantages of partnerships.”</w:t>
      </w:r>
    </w:p>
    <w:p w:rsidR="002E20A2" w:rsidRDefault="002E20A2" w:rsidP="002E20A2">
      <w:pPr>
        <w:rPr>
          <w:sz w:val="16"/>
        </w:rPr>
      </w:pPr>
      <w:r w:rsidRPr="002A0CAD">
        <w:rPr>
          <w:sz w:val="16"/>
        </w:rPr>
        <w:t>Senator Coons said: “Despite all the political rhetoric about the need for an all-of-the-above energy strategy, our current tax code clearly picks winners and losers in the energy space.” He told press, “The MLP Parity Act helps level the playing field by giving investors in renewables and non-renewables access to the same highly attractive master limited partnership business structure. Congress should be setting a realistic and stable policy pathway to sustain innovations in domestic energy development, and help the market work to its fullest potential. That starts with leveling the playing field and giving renewable energy the same shot at market success as fossil fue</w:t>
      </w:r>
      <w:r w:rsidRPr="002A0CAD">
        <w:rPr>
          <w:rStyle w:val="StyleBoldUnderline"/>
        </w:rPr>
        <w:t>ls</w:t>
      </w:r>
      <w:r w:rsidRPr="002A0CAD">
        <w:rPr>
          <w:sz w:val="16"/>
        </w:rPr>
        <w:t>.”</w:t>
      </w:r>
    </w:p>
    <w:p w:rsidR="0012148B" w:rsidRDefault="0012148B" w:rsidP="002E20A2"/>
    <w:p w:rsidR="006A5226" w:rsidRDefault="006A5226" w:rsidP="002E20A2"/>
    <w:p w:rsidR="006A5226" w:rsidRDefault="006A5226" w:rsidP="006A5226">
      <w:pPr>
        <w:pStyle w:val="Heading2"/>
      </w:pPr>
      <w:r>
        <w:lastRenderedPageBreak/>
        <w:t>Drought</w:t>
      </w:r>
    </w:p>
    <w:p w:rsidR="006A5226" w:rsidRDefault="006A5226" w:rsidP="006A5226">
      <w:pPr>
        <w:pStyle w:val="Heading4"/>
      </w:pPr>
      <w:r w:rsidRPr="00CD1A9E">
        <w:t>CHINA WILL GO TO WAR WITHOUT OUTSIDE STATES, MODERNIZE ITS MILITARY, AND CHALLENGE U.S. HEGEMONY IF IT’S RESOURCES DIP TOO LOW – OR IF STARVATION BECOMES A SERIOUS THREAT</w:t>
      </w:r>
    </w:p>
    <w:p w:rsidR="006A5226" w:rsidRPr="00341840" w:rsidRDefault="006A5226" w:rsidP="006A5226"/>
    <w:p w:rsidR="006A5226" w:rsidRPr="00341840" w:rsidRDefault="006A5226" w:rsidP="006A5226">
      <w:pPr>
        <w:rPr>
          <w:rStyle w:val="StyleStyleBold12pt"/>
        </w:rPr>
      </w:pPr>
      <w:r w:rsidRPr="00341840">
        <w:rPr>
          <w:rStyle w:val="StyleStyleBold12pt"/>
        </w:rPr>
        <w:t xml:space="preserve">KANE AND </w:t>
      </w:r>
      <w:proofErr w:type="spellStart"/>
      <w:r w:rsidRPr="00341840">
        <w:rPr>
          <w:rStyle w:val="StyleStyleBold12pt"/>
        </w:rPr>
        <w:t>Serewicz</w:t>
      </w:r>
      <w:proofErr w:type="spellEnd"/>
      <w:r w:rsidRPr="00341840">
        <w:rPr>
          <w:rStyle w:val="StyleStyleBold12pt"/>
        </w:rPr>
        <w:t xml:space="preserve"> IN’01</w:t>
      </w:r>
    </w:p>
    <w:p w:rsidR="006A5226" w:rsidRPr="00CD1A9E" w:rsidRDefault="006A5226" w:rsidP="006A5226">
      <w:r w:rsidRPr="00CD1A9E">
        <w:t>(</w:t>
      </w:r>
      <w:proofErr w:type="gramStart"/>
      <w:r w:rsidRPr="00CD1A9E">
        <w:t>Thomas,</w:t>
      </w:r>
      <w:proofErr w:type="gramEnd"/>
      <w:r w:rsidRPr="00CD1A9E">
        <w:t xml:space="preserve"> teaches security studies at the University of Hull, UK. In addition to publishing other articles on the People's Republic of China, he has written a book on the role of maritime power in modern China's grand strategy, and Lawrence, Ph.D. in politics from the University </w:t>
      </w:r>
      <w:proofErr w:type="gramStart"/>
      <w:r w:rsidRPr="00CD1A9E">
        <w:t>of</w:t>
      </w:r>
      <w:proofErr w:type="gramEnd"/>
      <w:r w:rsidRPr="00CD1A9E">
        <w:t xml:space="preserve"> Hull, UK. He also has an M.A. in politics from the Claremont Graduate School, “China's Hunger: The Consequences of a Rising Demand for Food and Energy,” </w:t>
      </w:r>
      <w:r w:rsidRPr="00CD1A9E">
        <w:rPr>
          <w:rStyle w:val="StyleBoldUnderline"/>
        </w:rPr>
        <w:t>US Army War College Quarterly</w:t>
      </w:r>
      <w:r w:rsidRPr="00CD1A9E">
        <w:t xml:space="preserve">, </w:t>
      </w:r>
      <w:proofErr w:type="gramStart"/>
      <w:r w:rsidRPr="00CD1A9E">
        <w:t>Autumn</w:t>
      </w:r>
      <w:proofErr w:type="gramEnd"/>
      <w:r w:rsidRPr="00CD1A9E">
        <w:t xml:space="preserve"> 2001, pg. Online @ </w:t>
      </w:r>
      <w:hyperlink r:id="rId13" w:history="1">
        <w:r w:rsidRPr="00CD1A9E">
          <w:rPr>
            <w:rStyle w:val="Hyperlink"/>
          </w:rPr>
          <w:t>http://carlisle-www.army.mil/usawc/Parameters/01autumn/Kane.htm</w:t>
        </w:r>
      </w:hyperlink>
      <w:r w:rsidRPr="00CD1A9E">
        <w:t xml:space="preserve">  // </w:t>
      </w:r>
      <w:proofErr w:type="spellStart"/>
      <w:r w:rsidRPr="00CD1A9E">
        <w:t>wyo-ef</w:t>
      </w:r>
      <w:proofErr w:type="spellEnd"/>
      <w:r w:rsidRPr="00CD1A9E">
        <w:t>)</w:t>
      </w:r>
    </w:p>
    <w:p w:rsidR="006A5226" w:rsidRPr="00CD1A9E" w:rsidRDefault="006A5226" w:rsidP="006A5226">
      <w:pPr>
        <w:rPr>
          <w:rStyle w:val="StyleBoldUnderline"/>
        </w:rPr>
      </w:pPr>
      <w:r w:rsidRPr="00CD1A9E">
        <w:t xml:space="preserve">To summarize, </w:t>
      </w:r>
      <w:r w:rsidRPr="006A5226">
        <w:rPr>
          <w:rStyle w:val="StyleBoldUnderline"/>
          <w:highlight w:val="green"/>
        </w:rPr>
        <w:t>China's resource needs have global consequences</w:t>
      </w:r>
      <w:r w:rsidRPr="00CD1A9E">
        <w:t xml:space="preserve">. The most immediate effect of the PRC's requirements is that Beijing's attempts to buy what it needs will raise the price of food and oil on global markets. </w:t>
      </w:r>
      <w:r w:rsidRPr="006A5226">
        <w:rPr>
          <w:rStyle w:val="StyleBoldUnderline"/>
          <w:highlight w:val="green"/>
        </w:rPr>
        <w:t>Higher prices hurt poorer co</w:t>
      </w:r>
      <w:bookmarkStart w:id="0" w:name="_GoBack"/>
      <w:bookmarkEnd w:id="0"/>
      <w:r w:rsidRPr="006A5226">
        <w:rPr>
          <w:rStyle w:val="StyleBoldUnderline"/>
          <w:highlight w:val="green"/>
        </w:rPr>
        <w:t xml:space="preserve">untries </w:t>
      </w:r>
      <w:r w:rsidRPr="00CD1A9E">
        <w:rPr>
          <w:rStyle w:val="StyleBoldUnderline"/>
        </w:rPr>
        <w:t>even more than prosperous ones, and this will exacerbate both poverty and political unrest throughout the underdeveloped world</w:t>
      </w:r>
      <w:r w:rsidRPr="00CD1A9E">
        <w:t>. Western countries may feel obliged to offset crises with financial aid and military assistance. This will, among other things, reduce the resources that they have available for responding to other world events.</w:t>
      </w:r>
      <w:r>
        <w:t xml:space="preserve"> </w:t>
      </w:r>
      <w:r w:rsidRPr="006A5226">
        <w:rPr>
          <w:rStyle w:val="StyleBoldUnderline"/>
          <w:highlight w:val="green"/>
        </w:rPr>
        <w:t>A second consequence is that China's needs may also trigger outright wars over resources.</w:t>
      </w:r>
      <w:r w:rsidRPr="00CD1A9E">
        <w:rPr>
          <w:rStyle w:val="StyleBoldUnderline"/>
        </w:rPr>
        <w:t xml:space="preserve"> The disputes over territorial boundaries within the South China Sea reflect not only political issues of sovereignty, but the concern for the natural resources within those boundaries</w:t>
      </w:r>
      <w:r w:rsidRPr="00CD1A9E">
        <w:t xml:space="preserve">. In this manner, the PRC's search for oil in the South China Sea brings Beijing into conflict with its neighbors. If China attempts to seize these waters by force, it will unsettle world markets yet further. </w:t>
      </w:r>
      <w:r w:rsidRPr="006A5226">
        <w:rPr>
          <w:rStyle w:val="StyleBoldUnderline"/>
          <w:highlight w:val="green"/>
        </w:rPr>
        <w:t>A war in the South China Sea could also compel outside powers to intervene</w:t>
      </w:r>
      <w:r w:rsidRPr="00CD1A9E">
        <w:rPr>
          <w:rStyle w:val="StyleBoldUnderline"/>
        </w:rPr>
        <w:t>, if only to uphold the principles of international conduct outlined in the United Nations Charter. If, for whatever reason, the intervening powers failed to win a clear-cut victory, both they and their principles would lose a dangerous amount of influence throughout the world.</w:t>
      </w:r>
      <w:r>
        <w:rPr>
          <w:rStyle w:val="StyleBoldUnderline"/>
        </w:rPr>
        <w:t xml:space="preserve"> </w:t>
      </w:r>
      <w:r w:rsidRPr="006A5226">
        <w:rPr>
          <w:rStyle w:val="StyleBoldUnderline"/>
          <w:highlight w:val="green"/>
        </w:rPr>
        <w:t>Although food</w:t>
      </w:r>
      <w:r w:rsidRPr="006A5226">
        <w:rPr>
          <w:highlight w:val="green"/>
        </w:rPr>
        <w:t xml:space="preserve"> </w:t>
      </w:r>
      <w:r w:rsidRPr="00CD1A9E">
        <w:t xml:space="preserve">and energy </w:t>
      </w:r>
      <w:r w:rsidRPr="006A5226">
        <w:rPr>
          <w:rStyle w:val="StyleBoldUnderline"/>
          <w:highlight w:val="green"/>
        </w:rPr>
        <w:t>demands are not the only reasons why China finds itself in conflict with the established world order, they do contribute to the belief that the international system does not serve China's interests.</w:t>
      </w:r>
      <w:r w:rsidRPr="00CD1A9E">
        <w:rPr>
          <w:rStyle w:val="StyleBoldUnderline"/>
        </w:rPr>
        <w:t xml:space="preserve"> Ideology, memories of national humiliation, claims on unrecovered territory, and the timeless human urge for power all play their roles. Thus, a third consequence of China's food and energy requirements is that China's material needs drive its government to take assertive positions on many international issues</w:t>
      </w:r>
      <w:r w:rsidRPr="00CD1A9E">
        <w:t>, including the ones noted at the beginning of this article</w:t>
      </w:r>
      <w:r w:rsidRPr="00CD1A9E">
        <w:rPr>
          <w:rStyle w:val="StyleBoldUnderline"/>
        </w:rPr>
        <w:t>. If Beijing is to control dissent at home and claim access to resources abroad, it must build up its fleet, secure strategic positions around the world, resist the West's tendency to intervene against countries that violate liberal standards of human rights, demonstrate its readiness to defy the United States, and forge links with like-minded countries.</w:t>
      </w:r>
    </w:p>
    <w:p w:rsidR="006A5226" w:rsidRPr="006A5226" w:rsidRDefault="006A5226" w:rsidP="006A5226"/>
    <w:p w:rsidR="006A5226" w:rsidRDefault="006A5226" w:rsidP="006A5226">
      <w:pPr>
        <w:pStyle w:val="Heading2"/>
      </w:pPr>
      <w:r>
        <w:lastRenderedPageBreak/>
        <w:t>K</w:t>
      </w:r>
    </w:p>
    <w:p w:rsidR="006A5226" w:rsidRDefault="006A5226" w:rsidP="006A5226"/>
    <w:p w:rsidR="006A5226" w:rsidRDefault="006A5226" w:rsidP="006A5226">
      <w:r>
        <w:t>They don’t answer the economist card read on case, using incentives based environmental actions is key</w:t>
      </w:r>
    </w:p>
    <w:p w:rsidR="006A5226" w:rsidRDefault="006A5226" w:rsidP="006A5226">
      <w:r>
        <w:t>It avoids:</w:t>
      </w:r>
    </w:p>
    <w:p w:rsidR="006A5226" w:rsidRDefault="006A5226" w:rsidP="006A5226">
      <w:pPr>
        <w:pStyle w:val="ListParagraph"/>
        <w:numPr>
          <w:ilvl w:val="0"/>
          <w:numId w:val="1"/>
        </w:numPr>
      </w:pPr>
      <w:r>
        <w:t>Terrible action:</w:t>
      </w:r>
    </w:p>
    <w:p w:rsidR="006A5226" w:rsidRDefault="006A5226" w:rsidP="006A5226">
      <w:pPr>
        <w:rPr>
          <w:rFonts w:ascii="Georgia" w:hAnsi="Georgia"/>
          <w:sz w:val="16"/>
        </w:rPr>
      </w:pPr>
      <w:r w:rsidRPr="002F2629">
        <w:rPr>
          <w:rStyle w:val="StyleBoldUnderline"/>
          <w:highlight w:val="cyan"/>
        </w:rPr>
        <w:t xml:space="preserve">A more sensible green analysis </w:t>
      </w:r>
      <w:r w:rsidRPr="002F2629">
        <w:rPr>
          <w:sz w:val="16"/>
        </w:rPr>
        <w:t>of nuclear power</w:t>
      </w:r>
      <w:r w:rsidRPr="002F2629">
        <w:rPr>
          <w:rStyle w:val="StyleBoldUnderline"/>
        </w:rPr>
        <w:t xml:space="preserve"> </w:t>
      </w:r>
      <w:r w:rsidRPr="002F2629">
        <w:rPr>
          <w:rStyle w:val="StyleBoldUnderline"/>
          <w:highlight w:val="cyan"/>
        </w:rPr>
        <w:t>would weigh its</w:t>
      </w:r>
      <w:r w:rsidRPr="002F2629">
        <w:rPr>
          <w:rFonts w:ascii="Georgia" w:hAnsi="Georgia"/>
          <w:sz w:val="16"/>
        </w:rPr>
        <w:t xml:space="preserve"> (very high) economic </w:t>
      </w:r>
      <w:r w:rsidRPr="002F2629">
        <w:rPr>
          <w:rStyle w:val="StyleBoldUnderline"/>
          <w:highlight w:val="cyan"/>
        </w:rPr>
        <w:t>costs and</w:t>
      </w:r>
      <w:r w:rsidRPr="002F2629">
        <w:rPr>
          <w:rFonts w:ascii="Georgia" w:hAnsi="Georgia"/>
          <w:sz w:val="16"/>
          <w:highlight w:val="cyan"/>
        </w:rPr>
        <w:t xml:space="preserve"> </w:t>
      </w:r>
      <w:r w:rsidRPr="002F2629">
        <w:rPr>
          <w:rFonts w:ascii="Georgia" w:hAnsi="Georgia"/>
          <w:sz w:val="16"/>
        </w:rPr>
        <w:t xml:space="preserve">(fairly </w:t>
      </w:r>
      <w:r w:rsidRPr="002F2629">
        <w:rPr>
          <w:rStyle w:val="StyleBoldUnderline"/>
        </w:rPr>
        <w:t xml:space="preserve">low) </w:t>
      </w:r>
      <w:r w:rsidRPr="002F2629">
        <w:rPr>
          <w:rStyle w:val="StyleBoldUnderline"/>
          <w:highlight w:val="cyan"/>
        </w:rPr>
        <w:t>safety risks against the important benefit of generating electricity with no greenhouse-gas emissions</w:t>
      </w:r>
      <w:r w:rsidRPr="001E69E5">
        <w:rPr>
          <w:rFonts w:ascii="Georgia" w:hAnsi="Georgia"/>
          <w:b/>
          <w:bCs/>
          <w:sz w:val="20"/>
          <w:u w:val="single"/>
        </w:rPr>
        <w:t>.</w:t>
      </w:r>
      <w:r>
        <w:rPr>
          <w:rFonts w:ascii="Georgia" w:hAnsi="Georgia"/>
          <w:b/>
          <w:bCs/>
          <w:sz w:val="20"/>
          <w:u w:val="single"/>
        </w:rPr>
        <w:t xml:space="preserve"> </w:t>
      </w:r>
      <w:r w:rsidRPr="002F2629">
        <w:rPr>
          <w:rFonts w:ascii="Georgia" w:hAnsi="Georgia"/>
          <w:sz w:val="16"/>
        </w:rPr>
        <w:t>Small victories and bigger defeats The coming into force of the UN's Kyoto protocol on climate change might seem a victory for Europe's greens, but it actually masks a larger failure. The most promising aspect of the treaty—its innovative use of market-based instruments such as carbon-emissions trading—was resisted tooth and nail by Europe's greens. With courageous exceptions, American green groups also remain deeply suspicious of market forces.</w:t>
      </w:r>
    </w:p>
    <w:p w:rsidR="006A5226" w:rsidRDefault="006A5226" w:rsidP="006A5226">
      <w:pPr>
        <w:rPr>
          <w:rFonts w:ascii="Georgia" w:hAnsi="Georgia"/>
          <w:sz w:val="16"/>
        </w:rPr>
      </w:pPr>
    </w:p>
    <w:p w:rsidR="006A5226" w:rsidRDefault="006A5226" w:rsidP="006A5226">
      <w:pPr>
        <w:rPr>
          <w:rFonts w:ascii="Georgia" w:hAnsi="Georgia"/>
          <w:sz w:val="16"/>
        </w:rPr>
      </w:pPr>
      <w:r>
        <w:rPr>
          <w:rFonts w:ascii="Georgia" w:hAnsi="Georgia"/>
          <w:sz w:val="16"/>
        </w:rPr>
        <w:t>2: Alt alone fails to find good solutions:</w:t>
      </w:r>
    </w:p>
    <w:p w:rsidR="006A5226" w:rsidRDefault="006A5226" w:rsidP="006A5226">
      <w:pPr>
        <w:rPr>
          <w:rFonts w:ascii="Georgia" w:hAnsi="Georgia"/>
          <w:sz w:val="16"/>
        </w:rPr>
      </w:pPr>
      <w:r w:rsidRPr="002F2629">
        <w:rPr>
          <w:rFonts w:ascii="Georgia" w:hAnsi="Georgia"/>
          <w:sz w:val="16"/>
        </w:rPr>
        <w:t xml:space="preserve"> </w:t>
      </w:r>
      <w:r w:rsidRPr="002F2629">
        <w:rPr>
          <w:rStyle w:val="StyleBoldUnderline"/>
          <w:highlight w:val="cyan"/>
        </w:rPr>
        <w:t>If environmental groups continue to reject pragmatic solutions and instead drift toward Utopian</w:t>
      </w:r>
      <w:r w:rsidRPr="002F2629">
        <w:rPr>
          <w:rFonts w:ascii="Georgia" w:hAnsi="Georgia"/>
          <w:sz w:val="16"/>
        </w:rPr>
        <w:t xml:space="preserve"> (or dystopian) </w:t>
      </w:r>
      <w:r w:rsidRPr="002F2629">
        <w:rPr>
          <w:rStyle w:val="StyleBoldUnderline"/>
          <w:highlight w:val="cyan"/>
        </w:rPr>
        <w:t>visions of the future, they will lose the battle of ideas</w:t>
      </w:r>
      <w:r w:rsidRPr="002F2629">
        <w:rPr>
          <w:rFonts w:ascii="Georgia" w:hAnsi="Georgia"/>
          <w:sz w:val="16"/>
        </w:rPr>
        <w:t>. And</w:t>
      </w:r>
    </w:p>
    <w:p w:rsidR="006A5226" w:rsidRDefault="006A5226" w:rsidP="006A5226">
      <w:pPr>
        <w:rPr>
          <w:rFonts w:ascii="Georgia" w:hAnsi="Georgia"/>
          <w:sz w:val="16"/>
        </w:rPr>
      </w:pPr>
    </w:p>
    <w:p w:rsidR="006A5226" w:rsidRDefault="006A5226" w:rsidP="006A5226">
      <w:pPr>
        <w:rPr>
          <w:rFonts w:ascii="Georgia" w:hAnsi="Georgia"/>
          <w:sz w:val="16"/>
        </w:rPr>
      </w:pPr>
    </w:p>
    <w:p w:rsidR="006A5226" w:rsidRDefault="006A5226" w:rsidP="006A5226">
      <w:pPr>
        <w:rPr>
          <w:rFonts w:ascii="Georgia" w:hAnsi="Georgia"/>
          <w:sz w:val="16"/>
        </w:rPr>
      </w:pPr>
      <w:r>
        <w:rPr>
          <w:rFonts w:ascii="Georgia" w:hAnsi="Georgia"/>
          <w:sz w:val="16"/>
        </w:rPr>
        <w:t xml:space="preserve">Concede </w:t>
      </w:r>
      <w:proofErr w:type="spellStart"/>
      <w:r>
        <w:rPr>
          <w:rFonts w:ascii="Georgia" w:hAnsi="Georgia"/>
          <w:sz w:val="16"/>
        </w:rPr>
        <w:t>Krakoff</w:t>
      </w:r>
      <w:proofErr w:type="spellEnd"/>
      <w:r>
        <w:rPr>
          <w:rFonts w:ascii="Georgia" w:hAnsi="Georgia"/>
          <w:sz w:val="16"/>
        </w:rPr>
        <w:t>:</w:t>
      </w:r>
    </w:p>
    <w:p w:rsidR="006A5226" w:rsidRDefault="006A5226" w:rsidP="006A5226">
      <w:pPr>
        <w:pStyle w:val="ListParagraph"/>
        <w:numPr>
          <w:ilvl w:val="0"/>
          <w:numId w:val="2"/>
        </w:numPr>
      </w:pPr>
      <w:r>
        <w:t xml:space="preserve">Being aware of our consumption patterns will not solve, never leads to action.  </w:t>
      </w:r>
    </w:p>
    <w:p w:rsidR="006A5226" w:rsidRDefault="006A5226" w:rsidP="006A5226"/>
    <w:p w:rsidR="006A5226" w:rsidRDefault="006A5226" w:rsidP="006A5226">
      <w:r>
        <w:t>Concede Holmes:</w:t>
      </w:r>
    </w:p>
    <w:p w:rsidR="006A5226" w:rsidRDefault="006A5226" w:rsidP="006A5226">
      <w:pPr>
        <w:pStyle w:val="ListParagraph"/>
        <w:numPr>
          <w:ilvl w:val="0"/>
          <w:numId w:val="2"/>
        </w:numPr>
      </w:pPr>
      <w:r>
        <w:t>Production focus is better actually takes action, consumption alone fails to create change.</w:t>
      </w:r>
    </w:p>
    <w:p w:rsidR="006A5226" w:rsidRDefault="006A5226" w:rsidP="006A5226"/>
    <w:p w:rsidR="006A5226" w:rsidRDefault="006A5226" w:rsidP="006A5226"/>
    <w:p w:rsidR="006A5226" w:rsidRDefault="006A5226" w:rsidP="006A5226">
      <w:r>
        <w:t>Power and Mont:</w:t>
      </w:r>
    </w:p>
    <w:p w:rsidR="006A5226" w:rsidRDefault="006A5226" w:rsidP="006A5226">
      <w:pPr>
        <w:pStyle w:val="ListParagraph"/>
        <w:numPr>
          <w:ilvl w:val="0"/>
          <w:numId w:val="2"/>
        </w:numPr>
      </w:pPr>
      <w:r>
        <w:t>Must make institutional changes or else can’t solve</w:t>
      </w:r>
    </w:p>
    <w:p w:rsidR="006A5226" w:rsidRDefault="006A5226" w:rsidP="006A5226"/>
    <w:p w:rsidR="006A5226" w:rsidRDefault="006A5226" w:rsidP="006A5226"/>
    <w:p w:rsidR="006A5226" w:rsidRDefault="006A5226" w:rsidP="006A5226">
      <w:r>
        <w:t>Method:</w:t>
      </w:r>
    </w:p>
    <w:p w:rsidR="006A5226" w:rsidRDefault="006A5226" w:rsidP="006A5226"/>
    <w:p w:rsidR="006A5226" w:rsidRDefault="006A5226" w:rsidP="006A5226">
      <w:r>
        <w:t>Conceded:</w:t>
      </w:r>
    </w:p>
    <w:p w:rsidR="006A5226" w:rsidRDefault="006A5226" w:rsidP="006A5226">
      <w:pPr>
        <w:pStyle w:val="ListParagraph"/>
        <w:numPr>
          <w:ilvl w:val="0"/>
          <w:numId w:val="2"/>
        </w:numPr>
      </w:pPr>
      <w:r>
        <w:t>No agent for the alt: kills education can’t gain offense</w:t>
      </w:r>
    </w:p>
    <w:p w:rsidR="006A5226" w:rsidRDefault="006A5226" w:rsidP="006A5226"/>
    <w:p w:rsidR="006A5226" w:rsidRDefault="006A5226" w:rsidP="006A5226"/>
    <w:sectPr w:rsidR="006A5226" w:rsidSect="004778D1">
      <w:headerReference w:type="even" r:id="rId14"/>
      <w:headerReference w:type="default" r:id="rId15"/>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A6D" w:rsidRDefault="005E2A6D" w:rsidP="005F5576">
      <w:r>
        <w:separator/>
      </w:r>
    </w:p>
  </w:endnote>
  <w:endnote w:type="continuationSeparator" w:id="0">
    <w:p w:rsidR="005E2A6D" w:rsidRDefault="005E2A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A6D" w:rsidRDefault="005E2A6D" w:rsidP="005F5576">
      <w:r>
        <w:separator/>
      </w:r>
    </w:p>
  </w:footnote>
  <w:footnote w:type="continuationSeparator" w:id="0">
    <w:p w:rsidR="005E2A6D" w:rsidRDefault="005E2A6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Default="009472C4"/>
  <w:p w:rsidR="009472C4" w:rsidRDefault="009472C4"/>
  <w:p w:rsidR="009472C4" w:rsidRDefault="009472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Pr="004F7851" w:rsidRDefault="009472C4" w:rsidP="004778D1">
    <w:pPr>
      <w:pStyle w:val="Header"/>
      <w:rPr>
        <w:rStyle w:val="PageNumber"/>
        <w:b/>
      </w:rPr>
    </w:pPr>
    <w:r w:rsidRPr="004F7851">
      <w:rPr>
        <w:b/>
      </w:rPr>
      <w:t>W</w:t>
    </w:r>
    <w:r w:rsidR="000A55F5">
      <w:rPr>
        <w:b/>
      </w:rPr>
      <w:t>yoming</w:t>
    </w:r>
    <w:r w:rsidRPr="004F7851">
      <w:rPr>
        <w:b/>
      </w:rPr>
      <w:t xml:space="preserve"> </w:t>
    </w:r>
    <w:r w:rsidR="000A55F5">
      <w:rPr>
        <w:b/>
      </w:rPr>
      <w:t>Debate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6A5226">
      <w:rPr>
        <w:rStyle w:val="PageNumber"/>
        <w:b/>
        <w:noProof/>
      </w:rPr>
      <w:t>2</w:t>
    </w:r>
    <w:r w:rsidRPr="004F7851">
      <w:rPr>
        <w:rStyle w:val="PageNumber"/>
        <w:b/>
      </w:rPr>
      <w:fldChar w:fldCharType="end"/>
    </w:r>
  </w:p>
  <w:p w:rsidR="009472C4" w:rsidRPr="004F7851" w:rsidRDefault="009472C4" w:rsidP="004778D1">
    <w:pPr>
      <w:pStyle w:val="Header"/>
      <w:rPr>
        <w:b/>
      </w:rPr>
    </w:pPr>
    <w:r w:rsidRPr="004F7851">
      <w:rPr>
        <w:rStyle w:val="PageNumber"/>
        <w:b/>
      </w:rPr>
      <w:tab/>
    </w:r>
    <w:r w:rsidRPr="004F7851">
      <w:rPr>
        <w:rStyle w:val="PageNumbe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B3BC1"/>
    <w:multiLevelType w:val="hybridMultilevel"/>
    <w:tmpl w:val="59A471D2"/>
    <w:lvl w:ilvl="0" w:tplc="5F22F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E1DCF"/>
    <w:multiLevelType w:val="hybridMultilevel"/>
    <w:tmpl w:val="C7549F6C"/>
    <w:lvl w:ilvl="0" w:tplc="69F693E8">
      <w:start w:val="1"/>
      <w:numFmt w:val="bullet"/>
      <w:lvlText w:val="-"/>
      <w:lvlJc w:val="left"/>
      <w:pPr>
        <w:ind w:left="720" w:hanging="360"/>
      </w:pPr>
      <w:rPr>
        <w:rFonts w:ascii="Georgia" w:eastAsiaTheme="minorHAnsi" w:hAnsi="Georgia" w:cstheme="minorBid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A6D"/>
    <w:rsid w:val="00000B54"/>
    <w:rsid w:val="000022F2"/>
    <w:rsid w:val="00003DE4"/>
    <w:rsid w:val="00021F29"/>
    <w:rsid w:val="00027EED"/>
    <w:rsid w:val="0003285A"/>
    <w:rsid w:val="00033028"/>
    <w:rsid w:val="000360A7"/>
    <w:rsid w:val="000373EA"/>
    <w:rsid w:val="000406F9"/>
    <w:rsid w:val="00043B69"/>
    <w:rsid w:val="000452A0"/>
    <w:rsid w:val="00052A1D"/>
    <w:rsid w:val="00053B6D"/>
    <w:rsid w:val="0005480E"/>
    <w:rsid w:val="00055E12"/>
    <w:rsid w:val="00064A59"/>
    <w:rsid w:val="0007162E"/>
    <w:rsid w:val="00072894"/>
    <w:rsid w:val="00072DA6"/>
    <w:rsid w:val="000870A4"/>
    <w:rsid w:val="00090287"/>
    <w:rsid w:val="00090BA2"/>
    <w:rsid w:val="0009516E"/>
    <w:rsid w:val="00096CA5"/>
    <w:rsid w:val="00097D7E"/>
    <w:rsid w:val="000A1D39"/>
    <w:rsid w:val="000A4FA5"/>
    <w:rsid w:val="000A55F5"/>
    <w:rsid w:val="000B0AE8"/>
    <w:rsid w:val="000B3866"/>
    <w:rsid w:val="000C39A2"/>
    <w:rsid w:val="000C767D"/>
    <w:rsid w:val="000D0B76"/>
    <w:rsid w:val="000D2AE5"/>
    <w:rsid w:val="000D3A26"/>
    <w:rsid w:val="000D3D8D"/>
    <w:rsid w:val="000D551F"/>
    <w:rsid w:val="000E41A3"/>
    <w:rsid w:val="000E5648"/>
    <w:rsid w:val="000F37E7"/>
    <w:rsid w:val="00107124"/>
    <w:rsid w:val="00113151"/>
    <w:rsid w:val="00113C68"/>
    <w:rsid w:val="00114663"/>
    <w:rsid w:val="001158FF"/>
    <w:rsid w:val="0012057B"/>
    <w:rsid w:val="00121193"/>
    <w:rsid w:val="0012148B"/>
    <w:rsid w:val="00126D92"/>
    <w:rsid w:val="00127035"/>
    <w:rsid w:val="00140397"/>
    <w:rsid w:val="0014072D"/>
    <w:rsid w:val="00141F7D"/>
    <w:rsid w:val="00141FBF"/>
    <w:rsid w:val="0014573B"/>
    <w:rsid w:val="00145D5C"/>
    <w:rsid w:val="00160868"/>
    <w:rsid w:val="00162D2D"/>
    <w:rsid w:val="0016509D"/>
    <w:rsid w:val="0016711C"/>
    <w:rsid w:val="00170F47"/>
    <w:rsid w:val="00170F67"/>
    <w:rsid w:val="00171B64"/>
    <w:rsid w:val="00175018"/>
    <w:rsid w:val="00177A1E"/>
    <w:rsid w:val="00177E04"/>
    <w:rsid w:val="00182D51"/>
    <w:rsid w:val="00191858"/>
    <w:rsid w:val="0019587B"/>
    <w:rsid w:val="001A09FD"/>
    <w:rsid w:val="001A4F0E"/>
    <w:rsid w:val="001A71A3"/>
    <w:rsid w:val="001B0BEE"/>
    <w:rsid w:val="001B2219"/>
    <w:rsid w:val="001B4B4C"/>
    <w:rsid w:val="001B775F"/>
    <w:rsid w:val="001C1D82"/>
    <w:rsid w:val="001C2147"/>
    <w:rsid w:val="001C2E52"/>
    <w:rsid w:val="001C7C90"/>
    <w:rsid w:val="001D0D51"/>
    <w:rsid w:val="001D28BA"/>
    <w:rsid w:val="001D65A0"/>
    <w:rsid w:val="001E2B26"/>
    <w:rsid w:val="001E6616"/>
    <w:rsid w:val="001F2B4F"/>
    <w:rsid w:val="0020006E"/>
    <w:rsid w:val="002009AE"/>
    <w:rsid w:val="002101DA"/>
    <w:rsid w:val="002103BB"/>
    <w:rsid w:val="00222809"/>
    <w:rsid w:val="00225663"/>
    <w:rsid w:val="00225A06"/>
    <w:rsid w:val="00227E3D"/>
    <w:rsid w:val="00235BEE"/>
    <w:rsid w:val="0024023F"/>
    <w:rsid w:val="00240C4E"/>
    <w:rsid w:val="00243DC0"/>
    <w:rsid w:val="00244E5D"/>
    <w:rsid w:val="00250E16"/>
    <w:rsid w:val="002542BA"/>
    <w:rsid w:val="00257696"/>
    <w:rsid w:val="0026382E"/>
    <w:rsid w:val="00265C6E"/>
    <w:rsid w:val="00272786"/>
    <w:rsid w:val="00281F38"/>
    <w:rsid w:val="002846CB"/>
    <w:rsid w:val="00287AB7"/>
    <w:rsid w:val="002A213E"/>
    <w:rsid w:val="002A612B"/>
    <w:rsid w:val="002B3675"/>
    <w:rsid w:val="002C5772"/>
    <w:rsid w:val="002C5A6A"/>
    <w:rsid w:val="002D2887"/>
    <w:rsid w:val="002D2946"/>
    <w:rsid w:val="002D36DF"/>
    <w:rsid w:val="002D47E4"/>
    <w:rsid w:val="002D6BD6"/>
    <w:rsid w:val="002E20A2"/>
    <w:rsid w:val="002E4DD9"/>
    <w:rsid w:val="002F0314"/>
    <w:rsid w:val="00310258"/>
    <w:rsid w:val="0031182D"/>
    <w:rsid w:val="00314B9D"/>
    <w:rsid w:val="00315CA2"/>
    <w:rsid w:val="00317144"/>
    <w:rsid w:val="00323B02"/>
    <w:rsid w:val="00326EEB"/>
    <w:rsid w:val="00327094"/>
    <w:rsid w:val="0033078A"/>
    <w:rsid w:val="00341D6C"/>
    <w:rsid w:val="00343785"/>
    <w:rsid w:val="00347123"/>
    <w:rsid w:val="0034756E"/>
    <w:rsid w:val="00347E74"/>
    <w:rsid w:val="00354B5B"/>
    <w:rsid w:val="00383E0A"/>
    <w:rsid w:val="00385298"/>
    <w:rsid w:val="00390234"/>
    <w:rsid w:val="0039232E"/>
    <w:rsid w:val="00395C83"/>
    <w:rsid w:val="003A1E31"/>
    <w:rsid w:val="003A2A3B"/>
    <w:rsid w:val="003A440C"/>
    <w:rsid w:val="003A7533"/>
    <w:rsid w:val="003B024E"/>
    <w:rsid w:val="003B0C84"/>
    <w:rsid w:val="003B183E"/>
    <w:rsid w:val="003B2F3E"/>
    <w:rsid w:val="003C255F"/>
    <w:rsid w:val="003D36C0"/>
    <w:rsid w:val="003D72D1"/>
    <w:rsid w:val="003E317F"/>
    <w:rsid w:val="003E4831"/>
    <w:rsid w:val="003E48DE"/>
    <w:rsid w:val="003E7E8B"/>
    <w:rsid w:val="003F3E95"/>
    <w:rsid w:val="00403971"/>
    <w:rsid w:val="0041003A"/>
    <w:rsid w:val="004138EF"/>
    <w:rsid w:val="004410AD"/>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D30A9"/>
    <w:rsid w:val="004D3745"/>
    <w:rsid w:val="004D3987"/>
    <w:rsid w:val="004D3F6E"/>
    <w:rsid w:val="004E3132"/>
    <w:rsid w:val="004E552E"/>
    <w:rsid w:val="004E656D"/>
    <w:rsid w:val="004F0849"/>
    <w:rsid w:val="004F173C"/>
    <w:rsid w:val="004F1B8C"/>
    <w:rsid w:val="004F26CC"/>
    <w:rsid w:val="004F45B0"/>
    <w:rsid w:val="004F7690"/>
    <w:rsid w:val="005020C3"/>
    <w:rsid w:val="00505A78"/>
    <w:rsid w:val="005111F8"/>
    <w:rsid w:val="005136D2"/>
    <w:rsid w:val="00513FA2"/>
    <w:rsid w:val="00514387"/>
    <w:rsid w:val="00516459"/>
    <w:rsid w:val="00521B6F"/>
    <w:rsid w:val="00523C71"/>
    <w:rsid w:val="005349E1"/>
    <w:rsid w:val="00537EF5"/>
    <w:rsid w:val="005420CC"/>
    <w:rsid w:val="005434D0"/>
    <w:rsid w:val="0054437C"/>
    <w:rsid w:val="00544EE5"/>
    <w:rsid w:val="00546D61"/>
    <w:rsid w:val="005579BF"/>
    <w:rsid w:val="00563468"/>
    <w:rsid w:val="00565EAE"/>
    <w:rsid w:val="005713FE"/>
    <w:rsid w:val="00573677"/>
    <w:rsid w:val="00575F7D"/>
    <w:rsid w:val="00580383"/>
    <w:rsid w:val="00580E40"/>
    <w:rsid w:val="00586E93"/>
    <w:rsid w:val="00590731"/>
    <w:rsid w:val="005A506B"/>
    <w:rsid w:val="005A701C"/>
    <w:rsid w:val="005B3140"/>
    <w:rsid w:val="005B3F8B"/>
    <w:rsid w:val="005C0B05"/>
    <w:rsid w:val="005C1C15"/>
    <w:rsid w:val="005D056E"/>
    <w:rsid w:val="005D1156"/>
    <w:rsid w:val="005E0681"/>
    <w:rsid w:val="005E2635"/>
    <w:rsid w:val="005E2A6D"/>
    <w:rsid w:val="005E3E8A"/>
    <w:rsid w:val="005E3FE4"/>
    <w:rsid w:val="005E572E"/>
    <w:rsid w:val="005F5576"/>
    <w:rsid w:val="00601097"/>
    <w:rsid w:val="006014AB"/>
    <w:rsid w:val="00603D2A"/>
    <w:rsid w:val="006054FA"/>
    <w:rsid w:val="0061680A"/>
    <w:rsid w:val="00623B70"/>
    <w:rsid w:val="0062479F"/>
    <w:rsid w:val="00631F0D"/>
    <w:rsid w:val="0063578B"/>
    <w:rsid w:val="00636B3D"/>
    <w:rsid w:val="00640D86"/>
    <w:rsid w:val="00641025"/>
    <w:rsid w:val="006411BE"/>
    <w:rsid w:val="00641887"/>
    <w:rsid w:val="00645D56"/>
    <w:rsid w:val="00665BB6"/>
    <w:rsid w:val="006672D8"/>
    <w:rsid w:val="00670D96"/>
    <w:rsid w:val="00672877"/>
    <w:rsid w:val="0067401E"/>
    <w:rsid w:val="00683154"/>
    <w:rsid w:val="00690115"/>
    <w:rsid w:val="00690898"/>
    <w:rsid w:val="00691827"/>
    <w:rsid w:val="00693039"/>
    <w:rsid w:val="006A5226"/>
    <w:rsid w:val="006B2ACD"/>
    <w:rsid w:val="006B3816"/>
    <w:rsid w:val="006C64D4"/>
    <w:rsid w:val="006C6FE4"/>
    <w:rsid w:val="006D0941"/>
    <w:rsid w:val="006D50CB"/>
    <w:rsid w:val="006E14DE"/>
    <w:rsid w:val="006E15A5"/>
    <w:rsid w:val="006E53F0"/>
    <w:rsid w:val="006E55F7"/>
    <w:rsid w:val="006F7CDF"/>
    <w:rsid w:val="00700BDB"/>
    <w:rsid w:val="0070121B"/>
    <w:rsid w:val="00701E73"/>
    <w:rsid w:val="007044D7"/>
    <w:rsid w:val="00706DFF"/>
    <w:rsid w:val="00711FE2"/>
    <w:rsid w:val="00712649"/>
    <w:rsid w:val="00725623"/>
    <w:rsid w:val="00743059"/>
    <w:rsid w:val="00744F58"/>
    <w:rsid w:val="007554EA"/>
    <w:rsid w:val="00760019"/>
    <w:rsid w:val="00760A29"/>
    <w:rsid w:val="00762453"/>
    <w:rsid w:val="00771E18"/>
    <w:rsid w:val="007739F1"/>
    <w:rsid w:val="007745C6"/>
    <w:rsid w:val="007754E9"/>
    <w:rsid w:val="007755F6"/>
    <w:rsid w:val="00776209"/>
    <w:rsid w:val="007815E5"/>
    <w:rsid w:val="00783A99"/>
    <w:rsid w:val="00787343"/>
    <w:rsid w:val="00790BFA"/>
    <w:rsid w:val="00791121"/>
    <w:rsid w:val="00791C88"/>
    <w:rsid w:val="007A3D06"/>
    <w:rsid w:val="007B3F8E"/>
    <w:rsid w:val="007C0644"/>
    <w:rsid w:val="007D5F8B"/>
    <w:rsid w:val="007D65A7"/>
    <w:rsid w:val="007F5883"/>
    <w:rsid w:val="00810304"/>
    <w:rsid w:val="0081052E"/>
    <w:rsid w:val="008133F9"/>
    <w:rsid w:val="00823AAC"/>
    <w:rsid w:val="00843395"/>
    <w:rsid w:val="00843ACD"/>
    <w:rsid w:val="00854C66"/>
    <w:rsid w:val="008553E1"/>
    <w:rsid w:val="00856288"/>
    <w:rsid w:val="0085796E"/>
    <w:rsid w:val="008758B3"/>
    <w:rsid w:val="0087643B"/>
    <w:rsid w:val="00877669"/>
    <w:rsid w:val="00884C31"/>
    <w:rsid w:val="0089255B"/>
    <w:rsid w:val="00897F92"/>
    <w:rsid w:val="008A64C9"/>
    <w:rsid w:val="008B24B7"/>
    <w:rsid w:val="008B3A9F"/>
    <w:rsid w:val="008C68EE"/>
    <w:rsid w:val="008C7F44"/>
    <w:rsid w:val="008D06D4"/>
    <w:rsid w:val="008D4273"/>
    <w:rsid w:val="008D4EF3"/>
    <w:rsid w:val="008E0E4F"/>
    <w:rsid w:val="008E1524"/>
    <w:rsid w:val="008F322F"/>
    <w:rsid w:val="00905B15"/>
    <w:rsid w:val="00907DFE"/>
    <w:rsid w:val="00914596"/>
    <w:rsid w:val="009146BF"/>
    <w:rsid w:val="00930D1F"/>
    <w:rsid w:val="00935127"/>
    <w:rsid w:val="0094025E"/>
    <w:rsid w:val="0094256C"/>
    <w:rsid w:val="009472C4"/>
    <w:rsid w:val="009509B4"/>
    <w:rsid w:val="009706C1"/>
    <w:rsid w:val="00972858"/>
    <w:rsid w:val="0097434F"/>
    <w:rsid w:val="00975FCB"/>
    <w:rsid w:val="00977A30"/>
    <w:rsid w:val="00984B38"/>
    <w:rsid w:val="00987A62"/>
    <w:rsid w:val="009935A2"/>
    <w:rsid w:val="009A0636"/>
    <w:rsid w:val="009A20B2"/>
    <w:rsid w:val="009A6FF5"/>
    <w:rsid w:val="009B2B47"/>
    <w:rsid w:val="009B5662"/>
    <w:rsid w:val="009C17AD"/>
    <w:rsid w:val="009C3047"/>
    <w:rsid w:val="009C4298"/>
    <w:rsid w:val="009D0035"/>
    <w:rsid w:val="009D318C"/>
    <w:rsid w:val="009F19C8"/>
    <w:rsid w:val="00A0061F"/>
    <w:rsid w:val="00A0732B"/>
    <w:rsid w:val="00A10B8B"/>
    <w:rsid w:val="00A201C3"/>
    <w:rsid w:val="00A20B14"/>
    <w:rsid w:val="00A26733"/>
    <w:rsid w:val="00A3595E"/>
    <w:rsid w:val="00A36A5B"/>
    <w:rsid w:val="00A40C72"/>
    <w:rsid w:val="00A46C7F"/>
    <w:rsid w:val="00A4787A"/>
    <w:rsid w:val="00A51F3B"/>
    <w:rsid w:val="00A63006"/>
    <w:rsid w:val="00A74FDF"/>
    <w:rsid w:val="00A77145"/>
    <w:rsid w:val="00A772C7"/>
    <w:rsid w:val="00A80B77"/>
    <w:rsid w:val="00A82989"/>
    <w:rsid w:val="00A904FE"/>
    <w:rsid w:val="00A97427"/>
    <w:rsid w:val="00AA2D15"/>
    <w:rsid w:val="00AB1EEA"/>
    <w:rsid w:val="00AB362B"/>
    <w:rsid w:val="00AB4A95"/>
    <w:rsid w:val="00AB77DB"/>
    <w:rsid w:val="00AC222F"/>
    <w:rsid w:val="00AC6362"/>
    <w:rsid w:val="00AC7B3B"/>
    <w:rsid w:val="00AD3CE6"/>
    <w:rsid w:val="00AE1307"/>
    <w:rsid w:val="00AE20F9"/>
    <w:rsid w:val="00AE69AF"/>
    <w:rsid w:val="00AE7586"/>
    <w:rsid w:val="00AF48A5"/>
    <w:rsid w:val="00AF76D5"/>
    <w:rsid w:val="00AF7A65"/>
    <w:rsid w:val="00B0189C"/>
    <w:rsid w:val="00B06710"/>
    <w:rsid w:val="00B1510F"/>
    <w:rsid w:val="00B166CB"/>
    <w:rsid w:val="00B235E1"/>
    <w:rsid w:val="00B24E81"/>
    <w:rsid w:val="00B3145D"/>
    <w:rsid w:val="00B357BA"/>
    <w:rsid w:val="00B37CC4"/>
    <w:rsid w:val="00B502B0"/>
    <w:rsid w:val="00B53BC7"/>
    <w:rsid w:val="00B564DB"/>
    <w:rsid w:val="00B56723"/>
    <w:rsid w:val="00B57E11"/>
    <w:rsid w:val="00B6293B"/>
    <w:rsid w:val="00B657B1"/>
    <w:rsid w:val="00B73135"/>
    <w:rsid w:val="00B768B6"/>
    <w:rsid w:val="00B816A3"/>
    <w:rsid w:val="00B90068"/>
    <w:rsid w:val="00B908D1"/>
    <w:rsid w:val="00B94FC0"/>
    <w:rsid w:val="00BA60A9"/>
    <w:rsid w:val="00BB49D1"/>
    <w:rsid w:val="00BD08C9"/>
    <w:rsid w:val="00BD34D1"/>
    <w:rsid w:val="00BE2408"/>
    <w:rsid w:val="00BE3575"/>
    <w:rsid w:val="00BE390A"/>
    <w:rsid w:val="00BE3EC6"/>
    <w:rsid w:val="00BE3FBA"/>
    <w:rsid w:val="00BE5BEB"/>
    <w:rsid w:val="00BE6528"/>
    <w:rsid w:val="00BF0F45"/>
    <w:rsid w:val="00C01122"/>
    <w:rsid w:val="00C219EE"/>
    <w:rsid w:val="00C27212"/>
    <w:rsid w:val="00C34185"/>
    <w:rsid w:val="00C36B14"/>
    <w:rsid w:val="00C42DD6"/>
    <w:rsid w:val="00C440B1"/>
    <w:rsid w:val="00C47A5D"/>
    <w:rsid w:val="00C5096C"/>
    <w:rsid w:val="00C51D13"/>
    <w:rsid w:val="00C56BAF"/>
    <w:rsid w:val="00C61E66"/>
    <w:rsid w:val="00C62570"/>
    <w:rsid w:val="00C66858"/>
    <w:rsid w:val="00C7411E"/>
    <w:rsid w:val="00C74B78"/>
    <w:rsid w:val="00C76ADD"/>
    <w:rsid w:val="00C77D7F"/>
    <w:rsid w:val="00C84988"/>
    <w:rsid w:val="00C8707F"/>
    <w:rsid w:val="00C944DC"/>
    <w:rsid w:val="00C94778"/>
    <w:rsid w:val="00C96BA1"/>
    <w:rsid w:val="00CA4AF6"/>
    <w:rsid w:val="00CA59CA"/>
    <w:rsid w:val="00CB2356"/>
    <w:rsid w:val="00CB4075"/>
    <w:rsid w:val="00CB4369"/>
    <w:rsid w:val="00CB4E6D"/>
    <w:rsid w:val="00CC19DD"/>
    <w:rsid w:val="00CC23DE"/>
    <w:rsid w:val="00CC7187"/>
    <w:rsid w:val="00CD3E3A"/>
    <w:rsid w:val="00CE5238"/>
    <w:rsid w:val="00CE55A6"/>
    <w:rsid w:val="00CF6C18"/>
    <w:rsid w:val="00CF7EA8"/>
    <w:rsid w:val="00D004DA"/>
    <w:rsid w:val="00D01673"/>
    <w:rsid w:val="00D07BA4"/>
    <w:rsid w:val="00D109BA"/>
    <w:rsid w:val="00D215F6"/>
    <w:rsid w:val="00D2629F"/>
    <w:rsid w:val="00D2765B"/>
    <w:rsid w:val="00D31DF7"/>
    <w:rsid w:val="00D33B91"/>
    <w:rsid w:val="00D34355"/>
    <w:rsid w:val="00D41280"/>
    <w:rsid w:val="00D415C6"/>
    <w:rsid w:val="00D42F40"/>
    <w:rsid w:val="00D46513"/>
    <w:rsid w:val="00D51ABF"/>
    <w:rsid w:val="00D5444B"/>
    <w:rsid w:val="00D55302"/>
    <w:rsid w:val="00D57CBF"/>
    <w:rsid w:val="00D66ABC"/>
    <w:rsid w:val="00D71CFC"/>
    <w:rsid w:val="00D75389"/>
    <w:rsid w:val="00D810FA"/>
    <w:rsid w:val="00D8272D"/>
    <w:rsid w:val="00D86024"/>
    <w:rsid w:val="00D876EF"/>
    <w:rsid w:val="00D90FC1"/>
    <w:rsid w:val="00D94CA3"/>
    <w:rsid w:val="00D96595"/>
    <w:rsid w:val="00D96CC5"/>
    <w:rsid w:val="00DA018C"/>
    <w:rsid w:val="00DA4D41"/>
    <w:rsid w:val="00DA6243"/>
    <w:rsid w:val="00DB0F7E"/>
    <w:rsid w:val="00DB5489"/>
    <w:rsid w:val="00DB6C98"/>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635D"/>
    <w:rsid w:val="00E463FD"/>
    <w:rsid w:val="00E465B7"/>
    <w:rsid w:val="00E474A0"/>
    <w:rsid w:val="00E52CCF"/>
    <w:rsid w:val="00E55BB4"/>
    <w:rsid w:val="00E60C71"/>
    <w:rsid w:val="00E61D76"/>
    <w:rsid w:val="00E63167"/>
    <w:rsid w:val="00E6571B"/>
    <w:rsid w:val="00E66076"/>
    <w:rsid w:val="00E661FA"/>
    <w:rsid w:val="00E70912"/>
    <w:rsid w:val="00E73F32"/>
    <w:rsid w:val="00E90AA6"/>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325AE"/>
    <w:rsid w:val="00F5019D"/>
    <w:rsid w:val="00F5259F"/>
    <w:rsid w:val="00F528F2"/>
    <w:rsid w:val="00F55373"/>
    <w:rsid w:val="00F55F4A"/>
    <w:rsid w:val="00F634D6"/>
    <w:rsid w:val="00F64385"/>
    <w:rsid w:val="00F6473F"/>
    <w:rsid w:val="00F66BD6"/>
    <w:rsid w:val="00F76366"/>
    <w:rsid w:val="00F805C0"/>
    <w:rsid w:val="00F841B9"/>
    <w:rsid w:val="00F912E5"/>
    <w:rsid w:val="00FA06FC"/>
    <w:rsid w:val="00FA36FF"/>
    <w:rsid w:val="00FA38FE"/>
    <w:rsid w:val="00FB16FA"/>
    <w:rsid w:val="00FB37BF"/>
    <w:rsid w:val="00FB4261"/>
    <w:rsid w:val="00FB43B1"/>
    <w:rsid w:val="00FC0608"/>
    <w:rsid w:val="00FC2155"/>
    <w:rsid w:val="00FC41A7"/>
    <w:rsid w:val="00FD292D"/>
    <w:rsid w:val="00FD675B"/>
    <w:rsid w:val="00FD69CC"/>
    <w:rsid w:val="00FE380E"/>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20A2"/>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20A2"/>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34033104">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178933158">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520704365">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623586312">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64333957">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22074419">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 w:id="21103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arlisle-www.army.mil/usawc/Parameters/01autumn/Kane.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rometheus.org/2012/07/30/new-mlp-parity-act-could-give-a-boost-to-geothermalrenewable-energy-investor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ga.org/files/live/sites/NGA/files/pdf/1008CLEANENERGYELECTRICITYINCENTIVES.PDF"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3</Pages>
  <Words>1057</Words>
  <Characters>6451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3</cp:revision>
  <dcterms:created xsi:type="dcterms:W3CDTF">2012-11-11T22:59:00Z</dcterms:created>
  <dcterms:modified xsi:type="dcterms:W3CDTF">2012-11-11T23:18:00Z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