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29C" w:rsidRDefault="003D029C" w:rsidP="003D029C">
      <w:pPr>
        <w:pStyle w:val="Heading1"/>
        <w:framePr w:wrap="around"/>
      </w:pPr>
      <w:r>
        <w:t>2AC</w:t>
      </w:r>
    </w:p>
    <w:p w:rsidR="003D029C" w:rsidRPr="003D029C" w:rsidRDefault="003D029C" w:rsidP="003D029C">
      <w:pPr>
        <w:pStyle w:val="Heading2"/>
      </w:pPr>
      <w:r>
        <w:lastRenderedPageBreak/>
        <w:t>Organizations</w:t>
      </w:r>
    </w:p>
    <w:p w:rsidR="00DB5507" w:rsidRDefault="00DB5507" w:rsidP="00DB5507">
      <w:pPr>
        <w:pStyle w:val="Heading4"/>
      </w:pPr>
      <w:r>
        <w:t xml:space="preserve">Participating in organizations checks impulses to care about short-term personal issues </w:t>
      </w:r>
    </w:p>
    <w:p w:rsidR="00DB5507" w:rsidRDefault="00DB5507" w:rsidP="00DB5507">
      <w:r w:rsidRPr="0057654A">
        <w:rPr>
          <w:rStyle w:val="StyleStyleBold12pt"/>
        </w:rPr>
        <w:t>Cole 2011</w:t>
      </w:r>
      <w:r>
        <w:t xml:space="preserve"> - Professor, Georgetown University Law Center (Winter, David, “WHERE LIBERTY LIES: CIVIL SOCIETY AND INDIVIDUAL RIGHTS AFTER 9/11,” 57 Wayne L. Rev. 1203, Lexis)</w:t>
      </w:r>
    </w:p>
    <w:p w:rsidR="00DB5507" w:rsidRPr="007D58ED" w:rsidRDefault="00DB5507" w:rsidP="00DB5507"/>
    <w:p w:rsidR="00DB5507" w:rsidRDefault="00DB5507" w:rsidP="00DB5507">
      <w: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BE4B91">
        <w:rPr>
          <w:rStyle w:val="StyleBoldUnderline"/>
        </w:rPr>
        <w:t>Civil society offers a broad range of ways in which individuals may become involved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BE4B91">
        <w:rPr>
          <w:rStyle w:val="StyleBoldUnderline"/>
        </w:rPr>
        <w:t>But organized collective endeavors</w:t>
      </w:r>
      <w:r>
        <w:t xml:space="preserve">, with existing rights groups or through the creation of new ones, </w:t>
      </w:r>
      <w:r w:rsidRPr="00BE4B91">
        <w:rPr>
          <w:rStyle w:val="StyleBoldUnderline"/>
        </w:rPr>
        <w:t xml:space="preserve">are probably the most effective. Joining a group defined by its commitment to </w:t>
      </w:r>
      <w:r>
        <w:t xml:space="preserve">constitutional and human </w:t>
      </w:r>
      <w:r w:rsidRPr="00BE4B91">
        <w:rPr>
          <w:rStyle w:val="StyleBoldUnderline"/>
        </w:rPr>
        <w:t xml:space="preserve">rights is </w:t>
      </w:r>
      <w:r>
        <w:t xml:space="preserve">itself </w:t>
      </w:r>
      <w:r w:rsidRPr="00BE4B91">
        <w:rPr>
          <w:rStyle w:val="StyleBoldUnderline"/>
        </w:rPr>
        <w:t xml:space="preserve">a check on one's own temptations to short-circuit rights, or to waver in one's attention or commitment to rights. </w:t>
      </w:r>
      <w:r w:rsidRPr="00BE4B91">
        <w:rPr>
          <w:rStyle w:val="Emphasis"/>
        </w:rPr>
        <w:t>The collective not only magnifies the impact that an individual might have, but also helps 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3D029C" w:rsidRDefault="003D029C" w:rsidP="003D029C">
      <w:pPr>
        <w:pStyle w:val="Heading1"/>
        <w:framePr w:wrap="around"/>
      </w:pPr>
      <w:r>
        <w:lastRenderedPageBreak/>
        <w:t>1AR</w:t>
      </w:r>
    </w:p>
    <w:p w:rsidR="003D029C" w:rsidRDefault="003D029C" w:rsidP="003D029C">
      <w:pPr>
        <w:pStyle w:val="Heading2"/>
      </w:pPr>
      <w:r>
        <w:lastRenderedPageBreak/>
        <w:t>Coalitions</w:t>
      </w:r>
    </w:p>
    <w:p w:rsidR="003D029C" w:rsidRPr="003D029C" w:rsidRDefault="003D029C" w:rsidP="003D029C">
      <w:pPr>
        <w:rPr>
          <w:rFonts w:eastAsia="Calibri" w:cs="Times New Roman"/>
          <w:b/>
          <w:sz w:val="22"/>
          <w:szCs w:val="20"/>
        </w:rPr>
      </w:pPr>
      <w:r w:rsidRPr="003D029C">
        <w:rPr>
          <w:rFonts w:eastAsia="Calibri" w:cs="Times New Roman"/>
          <w:b/>
          <w:sz w:val="22"/>
          <w:szCs w:val="20"/>
        </w:rPr>
        <w:t>Their arguments about us not being able to perm their advocacy is a form of purity politics that means their alternative devolves to replicate oppression — only a coalition strategy of the perm solves</w:t>
      </w:r>
    </w:p>
    <w:p w:rsidR="003D029C" w:rsidRPr="003D029C" w:rsidRDefault="003D029C" w:rsidP="003D029C">
      <w:pPr>
        <w:rPr>
          <w:rFonts w:eastAsia="Calibri" w:cs="Times New Roman"/>
          <w:sz w:val="20"/>
          <w:szCs w:val="20"/>
        </w:rPr>
      </w:pPr>
      <w:r w:rsidRPr="003D029C">
        <w:rPr>
          <w:rFonts w:eastAsia="Calibri" w:cs="Times New Roman"/>
          <w:b/>
          <w:sz w:val="22"/>
          <w:szCs w:val="20"/>
        </w:rPr>
        <w:t xml:space="preserve">Grossberg 92 </w:t>
      </w:r>
      <w:r w:rsidRPr="003D029C">
        <w:rPr>
          <w:rFonts w:eastAsia="Calibri" w:cs="Times New Roman"/>
          <w:sz w:val="20"/>
          <w:szCs w:val="20"/>
        </w:rPr>
        <w:t>(Lawrence, Morris Davis Professor of Communication Studies at the University of North Carolina at Chapel Hill, “We Gotta Get Out of this Place: Popular Conservatism and Postmodern Culture”, page 396)</w:t>
      </w:r>
    </w:p>
    <w:p w:rsidR="003D029C" w:rsidRPr="003D029C" w:rsidRDefault="003D029C" w:rsidP="003D029C">
      <w:pPr>
        <w:rPr>
          <w:rFonts w:eastAsia="Malgun Gothic" w:cs="Times New Roman"/>
          <w:sz w:val="20"/>
          <w:szCs w:val="20"/>
          <w:u w:val="single"/>
        </w:rPr>
      </w:pPr>
      <w:r w:rsidRPr="003D029C">
        <w:rPr>
          <w:rFonts w:eastAsia="Calibri" w:cs="Times New Roman"/>
          <w:sz w:val="20"/>
          <w:szCs w:val="20"/>
        </w:rPr>
        <w:t xml:space="preserve">Above all, rethinking </w:t>
      </w:r>
      <w:r w:rsidRPr="003D029C">
        <w:rPr>
          <w:rFonts w:eastAsia="Malgun Gothic" w:cs="Times New Roman"/>
          <w:sz w:val="20"/>
          <w:szCs w:val="20"/>
          <w:u w:val="single"/>
        </w:rPr>
        <w:t xml:space="preserve">the possibility of a </w:t>
      </w:r>
      <w:r w:rsidRPr="003D029C">
        <w:rPr>
          <w:rFonts w:eastAsia="Malgun Gothic" w:cs="Times New Roman"/>
          <w:sz w:val="20"/>
          <w:szCs w:val="20"/>
          <w:highlight w:val="magenta"/>
          <w:u w:val="single"/>
        </w:rPr>
        <w:t>Left politics</w:t>
      </w:r>
      <w:r w:rsidRPr="003D029C">
        <w:rPr>
          <w:rFonts w:eastAsia="Malgun Gothic" w:cs="Times New Roman"/>
          <w:sz w:val="20"/>
          <w:szCs w:val="20"/>
          <w:u w:val="single"/>
        </w:rPr>
        <w:t xml:space="preserve"> will require a new model of intellectual and political authority which does not begin by confidently judging </w:t>
      </w:r>
      <w:r w:rsidRPr="003D029C">
        <w:rPr>
          <w:rFonts w:eastAsia="Calibri" w:cs="Times New Roman"/>
          <w:sz w:val="20"/>
          <w:szCs w:val="20"/>
        </w:rPr>
        <w:t>every investment,</w:t>
      </w:r>
      <w:r w:rsidRPr="003D029C">
        <w:rPr>
          <w:rFonts w:eastAsia="Malgun Gothic" w:cs="Times New Roman"/>
          <w:sz w:val="20"/>
          <w:szCs w:val="20"/>
          <w:u w:val="single"/>
        </w:rPr>
        <w:t xml:space="preserve"> every practice</w:t>
      </w:r>
      <w:r w:rsidRPr="003D029C">
        <w:rPr>
          <w:rFonts w:eastAsia="Calibri" w:cs="Times New Roman"/>
          <w:b/>
          <w:spacing w:val="-3"/>
          <w:sz w:val="20"/>
          <w:szCs w:val="20"/>
        </w:rPr>
        <w:t xml:space="preserve">, </w:t>
      </w:r>
      <w:r w:rsidRPr="003D029C">
        <w:rPr>
          <w:rFonts w:eastAsia="Calibri" w:cs="Times New Roman"/>
          <w:sz w:val="20"/>
          <w:szCs w:val="20"/>
        </w:rPr>
        <w:t xml:space="preserve">every articulation and every individual. </w:t>
      </w:r>
      <w:r w:rsidRPr="003D029C">
        <w:rPr>
          <w:rFonts w:eastAsia="Malgun Gothic" w:cs="Times New Roman"/>
          <w:sz w:val="20"/>
          <w:szCs w:val="20"/>
          <w:u w:val="single"/>
        </w:rPr>
        <w:t>It will have to measure both intel</w:t>
      </w:r>
      <w:r w:rsidRPr="003D029C">
        <w:rPr>
          <w:rFonts w:eastAsia="Malgun Gothic" w:cs="Times New Roman"/>
          <w:sz w:val="20"/>
          <w:szCs w:val="20"/>
          <w:u w:val="single"/>
        </w:rPr>
        <w:softHyphen/>
        <w:t>lectual and political progress by movement within the fragile and contradictory realities of people's lives, desires, fears and commit</w:t>
      </w:r>
      <w:r w:rsidRPr="003D029C">
        <w:rPr>
          <w:rFonts w:eastAsia="Malgun Gothic" w:cs="Times New Roman"/>
          <w:sz w:val="20"/>
          <w:szCs w:val="20"/>
          <w:u w:val="single"/>
        </w:rPr>
        <w:softHyphen/>
        <w:t xml:space="preserve">ments, and not by some idealized utopia nor by its own theoretical </w:t>
      </w:r>
      <w:r w:rsidRPr="003D029C">
        <w:rPr>
          <w:rFonts w:eastAsia="Calibri" w:cs="Times New Roman"/>
          <w:sz w:val="20"/>
          <w:szCs w:val="20"/>
        </w:rPr>
        <w:t>criteria</w:t>
      </w:r>
      <w:r w:rsidRPr="003D029C">
        <w:rPr>
          <w:rFonts w:eastAsia="Calibri" w:cs="Times New Roman"/>
          <w:sz w:val="20"/>
          <w:szCs w:val="20"/>
          <w:highlight w:val="yellow"/>
        </w:rPr>
        <w:t>.</w:t>
      </w:r>
      <w:r w:rsidRPr="003D029C">
        <w:rPr>
          <w:rFonts w:eastAsia="Calibri" w:cs="Times New Roman"/>
          <w:sz w:val="20"/>
          <w:szCs w:val="20"/>
        </w:rPr>
        <w:t xml:space="preserve"> </w:t>
      </w:r>
      <w:r w:rsidRPr="003D029C">
        <w:rPr>
          <w:rFonts w:eastAsia="Calibri" w:cs="Times New Roman"/>
          <w:color w:val="000000"/>
          <w:sz w:val="20"/>
          <w:szCs w:val="20"/>
          <w:u w:val="thick"/>
        </w:rPr>
        <w:t xml:space="preserve">It </w:t>
      </w:r>
      <w:r w:rsidRPr="003D029C">
        <w:rPr>
          <w:rFonts w:eastAsia="Calibri" w:cs="Times New Roman"/>
          <w:color w:val="000000"/>
          <w:sz w:val="20"/>
          <w:szCs w:val="20"/>
          <w:highlight w:val="magenta"/>
          <w:u w:val="single"/>
        </w:rPr>
        <w:t>will offer a moral and progressive politics which refuses to "police" everyday life</w:t>
      </w:r>
      <w:r w:rsidRPr="003D029C">
        <w:rPr>
          <w:rFonts w:eastAsia="Calibri" w:cs="Times New Roman"/>
          <w:sz w:val="20"/>
          <w:szCs w:val="20"/>
        </w:rPr>
        <w:t xml:space="preserve"> and to define a structure of "proper" and appropriate behaviors and attitudes. An impure politics—certainly, without the myth of a perfect reflexivity which can guarantee its authority (for authority is not an intellectual prize).</w:t>
      </w:r>
      <w:r w:rsidRPr="003D029C">
        <w:rPr>
          <w:rFonts w:eastAsia="Calibri" w:cs="Times New Roman"/>
          <w:b/>
          <w:spacing w:val="-1"/>
          <w:sz w:val="20"/>
          <w:szCs w:val="20"/>
        </w:rPr>
        <w:t xml:space="preserve"> </w:t>
      </w:r>
      <w:r w:rsidRPr="003D029C">
        <w:rPr>
          <w:rFonts w:eastAsia="Malgun Gothic" w:cs="Times New Roman"/>
          <w:sz w:val="20"/>
          <w:szCs w:val="20"/>
          <w:highlight w:val="magenta"/>
          <w:u w:val="single"/>
        </w:rPr>
        <w:t>A contaminated politics, never innocent, rooted in</w:t>
      </w:r>
      <w:r w:rsidRPr="003D029C">
        <w:rPr>
          <w:rFonts w:eastAsia="Calibri" w:cs="Times New Roman"/>
          <w:sz w:val="20"/>
          <w:szCs w:val="20"/>
        </w:rPr>
        <w:t xml:space="preserve"> the </w:t>
      </w:r>
      <w:r w:rsidRPr="003D029C">
        <w:rPr>
          <w:rFonts w:eastAsia="Malgun Gothic" w:cs="Times New Roman"/>
          <w:sz w:val="20"/>
          <w:szCs w:val="20"/>
          <w:highlight w:val="magenta"/>
          <w:u w:val="single"/>
        </w:rPr>
        <w:t>organization</w:t>
      </w:r>
      <w:r w:rsidRPr="003D029C">
        <w:rPr>
          <w:rFonts w:eastAsia="Calibri" w:cs="Times New Roman"/>
          <w:sz w:val="20"/>
          <w:szCs w:val="20"/>
        </w:rPr>
        <w:t xml:space="preserve"> of distance and densities through which all of us move together and apart, sometimes hesitatingly, at other times recklessly. A politics</w:t>
      </w:r>
      <w:r w:rsidRPr="003D029C">
        <w:rPr>
          <w:rFonts w:eastAsia="Calibri" w:cs="Times New Roman"/>
          <w:b/>
          <w:spacing w:val="2"/>
          <w:sz w:val="20"/>
          <w:szCs w:val="20"/>
        </w:rPr>
        <w:t xml:space="preserve"> </w:t>
      </w:r>
      <w:r w:rsidRPr="003D029C">
        <w:rPr>
          <w:rFonts w:eastAsia="Malgun Gothic" w:cs="Times New Roman"/>
          <w:sz w:val="20"/>
          <w:szCs w:val="20"/>
          <w:highlight w:val="magenta"/>
          <w:u w:val="single"/>
        </w:rPr>
        <w:t>that attempts to move people</w:t>
      </w:r>
      <w:r w:rsidRPr="003D029C">
        <w:rPr>
          <w:rFonts w:eastAsia="Calibri" w:cs="Times New Roman"/>
          <w:b/>
          <w:spacing w:val="2"/>
          <w:sz w:val="20"/>
          <w:szCs w:val="20"/>
        </w:rPr>
        <w:t xml:space="preserve">, </w:t>
      </w:r>
      <w:r w:rsidRPr="003D029C">
        <w:rPr>
          <w:rFonts w:eastAsia="Calibri" w:cs="Times New Roman"/>
          <w:sz w:val="20"/>
          <w:szCs w:val="20"/>
        </w:rPr>
        <w:t>perhaps just a little at first,</w:t>
      </w:r>
      <w:r w:rsidRPr="003D029C">
        <w:rPr>
          <w:rFonts w:eastAsia="Calibri" w:cs="Times New Roman"/>
          <w:b/>
          <w:spacing w:val="2"/>
          <w:sz w:val="20"/>
          <w:szCs w:val="20"/>
        </w:rPr>
        <w:t xml:space="preserve"> </w:t>
      </w:r>
      <w:r w:rsidRPr="003D029C">
        <w:rPr>
          <w:rFonts w:eastAsia="Malgun Gothic" w:cs="Times New Roman"/>
          <w:sz w:val="20"/>
          <w:szCs w:val="20"/>
          <w:highlight w:val="magenta"/>
          <w:u w:val="single"/>
        </w:rPr>
        <w:t>in a different direction</w:t>
      </w:r>
      <w:r w:rsidRPr="003D029C">
        <w:rPr>
          <w:rFonts w:eastAsia="Calibri" w:cs="Times New Roman"/>
          <w:b/>
          <w:spacing w:val="2"/>
          <w:sz w:val="20"/>
          <w:szCs w:val="20"/>
        </w:rPr>
        <w:t xml:space="preserve">. </w:t>
      </w:r>
      <w:r w:rsidRPr="003D029C">
        <w:rPr>
          <w:rFonts w:eastAsia="Calibri" w:cs="Times New Roman"/>
          <w:sz w:val="20"/>
          <w:szCs w:val="20"/>
        </w:rPr>
        <w:t>But a politics nonetheless, one which speaks with a certain authority, as limited and frail as the lives of those who speak it. It will have to be a politics articulated by and for people who are inevitably impli</w:t>
      </w:r>
      <w:r w:rsidRPr="003D029C">
        <w:rPr>
          <w:rFonts w:eastAsia="Calibri" w:cs="Times New Roman"/>
          <w:sz w:val="20"/>
          <w:szCs w:val="20"/>
        </w:rPr>
        <w:softHyphen/>
        <w:t>cated in the contemporary crisis of authority and whose lives have been shaped by it. A politics for and by people who live in the contemporary world of popular tastes, and who are caught in the disciplined mobilization of everyday life</w:t>
      </w:r>
      <w:r w:rsidRPr="003D029C">
        <w:rPr>
          <w:rFonts w:eastAsia="Calibri" w:cs="Times New Roman"/>
          <w:b/>
          <w:spacing w:val="-1"/>
          <w:sz w:val="20"/>
          <w:szCs w:val="20"/>
        </w:rPr>
        <w:t xml:space="preserve">. </w:t>
      </w:r>
      <w:r w:rsidRPr="003D029C">
        <w:rPr>
          <w:rFonts w:eastAsia="Malgun Gothic" w:cs="Times New Roman"/>
          <w:sz w:val="20"/>
          <w:szCs w:val="20"/>
          <w:highlight w:val="magenta"/>
          <w:u w:val="single"/>
        </w:rPr>
        <w:t xml:space="preserve">A politics for people who are never innocent </w:t>
      </w:r>
      <w:r w:rsidRPr="003D029C">
        <w:rPr>
          <w:rFonts w:eastAsia="Malgun Gothic" w:cs="Times New Roman"/>
          <w:sz w:val="20"/>
          <w:szCs w:val="20"/>
          <w:highlight w:val="yellow"/>
          <w:u w:val="single"/>
        </w:rPr>
        <w:t xml:space="preserve">and </w:t>
      </w:r>
      <w:r w:rsidRPr="003D029C">
        <w:rPr>
          <w:rFonts w:eastAsia="Malgun Gothic" w:cs="Times New Roman"/>
          <w:sz w:val="20"/>
          <w:szCs w:val="20"/>
          <w:highlight w:val="magenta"/>
          <w:u w:val="single"/>
        </w:rPr>
        <w:t xml:space="preserve">whose hopes are </w:t>
      </w:r>
      <w:r w:rsidRPr="003D029C">
        <w:rPr>
          <w:rFonts w:eastAsia="Malgun Gothic" w:cs="Times New Roman"/>
          <w:sz w:val="20"/>
          <w:szCs w:val="20"/>
          <w:u w:val="single"/>
        </w:rPr>
        <w:t xml:space="preserve">always partly </w:t>
      </w:r>
      <w:r w:rsidRPr="003D029C">
        <w:rPr>
          <w:rFonts w:eastAsia="Malgun Gothic" w:cs="Times New Roman"/>
          <w:sz w:val="20"/>
          <w:szCs w:val="20"/>
          <w:highlight w:val="magenta"/>
          <w:u w:val="single"/>
        </w:rPr>
        <w:t xml:space="preserve">defined by </w:t>
      </w:r>
      <w:r w:rsidRPr="003D029C">
        <w:rPr>
          <w:rFonts w:eastAsia="Malgun Gothic" w:cs="Times New Roman"/>
          <w:sz w:val="20"/>
          <w:szCs w:val="20"/>
          <w:highlight w:val="yellow"/>
          <w:u w:val="single"/>
        </w:rPr>
        <w:t xml:space="preserve">the </w:t>
      </w:r>
      <w:r w:rsidRPr="003D029C">
        <w:rPr>
          <w:rFonts w:eastAsia="Malgun Gothic" w:cs="Times New Roman"/>
          <w:sz w:val="20"/>
          <w:szCs w:val="20"/>
          <w:u w:val="single"/>
        </w:rPr>
        <w:t xml:space="preserve">very </w:t>
      </w:r>
      <w:r w:rsidRPr="003D029C">
        <w:rPr>
          <w:rFonts w:eastAsia="Malgun Gothic" w:cs="Times New Roman"/>
          <w:sz w:val="20"/>
          <w:szCs w:val="20"/>
          <w:highlight w:val="magenta"/>
          <w:u w:val="single"/>
        </w:rPr>
        <w:t xml:space="preserve">powers and inequalities they oppose. A modest politics that struggles to effect real change, that enters into </w:t>
      </w:r>
      <w:r w:rsidRPr="003D029C">
        <w:rPr>
          <w:rFonts w:eastAsia="Malgun Gothic" w:cs="Times New Roman"/>
          <w:sz w:val="20"/>
          <w:szCs w:val="20"/>
          <w:u w:val="single"/>
        </w:rPr>
        <w:t xml:space="preserve">the often boring </w:t>
      </w:r>
      <w:r w:rsidRPr="003D029C">
        <w:rPr>
          <w:rFonts w:eastAsia="Malgun Gothic" w:cs="Times New Roman"/>
          <w:sz w:val="20"/>
          <w:szCs w:val="20"/>
          <w:highlight w:val="magenta"/>
          <w:u w:val="single"/>
        </w:rPr>
        <w:t>challenges of strategy and compromise. An impure politics fighting for high stakes.</w:t>
      </w:r>
    </w:p>
    <w:p w:rsidR="003D029C" w:rsidRPr="003D029C" w:rsidRDefault="003D029C" w:rsidP="003D029C"/>
    <w:p w:rsidR="000022F2" w:rsidRDefault="003D029C" w:rsidP="003D029C">
      <w:pPr>
        <w:pStyle w:val="Heading2"/>
      </w:pPr>
      <w:r>
        <w:lastRenderedPageBreak/>
        <w:t xml:space="preserve">Ext: </w:t>
      </w:r>
      <w:bookmarkStart w:id="0" w:name="_GoBack"/>
      <w:bookmarkEnd w:id="0"/>
      <w:r>
        <w:t>Organizations</w:t>
      </w:r>
    </w:p>
    <w:p w:rsidR="003D029C" w:rsidRDefault="003D029C" w:rsidP="003D029C">
      <w:pPr>
        <w:pStyle w:val="Heading4"/>
      </w:pPr>
      <w:r>
        <w:t xml:space="preserve">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3D029C" w:rsidRDefault="003D029C" w:rsidP="003D029C">
      <w:r w:rsidRPr="00704836">
        <w:rPr>
          <w:rStyle w:val="StyleStyleBold12pt"/>
        </w:rPr>
        <w:t>Algoso 2011</w:t>
      </w:r>
      <w:r>
        <w:t xml:space="preserve"> – Masters in Public Administration (May 31, Dave, “Why I got an MPA: Because organizations matter” </w:t>
      </w:r>
      <w:hyperlink r:id="rId9" w:history="1">
        <w:r w:rsidRPr="00407278">
          <w:rPr>
            <w:rStyle w:val="Hyperlink"/>
          </w:rPr>
          <w:t>http://findwhatworks.wordpress.com/2011/05/31/why-i-got-an-mpa-because-organizations-matter/</w:t>
        </w:r>
      </w:hyperlink>
      <w:r>
        <w:t>)</w:t>
      </w:r>
    </w:p>
    <w:p w:rsidR="003D029C" w:rsidRPr="000B2B1D" w:rsidRDefault="003D029C" w:rsidP="003D029C">
      <w:r>
        <w:t xml:space="preserve"> </w:t>
      </w:r>
    </w:p>
    <w:p w:rsidR="003D029C" w:rsidRDefault="003D029C" w:rsidP="003D029C">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3D029C" w:rsidRPr="003D029C" w:rsidRDefault="003D029C" w:rsidP="003D029C"/>
    <w:sectPr w:rsidR="003D029C" w:rsidRPr="003D029C" w:rsidSect="00525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BF3" w:rsidRDefault="00F05BF3" w:rsidP="005F5576">
      <w:r>
        <w:separator/>
      </w:r>
    </w:p>
  </w:endnote>
  <w:endnote w:type="continuationSeparator" w:id="0">
    <w:p w:rsidR="00F05BF3" w:rsidRDefault="00F05B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BF3" w:rsidRDefault="00F05BF3" w:rsidP="005F5576">
      <w:r>
        <w:separator/>
      </w:r>
    </w:p>
  </w:footnote>
  <w:footnote w:type="continuationSeparator" w:id="0">
    <w:p w:rsidR="00F05BF3" w:rsidRDefault="00F05B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07"/>
    <w:rsid w:val="000022F2"/>
    <w:rsid w:val="0000459F"/>
    <w:rsid w:val="00004EB4"/>
    <w:rsid w:val="00017F1E"/>
    <w:rsid w:val="0002196C"/>
    <w:rsid w:val="00021F29"/>
    <w:rsid w:val="00027EED"/>
    <w:rsid w:val="0003041D"/>
    <w:rsid w:val="00033028"/>
    <w:rsid w:val="000360A7"/>
    <w:rsid w:val="0005261E"/>
    <w:rsid w:val="00052A1D"/>
    <w:rsid w:val="00055E12"/>
    <w:rsid w:val="00064A59"/>
    <w:rsid w:val="0007162E"/>
    <w:rsid w:val="00073B9A"/>
    <w:rsid w:val="000743D7"/>
    <w:rsid w:val="00090287"/>
    <w:rsid w:val="00090BA2"/>
    <w:rsid w:val="000978A3"/>
    <w:rsid w:val="00097D7E"/>
    <w:rsid w:val="000A1D39"/>
    <w:rsid w:val="000A4FA5"/>
    <w:rsid w:val="000B61C8"/>
    <w:rsid w:val="000C1115"/>
    <w:rsid w:val="000C4F55"/>
    <w:rsid w:val="000C767D"/>
    <w:rsid w:val="000D0B76"/>
    <w:rsid w:val="000D2AE5"/>
    <w:rsid w:val="000D3A26"/>
    <w:rsid w:val="000D3D8D"/>
    <w:rsid w:val="000E41A3"/>
    <w:rsid w:val="000F37E7"/>
    <w:rsid w:val="00105F4F"/>
    <w:rsid w:val="00113C68"/>
    <w:rsid w:val="00114663"/>
    <w:rsid w:val="0012057B"/>
    <w:rsid w:val="00126D92"/>
    <w:rsid w:val="001301AC"/>
    <w:rsid w:val="001304DF"/>
    <w:rsid w:val="00140397"/>
    <w:rsid w:val="0014072D"/>
    <w:rsid w:val="00141F7D"/>
    <w:rsid w:val="00141FBF"/>
    <w:rsid w:val="00154DA7"/>
    <w:rsid w:val="0016509D"/>
    <w:rsid w:val="0016711C"/>
    <w:rsid w:val="00167A9F"/>
    <w:rsid w:val="001711E1"/>
    <w:rsid w:val="00175018"/>
    <w:rsid w:val="0017670E"/>
    <w:rsid w:val="00177828"/>
    <w:rsid w:val="00177A1E"/>
    <w:rsid w:val="00182D51"/>
    <w:rsid w:val="0018565A"/>
    <w:rsid w:val="0019587B"/>
    <w:rsid w:val="001A4F0E"/>
    <w:rsid w:val="001A764E"/>
    <w:rsid w:val="001B0A04"/>
    <w:rsid w:val="001B3CEC"/>
    <w:rsid w:val="001C1D82"/>
    <w:rsid w:val="001C2147"/>
    <w:rsid w:val="001C587E"/>
    <w:rsid w:val="001C7C90"/>
    <w:rsid w:val="001D0D51"/>
    <w:rsid w:val="001D3E5E"/>
    <w:rsid w:val="001F7572"/>
    <w:rsid w:val="0020006E"/>
    <w:rsid w:val="002009AE"/>
    <w:rsid w:val="002101DA"/>
    <w:rsid w:val="00217499"/>
    <w:rsid w:val="0024023F"/>
    <w:rsid w:val="00240C4E"/>
    <w:rsid w:val="00243DC0"/>
    <w:rsid w:val="00245891"/>
    <w:rsid w:val="00250E16"/>
    <w:rsid w:val="00257696"/>
    <w:rsid w:val="0025798E"/>
    <w:rsid w:val="0026382E"/>
    <w:rsid w:val="00272786"/>
    <w:rsid w:val="002848DC"/>
    <w:rsid w:val="00287AB7"/>
    <w:rsid w:val="00294D00"/>
    <w:rsid w:val="002A213E"/>
    <w:rsid w:val="002A612B"/>
    <w:rsid w:val="002B68A4"/>
    <w:rsid w:val="002C571D"/>
    <w:rsid w:val="002C5772"/>
    <w:rsid w:val="002D0374"/>
    <w:rsid w:val="002D2946"/>
    <w:rsid w:val="002D4305"/>
    <w:rsid w:val="002D529E"/>
    <w:rsid w:val="002D6BD6"/>
    <w:rsid w:val="002E4DD9"/>
    <w:rsid w:val="002F0314"/>
    <w:rsid w:val="0031182D"/>
    <w:rsid w:val="00314B9D"/>
    <w:rsid w:val="00315CA2"/>
    <w:rsid w:val="00316FEB"/>
    <w:rsid w:val="003223DD"/>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98"/>
    <w:rsid w:val="003C756E"/>
    <w:rsid w:val="003D029C"/>
    <w:rsid w:val="003D2C33"/>
    <w:rsid w:val="003E4831"/>
    <w:rsid w:val="003E48DE"/>
    <w:rsid w:val="003E7E8B"/>
    <w:rsid w:val="003F3030"/>
    <w:rsid w:val="003F47AE"/>
    <w:rsid w:val="00403971"/>
    <w:rsid w:val="00407386"/>
    <w:rsid w:val="004138EF"/>
    <w:rsid w:val="004319DE"/>
    <w:rsid w:val="00435232"/>
    <w:rsid w:val="004354A2"/>
    <w:rsid w:val="004400EA"/>
    <w:rsid w:val="00450882"/>
    <w:rsid w:val="00451C20"/>
    <w:rsid w:val="00452001"/>
    <w:rsid w:val="0045442E"/>
    <w:rsid w:val="004564E2"/>
    <w:rsid w:val="00462418"/>
    <w:rsid w:val="0047055C"/>
    <w:rsid w:val="00471A70"/>
    <w:rsid w:val="00473A79"/>
    <w:rsid w:val="00475E03"/>
    <w:rsid w:val="00476723"/>
    <w:rsid w:val="0047798D"/>
    <w:rsid w:val="004931DE"/>
    <w:rsid w:val="004A6083"/>
    <w:rsid w:val="004A6E81"/>
    <w:rsid w:val="004A7806"/>
    <w:rsid w:val="004B0545"/>
    <w:rsid w:val="004B7E46"/>
    <w:rsid w:val="004C7FF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5A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5E53"/>
    <w:rsid w:val="006672D8"/>
    <w:rsid w:val="00670D96"/>
    <w:rsid w:val="00672877"/>
    <w:rsid w:val="00676E89"/>
    <w:rsid w:val="00683154"/>
    <w:rsid w:val="00690115"/>
    <w:rsid w:val="00690898"/>
    <w:rsid w:val="00693039"/>
    <w:rsid w:val="00693A5A"/>
    <w:rsid w:val="006B302F"/>
    <w:rsid w:val="006B760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5881"/>
    <w:rsid w:val="007D65A7"/>
    <w:rsid w:val="007E3F59"/>
    <w:rsid w:val="007E5043"/>
    <w:rsid w:val="007E5183"/>
    <w:rsid w:val="008133F9"/>
    <w:rsid w:val="00816083"/>
    <w:rsid w:val="00823AAC"/>
    <w:rsid w:val="00833BCF"/>
    <w:rsid w:val="00854C66"/>
    <w:rsid w:val="008553E1"/>
    <w:rsid w:val="0087643B"/>
    <w:rsid w:val="00877669"/>
    <w:rsid w:val="00897F92"/>
    <w:rsid w:val="008A64C9"/>
    <w:rsid w:val="008B180A"/>
    <w:rsid w:val="008B24B7"/>
    <w:rsid w:val="008B657A"/>
    <w:rsid w:val="008C2CD8"/>
    <w:rsid w:val="008C3827"/>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119"/>
    <w:rsid w:val="009706C1"/>
    <w:rsid w:val="00976675"/>
    <w:rsid w:val="00976FBF"/>
    <w:rsid w:val="00984B38"/>
    <w:rsid w:val="009A0636"/>
    <w:rsid w:val="009A6FF5"/>
    <w:rsid w:val="009B2B47"/>
    <w:rsid w:val="009B35DB"/>
    <w:rsid w:val="009C4298"/>
    <w:rsid w:val="009D318C"/>
    <w:rsid w:val="009D5116"/>
    <w:rsid w:val="00A05921"/>
    <w:rsid w:val="00A10B8B"/>
    <w:rsid w:val="00A20D78"/>
    <w:rsid w:val="00A2174A"/>
    <w:rsid w:val="00A26733"/>
    <w:rsid w:val="00A3595E"/>
    <w:rsid w:val="00A46C7F"/>
    <w:rsid w:val="00A601B3"/>
    <w:rsid w:val="00A73245"/>
    <w:rsid w:val="00A77145"/>
    <w:rsid w:val="00A82989"/>
    <w:rsid w:val="00A904FE"/>
    <w:rsid w:val="00A9262C"/>
    <w:rsid w:val="00AB3B76"/>
    <w:rsid w:val="00AB5528"/>
    <w:rsid w:val="00AB61DD"/>
    <w:rsid w:val="00AC222F"/>
    <w:rsid w:val="00AC2CC7"/>
    <w:rsid w:val="00AC7B3B"/>
    <w:rsid w:val="00AD3CE6"/>
    <w:rsid w:val="00AE1307"/>
    <w:rsid w:val="00AE7586"/>
    <w:rsid w:val="00AF2740"/>
    <w:rsid w:val="00AF46D0"/>
    <w:rsid w:val="00AF7A65"/>
    <w:rsid w:val="00B06710"/>
    <w:rsid w:val="00B07EBF"/>
    <w:rsid w:val="00B1403E"/>
    <w:rsid w:val="00B166CB"/>
    <w:rsid w:val="00B235E1"/>
    <w:rsid w:val="00B272CF"/>
    <w:rsid w:val="00B3145D"/>
    <w:rsid w:val="00B31E60"/>
    <w:rsid w:val="00B357BA"/>
    <w:rsid w:val="00B564DB"/>
    <w:rsid w:val="00B768B6"/>
    <w:rsid w:val="00B816A3"/>
    <w:rsid w:val="00B827C9"/>
    <w:rsid w:val="00B908D1"/>
    <w:rsid w:val="00B940D1"/>
    <w:rsid w:val="00BB58BD"/>
    <w:rsid w:val="00BB6A26"/>
    <w:rsid w:val="00BC1034"/>
    <w:rsid w:val="00BD691B"/>
    <w:rsid w:val="00BE2408"/>
    <w:rsid w:val="00BE3EC6"/>
    <w:rsid w:val="00BE5BEB"/>
    <w:rsid w:val="00BE6528"/>
    <w:rsid w:val="00C0087A"/>
    <w:rsid w:val="00C05F9D"/>
    <w:rsid w:val="00C27212"/>
    <w:rsid w:val="00C34185"/>
    <w:rsid w:val="00C42DD6"/>
    <w:rsid w:val="00C545E7"/>
    <w:rsid w:val="00C62DBD"/>
    <w:rsid w:val="00C66858"/>
    <w:rsid w:val="00C7411E"/>
    <w:rsid w:val="00C84988"/>
    <w:rsid w:val="00C97334"/>
    <w:rsid w:val="00CA447B"/>
    <w:rsid w:val="00CA4AF6"/>
    <w:rsid w:val="00CA59CA"/>
    <w:rsid w:val="00CB2356"/>
    <w:rsid w:val="00CB365C"/>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CB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5507"/>
    <w:rsid w:val="00DB6C98"/>
    <w:rsid w:val="00DC701C"/>
    <w:rsid w:val="00DD7F91"/>
    <w:rsid w:val="00E00376"/>
    <w:rsid w:val="00E01016"/>
    <w:rsid w:val="00E043B1"/>
    <w:rsid w:val="00E14EBD"/>
    <w:rsid w:val="00E16734"/>
    <w:rsid w:val="00E168FE"/>
    <w:rsid w:val="00E23260"/>
    <w:rsid w:val="00E2367A"/>
    <w:rsid w:val="00E27BC7"/>
    <w:rsid w:val="00E35FC9"/>
    <w:rsid w:val="00E377A4"/>
    <w:rsid w:val="00E41346"/>
    <w:rsid w:val="00E420E9"/>
    <w:rsid w:val="00E4635D"/>
    <w:rsid w:val="00E56F45"/>
    <w:rsid w:val="00E61D76"/>
    <w:rsid w:val="00E674DB"/>
    <w:rsid w:val="00E70912"/>
    <w:rsid w:val="00E75F28"/>
    <w:rsid w:val="00E90AA6"/>
    <w:rsid w:val="00E977B8"/>
    <w:rsid w:val="00E97AD1"/>
    <w:rsid w:val="00EA109B"/>
    <w:rsid w:val="00EA15A8"/>
    <w:rsid w:val="00EA2926"/>
    <w:rsid w:val="00EA6B96"/>
    <w:rsid w:val="00EB2CDE"/>
    <w:rsid w:val="00EC1A81"/>
    <w:rsid w:val="00EC7E5C"/>
    <w:rsid w:val="00ED78F1"/>
    <w:rsid w:val="00EE4DCA"/>
    <w:rsid w:val="00EF0F62"/>
    <w:rsid w:val="00EF6D42"/>
    <w:rsid w:val="00F007E1"/>
    <w:rsid w:val="00F0134E"/>
    <w:rsid w:val="00F026AB"/>
    <w:rsid w:val="00F057C6"/>
    <w:rsid w:val="00F05BF3"/>
    <w:rsid w:val="00F17D96"/>
    <w:rsid w:val="00F22565"/>
    <w:rsid w:val="00F3380E"/>
    <w:rsid w:val="00F40837"/>
    <w:rsid w:val="00F42098"/>
    <w:rsid w:val="00F42F79"/>
    <w:rsid w:val="00F47773"/>
    <w:rsid w:val="00F5019D"/>
    <w:rsid w:val="00F56308"/>
    <w:rsid w:val="00F634D6"/>
    <w:rsid w:val="00F64385"/>
    <w:rsid w:val="00F6473F"/>
    <w:rsid w:val="00F65A75"/>
    <w:rsid w:val="00F76366"/>
    <w:rsid w:val="00F805C0"/>
    <w:rsid w:val="00F8545B"/>
    <w:rsid w:val="00F965F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78E605-88E0-4ACF-B1AD-7967C728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B5507"/>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9D5116"/>
    <w:pPr>
      <w:keepNext/>
      <w:keepLines/>
      <w:pageBreakBefore/>
      <w:framePr w:wrap="around" w:vAnchor="text" w:hAnchor="text" w:y="1"/>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D5116"/>
    <w:rPr>
      <w:rFonts w:ascii="Georgia" w:eastAsiaTheme="majorEastAsia" w:hAnsi="Georgia" w:cstheme="majorBidi"/>
      <w:b/>
      <w:bCs/>
      <w:sz w:val="2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indwhatworks.wordpress.com/2011/05/31/why-i-got-an-mpa-because-organizations-mat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Wimsatt, Team 2011</dc:creator>
  <cp:keywords/>
  <dc:description/>
  <cp:lastModifiedBy>Michael Wimsatt</cp:lastModifiedBy>
  <cp:revision>2</cp:revision>
  <dcterms:created xsi:type="dcterms:W3CDTF">2013-09-15T23:18:00Z</dcterms:created>
  <dcterms:modified xsi:type="dcterms:W3CDTF">2013-09-15T23:18:00Z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