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58E" w:rsidRPr="006F758E" w:rsidRDefault="006F758E" w:rsidP="006F758E">
      <w:pPr>
        <w:pStyle w:val="Heading2"/>
      </w:pPr>
      <w:r>
        <w:t>Inherency</w:t>
      </w:r>
    </w:p>
    <w:p w:rsidR="00CC37FB" w:rsidRPr="00CC37FB" w:rsidRDefault="00CC37FB" w:rsidP="00CC37FB">
      <w:pPr>
        <w:pStyle w:val="Heading4"/>
        <w:rPr>
          <w:vertAlign w:val="subscript"/>
        </w:rPr>
      </w:pPr>
      <w:r w:rsidRPr="00CC37FB">
        <w:rPr>
          <w:bCs w:val="0"/>
        </w:rPr>
        <w:t>Supreme Court silence since Boumediene has left lower and appeals court national security fundamentalism unchallenged</w:t>
      </w:r>
      <w:r w:rsidR="0034677A">
        <w:rPr>
          <w:bCs w:val="0"/>
        </w:rPr>
        <w:t xml:space="preserve"> </w:t>
      </w:r>
    </w:p>
    <w:p w:rsidR="00CC37FB" w:rsidRDefault="00CC37FB" w:rsidP="00CC37FB">
      <w:pPr>
        <w:rPr>
          <w:b/>
          <w:bCs/>
          <w:sz w:val="26"/>
        </w:rPr>
      </w:pPr>
      <w:r>
        <w:rPr>
          <w:rStyle w:val="StyleStyleBold12pt"/>
        </w:rPr>
        <w:t>Vaughns and Williams, Profs Law at Maryland, 13</w:t>
      </w:r>
    </w:p>
    <w:p w:rsidR="00CC37FB" w:rsidRDefault="00CC37FB" w:rsidP="00CC37FB">
      <w:r>
        <w:t>Katherine L. Vaughns, Professor of Law at the University of Maryland Francis King Carey School of Law, Heather L. Williams, Professor of Law at the University of Maryland Francis King Carey School of Law, “Of Civil Wrongs and Rights: KIyemba v. Obama and te Meaning of Freedom, Separation of Powers, and the Rule of Law Ten Years After 9/11,” Asian American Law Journal, 20 Asian American Law Journal (2013), http://digitalcommons.law.umaryland.edu/fac_pubs/1246/, [DLP SPR]</w:t>
      </w:r>
    </w:p>
    <w:p w:rsidR="006015D0" w:rsidRDefault="00CC37FB" w:rsidP="006015D0">
      <w:pPr>
        <w:rPr>
          <w:rStyle w:val="underline"/>
        </w:rPr>
      </w:pPr>
      <w:r w:rsidRPr="00E10E18">
        <w:rPr>
          <w:rStyle w:val="underline"/>
        </w:rPr>
        <w:t xml:space="preserve">Thus, in the years immediately following 9/11, the Supreme </w:t>
      </w:r>
    </w:p>
    <w:p w:rsidR="006015D0" w:rsidRDefault="006015D0" w:rsidP="006015D0">
      <w:pPr>
        <w:rPr>
          <w:rStyle w:val="underline"/>
        </w:rPr>
      </w:pPr>
      <w:r>
        <w:rPr>
          <w:rStyle w:val="underline"/>
        </w:rPr>
        <w:t>AND</w:t>
      </w:r>
    </w:p>
    <w:p w:rsidR="00CC37FB" w:rsidRDefault="00CC37FB" w:rsidP="006015D0">
      <w:r>
        <w:t xml:space="preserve">, </w:t>
      </w:r>
      <w:r>
        <w:rPr>
          <w:rStyle w:val="underline"/>
          <w:highlight w:val="yellow"/>
        </w:rPr>
        <w:t>Cass Sunstein termed this phenomenon "National Security Fundamentalism</w:t>
      </w:r>
      <w:r>
        <w:t xml:space="preserve">." </w:t>
      </w:r>
    </w:p>
    <w:p w:rsidR="0034677A" w:rsidRPr="006F758E" w:rsidRDefault="0034677A" w:rsidP="0034677A">
      <w:pPr>
        <w:keepNext/>
        <w:keepLines/>
        <w:spacing w:before="200"/>
        <w:outlineLvl w:val="3"/>
        <w:rPr>
          <w:rFonts w:eastAsia="Times New Roman" w:cs="Times New Roman"/>
          <w:b/>
          <w:bCs/>
          <w:iCs/>
          <w:sz w:val="26"/>
        </w:rPr>
      </w:pPr>
      <w:r>
        <w:rPr>
          <w:rFonts w:eastAsia="Times New Roman" w:cs="Times New Roman"/>
          <w:b/>
          <w:bCs/>
          <w:iCs/>
          <w:sz w:val="26"/>
        </w:rPr>
        <w:t>This has left virtually all of Guantanamo’s detainees in indefinite detention</w:t>
      </w:r>
    </w:p>
    <w:p w:rsidR="0034677A" w:rsidRPr="006F758E" w:rsidRDefault="0034677A" w:rsidP="0034677A">
      <w:pPr>
        <w:rPr>
          <w:rFonts w:eastAsia="Calibri"/>
          <w:b/>
          <w:bCs/>
          <w:sz w:val="26"/>
        </w:rPr>
      </w:pPr>
      <w:r w:rsidRPr="006F758E">
        <w:rPr>
          <w:rFonts w:eastAsia="Calibri"/>
          <w:b/>
          <w:bCs/>
          <w:sz w:val="26"/>
        </w:rPr>
        <w:t>CSM, 12</w:t>
      </w:r>
    </w:p>
    <w:p w:rsidR="0034677A" w:rsidRPr="006F758E" w:rsidRDefault="0034677A" w:rsidP="0034677A">
      <w:pPr>
        <w:rPr>
          <w:rFonts w:eastAsia="Calibri"/>
        </w:rPr>
      </w:pPr>
      <w:r w:rsidRPr="006F758E">
        <w:rPr>
          <w:rFonts w:eastAsia="Calibri"/>
        </w:rPr>
        <w:t xml:space="preserve">Christian Science Monitor, Warren Richey, Staff Writer, “Supreme Court Deals Blow to Guantanamo Prisoners Challenging their Detention,” </w:t>
      </w:r>
      <w:hyperlink r:id="rId11" w:history="1">
        <w:r w:rsidRPr="006F758E">
          <w:rPr>
            <w:rFonts w:eastAsia="Calibri"/>
          </w:rPr>
          <w:t>http://www.csmonitor.com/USA/Justice/2012/0611/Supreme-Court-deals-blow-to-Guantanamo-prisoners-challenging-their-detention</w:t>
        </w:r>
      </w:hyperlink>
      <w:r w:rsidRPr="006F758E">
        <w:rPr>
          <w:rFonts w:eastAsia="Calibri"/>
        </w:rPr>
        <w:t>, [DLP SPR]</w:t>
      </w:r>
    </w:p>
    <w:p w:rsidR="006015D0" w:rsidRDefault="0034677A" w:rsidP="0034677A">
      <w:pPr>
        <w:rPr>
          <w:rFonts w:eastAsia="Calibri"/>
          <w:b/>
          <w:u w:val="single"/>
        </w:rPr>
      </w:pPr>
      <w:r w:rsidRPr="006F758E">
        <w:rPr>
          <w:rFonts w:eastAsia="Calibri"/>
          <w:b/>
          <w:highlight w:val="yellow"/>
          <w:u w:val="single"/>
        </w:rPr>
        <w:t xml:space="preserve">There are currently 169 detainees at Guantánamo. Six </w:t>
      </w:r>
    </w:p>
    <w:p w:rsidR="006015D0" w:rsidRDefault="006015D0" w:rsidP="0034677A">
      <w:pPr>
        <w:rPr>
          <w:rFonts w:eastAsia="Calibri"/>
          <w:b/>
          <w:u w:val="single"/>
        </w:rPr>
      </w:pPr>
      <w:r>
        <w:rPr>
          <w:rFonts w:eastAsia="Calibri"/>
          <w:b/>
          <w:u w:val="single"/>
        </w:rPr>
        <w:t>AND</w:t>
      </w:r>
    </w:p>
    <w:p w:rsidR="0034677A" w:rsidRPr="006F758E" w:rsidRDefault="0034677A" w:rsidP="0034677A">
      <w:pPr>
        <w:rPr>
          <w:rFonts w:eastAsia="Calibri"/>
        </w:rPr>
      </w:pPr>
      <w:r w:rsidRPr="006F758E">
        <w:rPr>
          <w:rFonts w:eastAsia="Calibri"/>
        </w:rPr>
        <w:t>to their home country for release or continued detention there.</w:t>
      </w:r>
    </w:p>
    <w:p w:rsidR="008F186B" w:rsidRPr="008F186B" w:rsidRDefault="0034677A" w:rsidP="008F186B">
      <w:pPr>
        <w:keepNext/>
        <w:keepLines/>
        <w:spacing w:before="200"/>
        <w:outlineLvl w:val="3"/>
        <w:rPr>
          <w:rFonts w:eastAsia="Times New Roman" w:cs="Times New Roman"/>
          <w:b/>
          <w:bCs/>
          <w:iCs/>
          <w:sz w:val="26"/>
        </w:rPr>
      </w:pPr>
      <w:r>
        <w:rPr>
          <w:rFonts w:eastAsia="Times New Roman" w:cs="Times New Roman"/>
          <w:b/>
          <w:bCs/>
          <w:iCs/>
          <w:sz w:val="26"/>
        </w:rPr>
        <w:t xml:space="preserve">There are also over 3200 </w:t>
      </w:r>
      <w:r w:rsidR="00CD5F89">
        <w:rPr>
          <w:rFonts w:eastAsia="Times New Roman" w:cs="Times New Roman"/>
          <w:b/>
          <w:bCs/>
          <w:iCs/>
          <w:sz w:val="26"/>
        </w:rPr>
        <w:t>detain</w:t>
      </w:r>
      <w:r w:rsidR="008F186B" w:rsidRPr="008F186B">
        <w:rPr>
          <w:rFonts w:eastAsia="Times New Roman" w:cs="Times New Roman"/>
          <w:b/>
          <w:bCs/>
          <w:iCs/>
          <w:sz w:val="26"/>
        </w:rPr>
        <w:t>ees in Afghanistan,</w:t>
      </w:r>
      <w:r w:rsidR="00482DA3">
        <w:rPr>
          <w:rFonts w:eastAsia="Times New Roman" w:cs="Times New Roman"/>
          <w:b/>
          <w:bCs/>
          <w:iCs/>
          <w:sz w:val="26"/>
        </w:rPr>
        <w:t xml:space="preserve"> unknown and</w:t>
      </w:r>
      <w:r w:rsidR="008F186B" w:rsidRPr="008F186B">
        <w:rPr>
          <w:rFonts w:eastAsia="Times New Roman" w:cs="Times New Roman"/>
          <w:b/>
          <w:bCs/>
          <w:iCs/>
          <w:sz w:val="26"/>
        </w:rPr>
        <w:t xml:space="preserve"> witho</w:t>
      </w:r>
      <w:r w:rsidR="00482DA3">
        <w:rPr>
          <w:rFonts w:eastAsia="Times New Roman" w:cs="Times New Roman"/>
          <w:b/>
          <w:bCs/>
          <w:iCs/>
          <w:sz w:val="26"/>
        </w:rPr>
        <w:t>ut access to any form of review</w:t>
      </w:r>
    </w:p>
    <w:p w:rsidR="008F186B" w:rsidRPr="008F186B" w:rsidRDefault="008F186B" w:rsidP="008F186B">
      <w:pPr>
        <w:rPr>
          <w:rFonts w:eastAsia="Calibri"/>
          <w:b/>
          <w:sz w:val="26"/>
        </w:rPr>
      </w:pPr>
      <w:r w:rsidRPr="008F186B">
        <w:rPr>
          <w:rFonts w:eastAsia="Calibri"/>
          <w:b/>
          <w:sz w:val="26"/>
        </w:rPr>
        <w:t>Eppinger, Prof. St. Louis Law School, Winter 2013</w:t>
      </w:r>
    </w:p>
    <w:p w:rsidR="008F186B" w:rsidRPr="008F186B" w:rsidRDefault="008F186B" w:rsidP="008F186B">
      <w:pPr>
        <w:rPr>
          <w:rFonts w:eastAsia="Calibri"/>
        </w:rPr>
      </w:pPr>
      <w:r w:rsidRPr="008F186B">
        <w:rPr>
          <w:rFonts w:eastAsia="Calibri"/>
        </w:rPr>
        <w:t>Monica Eppinger, Assistant Professor, Saint Louis University School of Law and Department of Sociology and Anthropology; J.D., Yale Law School; Ph.D. Anthropology, University of California Berkeley; “Reality Check: Detention in the War on Terror,” Catholic University Law Review, 62 Cath. U.L. Rev. 325, Winter 2013, [DLP SPR]</w:t>
      </w:r>
    </w:p>
    <w:p w:rsidR="006015D0" w:rsidRDefault="008F186B" w:rsidP="006015D0">
      <w:pPr>
        <w:rPr>
          <w:rFonts w:eastAsia="Calibri"/>
          <w:b/>
          <w:u w:val="single"/>
        </w:rPr>
      </w:pPr>
      <w:r w:rsidRPr="003079CF">
        <w:rPr>
          <w:rFonts w:eastAsia="Calibri"/>
          <w:b/>
          <w:u w:val="single"/>
        </w:rPr>
        <w:t xml:space="preserve">The detainee counts of Guantanamo do not include the </w:t>
      </w:r>
      <w:r w:rsidRPr="008F186B">
        <w:rPr>
          <w:rFonts w:eastAsia="Calibri"/>
          <w:b/>
          <w:highlight w:val="yellow"/>
          <w:u w:val="single"/>
        </w:rPr>
        <w:t xml:space="preserve">3,200-plus detainees </w:t>
      </w:r>
      <w:r w:rsidRPr="003079CF">
        <w:rPr>
          <w:rFonts w:eastAsia="Calibri"/>
          <w:b/>
          <w:u w:val="single"/>
        </w:rPr>
        <w:t xml:space="preserve">that </w:t>
      </w:r>
      <w:r w:rsidRPr="008F186B">
        <w:rPr>
          <w:rFonts w:eastAsia="Calibri"/>
          <w:b/>
          <w:highlight w:val="yellow"/>
          <w:u w:val="single"/>
        </w:rPr>
        <w:t xml:space="preserve">have </w:t>
      </w:r>
    </w:p>
    <w:p w:rsidR="006015D0" w:rsidRDefault="006015D0" w:rsidP="006015D0">
      <w:pPr>
        <w:rPr>
          <w:rFonts w:eastAsia="Calibri"/>
          <w:b/>
          <w:u w:val="single"/>
        </w:rPr>
      </w:pPr>
      <w:r>
        <w:rPr>
          <w:rFonts w:eastAsia="Calibri"/>
          <w:b/>
          <w:u w:val="single"/>
        </w:rPr>
        <w:t>AND</w:t>
      </w:r>
    </w:p>
    <w:p w:rsidR="008F186B" w:rsidRDefault="008F186B" w:rsidP="006015D0">
      <w:pPr>
        <w:rPr>
          <w:rFonts w:eastAsia="Calibri"/>
        </w:rPr>
      </w:pPr>
      <w:r w:rsidRPr="008F186B">
        <w:rPr>
          <w:rFonts w:eastAsia="Calibri"/>
        </w:rPr>
        <w:t xml:space="preserve">, </w:t>
      </w:r>
      <w:r w:rsidRPr="008F186B">
        <w:rPr>
          <w:rFonts w:eastAsia="Calibri"/>
          <w:b/>
          <w:highlight w:val="yellow"/>
          <w:u w:val="single"/>
        </w:rPr>
        <w:t>U.S. authorities did not know who they held</w:t>
      </w:r>
      <w:r w:rsidRPr="008F186B">
        <w:rPr>
          <w:rFonts w:eastAsia="Calibri"/>
        </w:rPr>
        <w:t>.  n43 One Bush administration official recalls,</w:t>
      </w:r>
    </w:p>
    <w:p w:rsidR="0034677A" w:rsidRPr="0034677A" w:rsidRDefault="00B83537" w:rsidP="0034677A">
      <w:pPr>
        <w:pStyle w:val="Heading4"/>
      </w:pPr>
      <w:r>
        <w:t>Literally everyone outside the US can be indefinitely detained</w:t>
      </w:r>
      <w:r w:rsidR="00111289">
        <w:t xml:space="preserve"> for interrogation</w:t>
      </w:r>
    </w:p>
    <w:p w:rsidR="0034677A" w:rsidRDefault="0034677A" w:rsidP="0034677A">
      <w:pPr>
        <w:rPr>
          <w:b/>
          <w:sz w:val="26"/>
        </w:rPr>
      </w:pPr>
      <w:r>
        <w:rPr>
          <w:b/>
          <w:sz w:val="26"/>
        </w:rPr>
        <w:t>Eppinger, Prof. St. Louis Law School, Winter 2013</w:t>
      </w:r>
    </w:p>
    <w:p w:rsidR="0034677A" w:rsidRDefault="0034677A" w:rsidP="0034677A">
      <w:r>
        <w:t xml:space="preserve">Monica Eppinger, Assistant Professor, Saint Louis University School of Law and Department of Sociology and Anthropology; J.D., Yale Law School; Ph.D. Anthropology, University of California Berkeley; “Reality Check: Detention in the War on Terror,” Catholic University Law Review, 62 </w:t>
      </w:r>
      <w:r w:rsidRPr="000B5CD6">
        <w:t>Cath</w:t>
      </w:r>
      <w:r>
        <w:t>. U.L. Rev. 325, Winter 2013, [DLP SPR]</w:t>
      </w:r>
    </w:p>
    <w:p w:rsidR="006015D0" w:rsidRDefault="0034677A" w:rsidP="006015D0">
      <w:pPr>
        <w:rPr>
          <w:rStyle w:val="underline"/>
        </w:rPr>
      </w:pPr>
      <w:r w:rsidRPr="000B5CD6">
        <w:rPr>
          <w:rStyle w:val="underline"/>
        </w:rPr>
        <w:t xml:space="preserve">Extreme measures involving high-value targets, although </w:t>
      </w:r>
    </w:p>
    <w:p w:rsidR="006015D0" w:rsidRDefault="006015D0" w:rsidP="006015D0">
      <w:pPr>
        <w:rPr>
          <w:rStyle w:val="underline"/>
        </w:rPr>
      </w:pPr>
      <w:r>
        <w:rPr>
          <w:rStyle w:val="underline"/>
        </w:rPr>
        <w:t>AND</w:t>
      </w:r>
    </w:p>
    <w:p w:rsidR="0034677A" w:rsidRDefault="0034677A" w:rsidP="006015D0">
      <w:r>
        <w:t>the greater the number of detainees, the more sources of mosaic bits, and the more full the picture composed.  n182</w:t>
      </w:r>
    </w:p>
    <w:p w:rsidR="006F758E" w:rsidRPr="008F186B" w:rsidRDefault="006F758E" w:rsidP="008F186B">
      <w:pPr>
        <w:rPr>
          <w:rFonts w:eastAsia="Calibri"/>
        </w:rPr>
      </w:pPr>
    </w:p>
    <w:p w:rsidR="006F758E" w:rsidRDefault="00C00B8A" w:rsidP="006F758E">
      <w:pPr>
        <w:pStyle w:val="Heading2"/>
      </w:pPr>
      <w:r>
        <w:lastRenderedPageBreak/>
        <w:t>Advantage - Detention</w:t>
      </w:r>
    </w:p>
    <w:p w:rsidR="00992A76" w:rsidRPr="00494A53" w:rsidRDefault="00992A76" w:rsidP="00992A76">
      <w:pPr>
        <w:pStyle w:val="Heading4"/>
      </w:pPr>
      <w:r w:rsidRPr="00494A53">
        <w:rPr>
          <w:bCs w:val="0"/>
        </w:rPr>
        <w:t>The discursive formation of 9/11 has constrained judicial action and blinded the judiciary to problematic and unrecognized assumptions; judicial excavation of discourse is necessary</w:t>
      </w:r>
    </w:p>
    <w:p w:rsidR="00992A76" w:rsidRDefault="00992A76" w:rsidP="00992A76">
      <w:pPr>
        <w:rPr>
          <w:rStyle w:val="StyleStyleBold12pt"/>
        </w:rPr>
      </w:pPr>
      <w:r>
        <w:rPr>
          <w:rStyle w:val="StyleStyleBold12pt"/>
        </w:rPr>
        <w:t>Shaub, JD from Northwestern, 11</w:t>
      </w:r>
    </w:p>
    <w:p w:rsidR="00992A76" w:rsidRDefault="00992A76" w:rsidP="00992A76">
      <w:r>
        <w:t>Johnathan David Shaub, JD Northwestern University School of Law, MA in English from Belmont University, “A Foucauldian Call for the Archaeological Excavation of Discourse in the Post-Boumediene Habeas Litigaton,” Northwestern University Law Review, 105 NW. U.L. Rev. 869, Lexis, [DLP SPR]</w:t>
      </w:r>
    </w:p>
    <w:p w:rsidR="00992A76" w:rsidRDefault="00992A76" w:rsidP="00992A76">
      <w:r>
        <w:t xml:space="preserve">"On </w:t>
      </w:r>
      <w:r>
        <w:rPr>
          <w:rStyle w:val="underline"/>
          <w:highlight w:val="yellow"/>
        </w:rPr>
        <w:t>September 11</w:t>
      </w:r>
      <w:r w:rsidRPr="00854EFC">
        <w:rPr>
          <w:rStyle w:val="underline"/>
        </w:rPr>
        <w:t>, 2001</w:t>
      </w:r>
      <w:r>
        <w:t xml:space="preserve"> ... "</w:t>
      </w:r>
    </w:p>
    <w:p w:rsidR="006015D0" w:rsidRDefault="00992A76" w:rsidP="006015D0">
      <w:r>
        <w:t xml:space="preserve">When a sentence or a story begins </w:t>
      </w:r>
    </w:p>
    <w:p w:rsidR="006015D0" w:rsidRDefault="006015D0" w:rsidP="006015D0">
      <w:r>
        <w:t>AND</w:t>
      </w:r>
    </w:p>
    <w:p w:rsidR="00992A76" w:rsidRDefault="00992A76" w:rsidP="006015D0">
      <w:r>
        <w:rPr>
          <w:rStyle w:val="underline"/>
          <w:highlight w:val="yellow"/>
        </w:rPr>
        <w:t xml:space="preserve">of this proposition and the necessity for </w:t>
      </w:r>
      <w:r w:rsidRPr="00E4470C">
        <w:rPr>
          <w:rStyle w:val="underline"/>
        </w:rPr>
        <w:t xml:space="preserve">the </w:t>
      </w:r>
      <w:r>
        <w:rPr>
          <w:rStyle w:val="underline"/>
          <w:highlight w:val="yellow"/>
        </w:rPr>
        <w:t xml:space="preserve">judicial excavation </w:t>
      </w:r>
      <w:r w:rsidRPr="00E4470C">
        <w:rPr>
          <w:rStyle w:val="underline"/>
        </w:rPr>
        <w:t>of discourse.</w:t>
      </w:r>
    </w:p>
    <w:p w:rsidR="00992A76" w:rsidRPr="00494A53" w:rsidRDefault="00992A76" w:rsidP="00992A76">
      <w:pPr>
        <w:pStyle w:val="Heading4"/>
      </w:pPr>
      <w:r w:rsidRPr="00494A53">
        <w:rPr>
          <w:bCs w:val="0"/>
        </w:rPr>
        <w:t>Spaces of indefinite detention are not ones of legal suspension, but legal representation and classification – the war on terror is performatively enacted through the reduction of the detained from legal subject to object, enabling their destruction and denying their humanity</w:t>
      </w:r>
    </w:p>
    <w:p w:rsidR="00992A76" w:rsidRDefault="00992A76" w:rsidP="00992A76">
      <w:r>
        <w:rPr>
          <w:rStyle w:val="StyleStyleBold12pt"/>
        </w:rPr>
        <w:t>Gregory, Prof Geography at UBC, 6</w:t>
      </w:r>
    </w:p>
    <w:p w:rsidR="00992A76" w:rsidRDefault="00992A76" w:rsidP="00992A76">
      <w:r>
        <w:t>Derek Gregory, Professor of Geography at the University of British Columbia, Peter Wall Distinguished Professor, elected to the Royal Society of Canada and the British Academy, awarded the Founder's Medal of the Royal Geographical Society, “The Black Flag: Guantanamo Bay and the Space of Exception,” Geogr. Ann., 88 B (4): 405-427, Geografiska Annaler. Series B, Human Geography © 2006 Swedish Society for Anthropology and Geography, [DLP SPR]</w:t>
      </w:r>
    </w:p>
    <w:p w:rsidR="00992A76" w:rsidRDefault="00992A76" w:rsidP="00992A76">
      <w:r>
        <w:t>Guantánamo and the colonial past</w:t>
      </w:r>
    </w:p>
    <w:p w:rsidR="006015D0" w:rsidRPr="006015D0" w:rsidRDefault="00992A76" w:rsidP="006015D0">
      <w:pPr>
        <w:rPr>
          <w:rStyle w:val="StyleBoldUnderline"/>
        </w:rPr>
      </w:pPr>
      <w:r w:rsidRPr="00FE7E31">
        <w:rPr>
          <w:rStyle w:val="StyleBoldUnderline"/>
          <w:highlight w:val="cyan"/>
        </w:rPr>
        <w:t xml:space="preserve">Colonialism </w:t>
      </w:r>
      <w:r w:rsidRPr="00FE7E31">
        <w:rPr>
          <w:rStyle w:val="StyleBoldUnderline"/>
        </w:rPr>
        <w:t xml:space="preserve">frequently </w:t>
      </w:r>
      <w:r w:rsidRPr="00FE7E31">
        <w:rPr>
          <w:rStyle w:val="StyleBoldUnderline"/>
          <w:highlight w:val="cyan"/>
        </w:rPr>
        <w:t>operates under the imprima- tur of law</w:t>
      </w:r>
      <w:r w:rsidRPr="00FE7E31">
        <w:rPr>
          <w:rStyle w:val="StyleBoldUnderline"/>
        </w:rPr>
        <w:t xml:space="preserve">, both </w:t>
      </w:r>
      <w:r w:rsidRPr="00FE7E31">
        <w:rPr>
          <w:rStyle w:val="StyleBoldUnderline"/>
          <w:highlight w:val="cyan"/>
        </w:rPr>
        <w:t xml:space="preserve">in the past </w:t>
      </w:r>
      <w:r w:rsidR="006015D0">
        <w:rPr>
          <w:rStyle w:val="StyleBoldUnderline"/>
        </w:rPr>
        <w:br/>
        <w:t>AND</w:t>
      </w:r>
    </w:p>
    <w:p w:rsidR="00992A76" w:rsidRDefault="00992A76" w:rsidP="006015D0">
      <w:r w:rsidRPr="008C6C2D">
        <w:rPr>
          <w:rStyle w:val="StyleBoldUnderline"/>
          <w:highlight w:val="cyan"/>
        </w:rPr>
        <w:t>Voltaire put it: ‘Those who can make you believe absurdities can make you commit atrocities’</w:t>
      </w:r>
      <w:r w:rsidR="006015D0">
        <w:t>.58</w:t>
      </w:r>
    </w:p>
    <w:p w:rsidR="00D13B38" w:rsidRPr="00894C55" w:rsidRDefault="00D13B38" w:rsidP="00D13B38">
      <w:pPr>
        <w:keepNext/>
        <w:keepLines/>
        <w:spacing w:before="200"/>
        <w:outlineLvl w:val="3"/>
        <w:rPr>
          <w:rFonts w:eastAsia="Times New Roman" w:cs="Times New Roman"/>
          <w:b/>
          <w:bCs/>
          <w:iCs/>
          <w:sz w:val="26"/>
        </w:rPr>
      </w:pPr>
      <w:r>
        <w:rPr>
          <w:rFonts w:eastAsia="Times New Roman" w:cs="Times New Roman"/>
          <w:b/>
          <w:bCs/>
          <w:iCs/>
          <w:sz w:val="26"/>
        </w:rPr>
        <w:t xml:space="preserve">These processes </w:t>
      </w:r>
      <w:r w:rsidRPr="00894C55">
        <w:rPr>
          <w:rFonts w:eastAsia="Times New Roman" w:cs="Times New Roman"/>
          <w:b/>
          <w:bCs/>
          <w:iCs/>
          <w:sz w:val="26"/>
        </w:rPr>
        <w:t>negates the value to life and justifies extermination.</w:t>
      </w:r>
    </w:p>
    <w:p w:rsidR="00D13B38" w:rsidRPr="00894C55" w:rsidRDefault="00D13B38" w:rsidP="00D13B38">
      <w:pPr>
        <w:rPr>
          <w:rFonts w:eastAsia="Calibri"/>
        </w:rPr>
      </w:pPr>
      <w:r w:rsidRPr="00894C55">
        <w:rPr>
          <w:rFonts w:eastAsia="Calibri"/>
        </w:rPr>
        <w:t xml:space="preserve">Michael </w:t>
      </w:r>
      <w:r w:rsidRPr="00894C55">
        <w:rPr>
          <w:rFonts w:eastAsia="Calibri"/>
          <w:b/>
          <w:u w:val="thick"/>
        </w:rPr>
        <w:t>Dillon</w:t>
      </w:r>
      <w:r w:rsidRPr="00894C55">
        <w:rPr>
          <w:rFonts w:eastAsia="Calibri"/>
          <w:u w:val="thick"/>
        </w:rPr>
        <w:t xml:space="preserve">, Politics and IR, Lancaster, </w:t>
      </w:r>
      <w:r w:rsidRPr="00894C55">
        <w:rPr>
          <w:rFonts w:eastAsia="Calibri"/>
          <w:b/>
          <w:u w:val="thick"/>
        </w:rPr>
        <w:t>99</w:t>
      </w:r>
      <w:r w:rsidRPr="00894C55">
        <w:rPr>
          <w:rFonts w:eastAsia="Calibri"/>
        </w:rPr>
        <w:t xml:space="preserve"> </w:t>
      </w:r>
      <w:r w:rsidRPr="00894C55">
        <w:rPr>
          <w:rFonts w:eastAsia="Calibri"/>
          <w:i/>
        </w:rPr>
        <w:t>Political Theory</w:t>
      </w:r>
      <w:r w:rsidRPr="00894C55">
        <w:rPr>
          <w:rFonts w:eastAsia="Calibri"/>
        </w:rPr>
        <w:t xml:space="preserve"> 27(2): </w:t>
      </w:r>
    </w:p>
    <w:p w:rsidR="006015D0" w:rsidRDefault="00D13B38" w:rsidP="006015D0">
      <w:pPr>
        <w:rPr>
          <w:rFonts w:eastAsia="Calibri"/>
        </w:rPr>
      </w:pPr>
      <w:r w:rsidRPr="00894C55">
        <w:rPr>
          <w:rFonts w:eastAsia="Calibri"/>
        </w:rPr>
        <w:t xml:space="preserve">Quite the reverse. </w:t>
      </w:r>
      <w:r w:rsidRPr="00894C55">
        <w:rPr>
          <w:rFonts w:eastAsia="Calibri"/>
          <w:b/>
          <w:highlight w:val="cyan"/>
          <w:u w:val="single"/>
        </w:rPr>
        <w:t>The subject</w:t>
      </w:r>
      <w:r w:rsidRPr="00894C55">
        <w:rPr>
          <w:rFonts w:eastAsia="Calibri"/>
        </w:rPr>
        <w:t xml:space="preserve"> was never a firm foundation for justice, much less a hospitable </w:t>
      </w:r>
    </w:p>
    <w:p w:rsidR="006015D0" w:rsidRDefault="006015D0" w:rsidP="006015D0">
      <w:pPr>
        <w:rPr>
          <w:rFonts w:eastAsia="Calibri"/>
        </w:rPr>
      </w:pPr>
      <w:r>
        <w:rPr>
          <w:rFonts w:eastAsia="Calibri"/>
        </w:rPr>
        <w:t>AND</w:t>
      </w:r>
    </w:p>
    <w:p w:rsidR="00D13B38" w:rsidRPr="00894C55" w:rsidRDefault="00D13B38" w:rsidP="006015D0">
      <w:pPr>
        <w:rPr>
          <w:rFonts w:eastAsia="Calibri"/>
        </w:rPr>
      </w:pPr>
      <w:r w:rsidRPr="00894C55">
        <w:rPr>
          <w:rFonts w:eastAsia="Calibri"/>
          <w:b/>
          <w:highlight w:val="cyan"/>
          <w:u w:val="single"/>
        </w:rPr>
        <w:t>invaluable may</w:t>
      </w:r>
      <w:r w:rsidRPr="00894C55">
        <w:rPr>
          <w:rFonts w:eastAsia="Calibri"/>
        </w:rPr>
        <w:t xml:space="preserve"> then </w:t>
      </w:r>
      <w:r w:rsidRPr="00894C55">
        <w:rPr>
          <w:rFonts w:eastAsia="Calibri"/>
          <w:b/>
          <w:highlight w:val="cyan"/>
          <w:u w:val="single"/>
        </w:rPr>
        <w:t>lose its purchase on life</w:t>
      </w:r>
      <w:r w:rsidRPr="00894C55">
        <w:rPr>
          <w:rFonts w:eastAsia="Calibri"/>
        </w:rPr>
        <w:t>. Herewith, then, the necessity of championing the invaluable itself.</w:t>
      </w:r>
    </w:p>
    <w:p w:rsidR="00D13B38" w:rsidRDefault="00D13B38" w:rsidP="00D13B38">
      <w:pPr>
        <w:rPr>
          <w:b/>
          <w:bCs/>
          <w:u w:val="single"/>
        </w:rPr>
      </w:pPr>
    </w:p>
    <w:p w:rsidR="00D13B38" w:rsidRPr="003F7082" w:rsidRDefault="00D13B38" w:rsidP="00D13B38">
      <w:r>
        <w:tab/>
      </w:r>
      <w:r>
        <w:tab/>
      </w:r>
    </w:p>
    <w:p w:rsidR="00D13B38" w:rsidRPr="00C82DE8" w:rsidRDefault="00D13B38" w:rsidP="00D13B38">
      <w:pPr>
        <w:pStyle w:val="Heading4"/>
      </w:pPr>
      <w:r w:rsidRPr="00C82DE8">
        <w:rPr>
          <w:bCs w:val="0"/>
        </w:rPr>
        <w:t xml:space="preserve">The US war on terror and illegal detention policies </w:t>
      </w:r>
      <w:r w:rsidR="00F63CBA">
        <w:rPr>
          <w:bCs w:val="0"/>
        </w:rPr>
        <w:t>erase</w:t>
      </w:r>
      <w:r w:rsidRPr="00C82DE8">
        <w:rPr>
          <w:bCs w:val="0"/>
        </w:rPr>
        <w:t xml:space="preserve"> lines demarcating spaces of exception – the dehumanized object of US detention policies and torture </w:t>
      </w:r>
      <w:r w:rsidR="00F63CBA">
        <w:rPr>
          <w:bCs w:val="0"/>
        </w:rPr>
        <w:t>becomes</w:t>
      </w:r>
      <w:r w:rsidRPr="00C82DE8">
        <w:rPr>
          <w:bCs w:val="0"/>
        </w:rPr>
        <w:t xml:space="preserve"> norm legitimating US colonial violence and global sovereignty</w:t>
      </w:r>
    </w:p>
    <w:p w:rsidR="00D13B38" w:rsidRDefault="00D13B38" w:rsidP="00D13B38">
      <w:r>
        <w:rPr>
          <w:rStyle w:val="StyleStyleBold12pt"/>
        </w:rPr>
        <w:t>Gregory, Prof Geography at UBC, 6</w:t>
      </w:r>
      <w:r>
        <w:br/>
        <w:t xml:space="preserve">Derek Gregory, Professor of Geography at the University of British Columbia, Peter Wall Distinguished Professor, elected to the Royal Society of Canada and the British Academy, awarded the Founder's Medal of the Royal Geographical Society, “The Black Flag: Guantanamo Bay and the Space of Exception,” </w:t>
      </w:r>
      <w:r>
        <w:lastRenderedPageBreak/>
        <w:t>Geogr. Ann., 88 B (4): 405-427, Geografiska Annaler. Series B, Human Geography © 2006 Swedish Society for Anthropology and Geography, [DLP SPR]</w:t>
      </w:r>
    </w:p>
    <w:p w:rsidR="00D13B38" w:rsidRDefault="00D13B38" w:rsidP="00D13B38">
      <w:r>
        <w:t>Euro-American exceptionalism</w:t>
      </w:r>
    </w:p>
    <w:p w:rsidR="006015D0" w:rsidRDefault="00D13B38" w:rsidP="006015D0">
      <w:pPr>
        <w:rPr>
          <w:rStyle w:val="underline"/>
        </w:rPr>
      </w:pPr>
      <w:r w:rsidRPr="003C3AA9">
        <w:rPr>
          <w:rStyle w:val="underline"/>
        </w:rPr>
        <w:t>In their attempt to unravel the connections between</w:t>
      </w:r>
      <w:r w:rsidRPr="003C3AA9">
        <w:t xml:space="preserve"> what they call </w:t>
      </w:r>
      <w:r w:rsidRPr="003C3AA9">
        <w:rPr>
          <w:rStyle w:val="underline"/>
        </w:rPr>
        <w:t>‘our</w:t>
      </w:r>
      <w:r w:rsidRPr="003C3AA9">
        <w:t xml:space="preserve"> brutal global</w:t>
      </w:r>
    </w:p>
    <w:p w:rsidR="006015D0" w:rsidRDefault="006015D0" w:rsidP="006015D0">
      <w:pPr>
        <w:rPr>
          <w:rStyle w:val="underline"/>
        </w:rPr>
      </w:pPr>
      <w:r>
        <w:rPr>
          <w:rStyle w:val="underline"/>
        </w:rPr>
        <w:t>AND</w:t>
      </w:r>
    </w:p>
    <w:p w:rsidR="00D13B38" w:rsidRDefault="00D13B38" w:rsidP="006015D0">
      <w:r>
        <w:rPr>
          <w:rStyle w:val="underline"/>
          <w:highlight w:val="yellow"/>
        </w:rPr>
        <w:t>, it is now regulating, exploiting the conjunctions between violence and the law</w:t>
      </w:r>
      <w:r>
        <w:t>.29</w:t>
      </w:r>
    </w:p>
    <w:p w:rsidR="00D13B38" w:rsidRPr="00894C55" w:rsidRDefault="00D13B38" w:rsidP="00D13B38">
      <w:pPr>
        <w:pStyle w:val="Heading4"/>
      </w:pPr>
      <w:r>
        <w:t xml:space="preserve">This form of </w:t>
      </w:r>
      <w:r w:rsidRPr="00894C55">
        <w:t xml:space="preserve">Biopolitics </w:t>
      </w:r>
      <w:r>
        <w:t xml:space="preserve">creates the conditions for </w:t>
      </w:r>
      <w:r w:rsidRPr="00894C55">
        <w:t>annihilation and extinction</w:t>
      </w:r>
    </w:p>
    <w:p w:rsidR="006015D0" w:rsidRDefault="00D13B38" w:rsidP="00494A53">
      <w:r>
        <w:rPr>
          <w:rStyle w:val="StyleStyleBold12pt"/>
        </w:rPr>
        <w:t>Foucault 78</w:t>
      </w:r>
      <w:r>
        <w:t xml:space="preserve"> (Michel, Professor of Philosophy at the College de France, The History Of Sexuality: An Introduction, Volume 1, 136-137) [DLP D8]</w:t>
      </w:r>
      <w:r>
        <w:br/>
        <w:t xml:space="preserve">Since the classical age the West has undergone a very profound transformation of </w:t>
      </w:r>
    </w:p>
    <w:p w:rsidR="006015D0" w:rsidRDefault="006015D0" w:rsidP="00494A53">
      <w:r>
        <w:t>AND</w:t>
      </w:r>
    </w:p>
    <w:p w:rsidR="00494A53" w:rsidRPr="00CB223D" w:rsidRDefault="00D13B38" w:rsidP="00494A53">
      <w:pPr>
        <w:rPr>
          <w:b/>
          <w:bCs/>
          <w:u w:val="single"/>
        </w:rPr>
      </w:pPr>
      <w:r>
        <w:rPr>
          <w:rStyle w:val="underline"/>
          <w:highlight w:val="cyan"/>
        </w:rPr>
        <w:t>, the species, the race, and</w:t>
      </w:r>
      <w:r>
        <w:rPr>
          <w:rStyle w:val="StyleBoldUnderline"/>
        </w:rPr>
        <w:t xml:space="preserve"> the large-scale phenomena of </w:t>
      </w:r>
      <w:r>
        <w:rPr>
          <w:rStyle w:val="underline"/>
          <w:highlight w:val="cyan"/>
        </w:rPr>
        <w:t>population</w:t>
      </w:r>
      <w:r>
        <w:rPr>
          <w:rStyle w:val="StyleBoldUnderline"/>
        </w:rPr>
        <w:t>.</w:t>
      </w:r>
    </w:p>
    <w:p w:rsidR="002E6C9D" w:rsidRPr="00767B5C" w:rsidRDefault="002E6C9D" w:rsidP="002E6C9D">
      <w:pPr>
        <w:keepNext/>
        <w:keepLines/>
        <w:spacing w:before="200"/>
        <w:outlineLvl w:val="3"/>
        <w:rPr>
          <w:rFonts w:eastAsia="Times New Roman" w:cs="Times New Roman"/>
          <w:b/>
          <w:bCs/>
          <w:iCs/>
          <w:sz w:val="26"/>
        </w:rPr>
      </w:pPr>
      <w:r>
        <w:rPr>
          <w:rFonts w:eastAsia="Times New Roman" w:cs="Times New Roman"/>
          <w:b/>
          <w:bCs/>
          <w:iCs/>
          <w:sz w:val="26"/>
        </w:rPr>
        <w:t>Indefinite detention is worse than death</w:t>
      </w:r>
    </w:p>
    <w:p w:rsidR="002E6C9D" w:rsidRPr="00767B5C" w:rsidRDefault="002E6C9D" w:rsidP="002E6C9D">
      <w:pPr>
        <w:rPr>
          <w:rFonts w:eastAsia="Calibri"/>
          <w:b/>
          <w:bCs/>
          <w:sz w:val="26"/>
        </w:rPr>
      </w:pPr>
      <w:r w:rsidRPr="00767B5C">
        <w:rPr>
          <w:rFonts w:eastAsia="Calibri"/>
          <w:b/>
          <w:bCs/>
          <w:sz w:val="26"/>
        </w:rPr>
        <w:t>Goering, Executive Director at the Center for Victims of Torture, 7/27</w:t>
      </w:r>
    </w:p>
    <w:p w:rsidR="002E6C9D" w:rsidRPr="00767B5C" w:rsidRDefault="002E6C9D" w:rsidP="002E6C9D">
      <w:pPr>
        <w:rPr>
          <w:rFonts w:eastAsia="Calibri"/>
        </w:rPr>
      </w:pPr>
      <w:r w:rsidRPr="00767B5C">
        <w:rPr>
          <w:rFonts w:eastAsia="Calibri"/>
        </w:rPr>
        <w:t xml:space="preserve">Curt, former COO at Amnesty International USA for nearly 30 years, former Interim Head of the Gaza office for the UN High Commissioner for Human Rights, 2013, “End Indefinite Detention Now,” The Hill, </w:t>
      </w:r>
      <w:hyperlink r:id="rId12" w:history="1">
        <w:r w:rsidRPr="00767B5C">
          <w:rPr>
            <w:rFonts w:eastAsia="Calibri"/>
          </w:rPr>
          <w:t>http://thehill.com/blogs/congress-blog/homeland-security/313761-end-indefinite-detention-now</w:t>
        </w:r>
      </w:hyperlink>
      <w:r w:rsidRPr="00767B5C">
        <w:rPr>
          <w:rFonts w:eastAsia="Calibri"/>
        </w:rPr>
        <w:t>, [DLP SPR]</w:t>
      </w:r>
    </w:p>
    <w:p w:rsidR="006015D0" w:rsidRDefault="002E6C9D" w:rsidP="006015D0">
      <w:pPr>
        <w:rPr>
          <w:rFonts w:eastAsia="Calibri"/>
        </w:rPr>
      </w:pPr>
      <w:r w:rsidRPr="00767B5C">
        <w:rPr>
          <w:rFonts w:eastAsia="Calibri"/>
        </w:rPr>
        <w:t xml:space="preserve">We oppose indefinite detention on behalf of torture survivors, because </w:t>
      </w:r>
    </w:p>
    <w:p w:rsidR="006015D0" w:rsidRDefault="006015D0" w:rsidP="006015D0">
      <w:pPr>
        <w:rPr>
          <w:rFonts w:eastAsia="Calibri"/>
        </w:rPr>
      </w:pPr>
      <w:r>
        <w:rPr>
          <w:rFonts w:eastAsia="Calibri"/>
        </w:rPr>
        <w:t>AND</w:t>
      </w:r>
    </w:p>
    <w:p w:rsidR="002E6C9D" w:rsidRPr="00767B5C" w:rsidRDefault="002E6C9D" w:rsidP="006015D0">
      <w:pPr>
        <w:rPr>
          <w:rFonts w:eastAsia="Calibri"/>
        </w:rPr>
      </w:pPr>
      <w:r w:rsidRPr="00767B5C">
        <w:rPr>
          <w:rFonts w:eastAsia="Calibri"/>
          <w:b/>
          <w:highlight w:val="yellow"/>
          <w:u w:val="single"/>
        </w:rPr>
        <w:t>by individuals who have no other way of making their demands known.</w:t>
      </w:r>
    </w:p>
    <w:p w:rsidR="002E6C9D" w:rsidRPr="00767B5C" w:rsidRDefault="002E6C9D" w:rsidP="002E6C9D"/>
    <w:p w:rsidR="00C0122D" w:rsidRDefault="00496D93" w:rsidP="005B1D2F">
      <w:pPr>
        <w:pStyle w:val="Heading2"/>
      </w:pPr>
      <w:r>
        <w:lastRenderedPageBreak/>
        <w:t>Plan</w:t>
      </w:r>
    </w:p>
    <w:p w:rsidR="007565F3" w:rsidRDefault="007565F3" w:rsidP="007565F3">
      <w:pPr>
        <w:pStyle w:val="Heading4"/>
      </w:pPr>
      <w:r>
        <w:t xml:space="preserve">The United States Supreme Court should rule that </w:t>
      </w:r>
      <w:r w:rsidR="00507448">
        <w:t>all people indefinitely detained under executive war powers have full habeas corpus access.</w:t>
      </w:r>
    </w:p>
    <w:p w:rsidR="007565F3" w:rsidRPr="007565F3" w:rsidRDefault="007565F3" w:rsidP="007565F3"/>
    <w:p w:rsidR="00C00B8A" w:rsidRDefault="006F758E" w:rsidP="00CE63BF">
      <w:pPr>
        <w:pStyle w:val="Heading2"/>
      </w:pPr>
      <w:r>
        <w:lastRenderedPageBreak/>
        <w:t>Solvency</w:t>
      </w:r>
    </w:p>
    <w:p w:rsidR="002E6C9D" w:rsidRDefault="002E6C9D" w:rsidP="002E6C9D">
      <w:pPr>
        <w:pStyle w:val="Heading4"/>
      </w:pPr>
      <w:r>
        <w:t>The AFF torques sovereignty against itself, deploying precedents at hand while demanding decisions grounded in universal principles</w:t>
      </w:r>
    </w:p>
    <w:p w:rsidR="002E6C9D" w:rsidRDefault="002E6C9D" w:rsidP="002E6C9D">
      <w:pPr>
        <w:shd w:val="clear" w:color="auto" w:fill="FFFFFF"/>
        <w:rPr>
          <w:rFonts w:ascii="Arial" w:hAnsi="Arial" w:cs="Arial"/>
          <w:color w:val="222222"/>
          <w:sz w:val="20"/>
          <w:szCs w:val="20"/>
        </w:rPr>
      </w:pPr>
      <w:r>
        <w:rPr>
          <w:rFonts w:ascii="Arial" w:hAnsi="Arial" w:cs="Arial"/>
          <w:b/>
          <w:bCs/>
          <w:color w:val="222222"/>
          <w:sz w:val="20"/>
          <w:szCs w:val="20"/>
          <w:u w:val="single"/>
        </w:rPr>
        <w:t>Michaelsen</w:t>
      </w:r>
      <w:r>
        <w:rPr>
          <w:rFonts w:ascii="Arial" w:hAnsi="Arial" w:cs="Arial"/>
          <w:color w:val="222222"/>
          <w:sz w:val="20"/>
          <w:szCs w:val="20"/>
        </w:rPr>
        <w:t>, English Prof, MSU,</w:t>
      </w:r>
      <w:r>
        <w:rPr>
          <w:rStyle w:val="apple-converted-space"/>
          <w:rFonts w:ascii="Arial" w:hAnsi="Arial" w:cs="Arial"/>
          <w:color w:val="222222"/>
          <w:sz w:val="20"/>
          <w:szCs w:val="20"/>
        </w:rPr>
        <w:t> </w:t>
      </w:r>
      <w:r>
        <w:rPr>
          <w:rFonts w:ascii="Arial" w:hAnsi="Arial" w:cs="Arial"/>
          <w:b/>
          <w:bCs/>
          <w:color w:val="222222"/>
          <w:sz w:val="20"/>
          <w:szCs w:val="20"/>
          <w:u w:val="single"/>
        </w:rPr>
        <w:t>and Shershow</w:t>
      </w:r>
      <w:r>
        <w:rPr>
          <w:rFonts w:ascii="Arial" w:hAnsi="Arial" w:cs="Arial"/>
          <w:color w:val="222222"/>
          <w:sz w:val="20"/>
          <w:szCs w:val="20"/>
        </w:rPr>
        <w:t>, English Prof, UC-Davis,</w:t>
      </w:r>
      <w:r>
        <w:rPr>
          <w:rStyle w:val="apple-converted-space"/>
          <w:rFonts w:ascii="Arial" w:hAnsi="Arial" w:cs="Arial"/>
          <w:color w:val="222222"/>
          <w:sz w:val="20"/>
          <w:szCs w:val="20"/>
        </w:rPr>
        <w:t> </w:t>
      </w:r>
      <w:r>
        <w:rPr>
          <w:rFonts w:ascii="Arial" w:hAnsi="Arial" w:cs="Arial"/>
          <w:b/>
          <w:bCs/>
          <w:color w:val="222222"/>
          <w:sz w:val="20"/>
          <w:szCs w:val="20"/>
          <w:u w:val="single"/>
        </w:rPr>
        <w:t>'4</w:t>
      </w:r>
    </w:p>
    <w:p w:rsidR="006015D0" w:rsidRDefault="002E6C9D" w:rsidP="006015D0">
      <w:pPr>
        <w:shd w:val="clear" w:color="auto" w:fill="FFFFFF"/>
        <w:rPr>
          <w:rFonts w:ascii="Arial" w:hAnsi="Arial" w:cs="Arial"/>
          <w:color w:val="222222"/>
          <w:sz w:val="20"/>
          <w:szCs w:val="20"/>
        </w:rPr>
      </w:pPr>
      <w:r>
        <w:rPr>
          <w:rFonts w:ascii="Arial" w:hAnsi="Arial" w:cs="Arial"/>
          <w:color w:val="222222"/>
          <w:sz w:val="20"/>
          <w:szCs w:val="20"/>
        </w:rPr>
        <w:t>Scott Michaelsen &amp; Scott Cutler Shershow, 1-11-04, "The Guantánamo "Black Hole": The Law of War and the Sovereign Exception,"</w:t>
      </w:r>
      <w:r>
        <w:rPr>
          <w:rStyle w:val="apple-converted-space"/>
          <w:rFonts w:ascii="Arial" w:hAnsi="Arial" w:cs="Arial"/>
          <w:color w:val="222222"/>
          <w:sz w:val="20"/>
          <w:szCs w:val="20"/>
        </w:rPr>
        <w:t> </w:t>
      </w:r>
      <w:r>
        <w:rPr>
          <w:rFonts w:ascii="Arial" w:hAnsi="Arial" w:cs="Arial"/>
          <w:i/>
          <w:iCs/>
          <w:color w:val="222222"/>
          <w:sz w:val="20"/>
          <w:szCs w:val="20"/>
        </w:rPr>
        <w:t>Middle East Report</w:t>
      </w:r>
      <w:r>
        <w:rPr>
          <w:rFonts w:ascii="Arial" w:hAnsi="Arial" w:cs="Arial"/>
          <w:color w:val="222222"/>
          <w:sz w:val="20"/>
          <w:szCs w:val="20"/>
        </w:rPr>
        <w:t>,</w:t>
      </w:r>
      <w:r>
        <w:rPr>
          <w:rStyle w:val="apple-converted-space"/>
          <w:rFonts w:ascii="Arial" w:hAnsi="Arial" w:cs="Arial"/>
          <w:color w:val="222222"/>
          <w:sz w:val="20"/>
          <w:szCs w:val="20"/>
        </w:rPr>
        <w:t> </w:t>
      </w:r>
      <w:hyperlink r:id="rId13" w:tgtFrame="_blank" w:history="1">
        <w:r>
          <w:rPr>
            <w:rStyle w:val="Hyperlink"/>
            <w:rFonts w:ascii="Arial" w:hAnsi="Arial" w:cs="Arial"/>
            <w:color w:val="1155CC"/>
            <w:sz w:val="20"/>
            <w:szCs w:val="20"/>
          </w:rPr>
          <w:t>http://www.merip.org/mero/mero011104</w:t>
        </w:r>
      </w:hyperlink>
      <w:r>
        <w:rPr>
          <w:rStyle w:val="apple-converted-space"/>
          <w:rFonts w:ascii="Arial" w:hAnsi="Arial" w:cs="Arial"/>
          <w:color w:val="222222"/>
          <w:sz w:val="20"/>
          <w:szCs w:val="20"/>
        </w:rPr>
        <w:t> </w:t>
      </w:r>
      <w:r>
        <w:rPr>
          <w:rFonts w:ascii="Arial" w:hAnsi="Arial" w:cs="Arial"/>
          <w:color w:val="222222"/>
          <w:sz w:val="20"/>
          <w:szCs w:val="20"/>
        </w:rPr>
        <w:t>[ACG PRE]</w:t>
      </w:r>
      <w:r>
        <w:rPr>
          <w:rFonts w:ascii="Arial" w:hAnsi="Arial" w:cs="Arial"/>
          <w:color w:val="222222"/>
          <w:sz w:val="20"/>
          <w:szCs w:val="20"/>
        </w:rPr>
        <w:br/>
        <w:t>Sovereignty Against Itself</w:t>
      </w:r>
      <w:r>
        <w:rPr>
          <w:rFonts w:ascii="Arial" w:hAnsi="Arial" w:cs="Arial"/>
          <w:color w:val="222222"/>
          <w:sz w:val="20"/>
          <w:szCs w:val="20"/>
        </w:rPr>
        <w:br/>
      </w:r>
      <w:r>
        <w:rPr>
          <w:rFonts w:ascii="Arial" w:hAnsi="Arial" w:cs="Arial"/>
          <w:color w:val="222222"/>
          <w:sz w:val="20"/>
          <w:szCs w:val="20"/>
        </w:rPr>
        <w:br/>
      </w:r>
      <w:r w:rsidRPr="002659DB">
        <w:rPr>
          <w:rFonts w:ascii="Arial" w:hAnsi="Arial" w:cs="Arial"/>
          <w:color w:val="222222"/>
          <w:sz w:val="20"/>
          <w:szCs w:val="20"/>
          <w:highlight w:val="cyan"/>
          <w:u w:val="single"/>
        </w:rPr>
        <w:t>The act of sovereignty that captures</w:t>
      </w:r>
      <w:r>
        <w:rPr>
          <w:rStyle w:val="apple-converted-space"/>
          <w:rFonts w:ascii="Arial" w:hAnsi="Arial" w:cs="Arial"/>
          <w:color w:val="222222"/>
          <w:sz w:val="20"/>
          <w:szCs w:val="20"/>
        </w:rPr>
        <w:t> </w:t>
      </w:r>
      <w:r>
        <w:rPr>
          <w:rFonts w:ascii="Arial" w:hAnsi="Arial" w:cs="Arial"/>
          <w:color w:val="222222"/>
          <w:sz w:val="20"/>
          <w:szCs w:val="20"/>
        </w:rPr>
        <w:t>the Guantánamo</w:t>
      </w:r>
      <w:r>
        <w:rPr>
          <w:rStyle w:val="apple-converted-space"/>
          <w:rFonts w:ascii="Arial" w:hAnsi="Arial" w:cs="Arial"/>
          <w:color w:val="222222"/>
          <w:sz w:val="20"/>
          <w:szCs w:val="20"/>
        </w:rPr>
        <w:t> </w:t>
      </w:r>
      <w:r w:rsidRPr="002659DB">
        <w:rPr>
          <w:rFonts w:ascii="Arial" w:hAnsi="Arial" w:cs="Arial"/>
          <w:color w:val="222222"/>
          <w:sz w:val="20"/>
          <w:szCs w:val="20"/>
          <w:highlight w:val="cyan"/>
          <w:u w:val="single"/>
        </w:rPr>
        <w:t>detainees</w:t>
      </w:r>
      <w:r>
        <w:rPr>
          <w:rStyle w:val="apple-converted-space"/>
          <w:rFonts w:ascii="Arial" w:hAnsi="Arial" w:cs="Arial"/>
          <w:color w:val="222222"/>
          <w:sz w:val="20"/>
          <w:szCs w:val="20"/>
        </w:rPr>
        <w:t> </w:t>
      </w:r>
      <w:r>
        <w:rPr>
          <w:rFonts w:ascii="Arial" w:hAnsi="Arial" w:cs="Arial"/>
          <w:color w:val="222222"/>
          <w:sz w:val="20"/>
          <w:szCs w:val="20"/>
        </w:rPr>
        <w:t xml:space="preserve">only to </w:t>
      </w:r>
    </w:p>
    <w:p w:rsidR="006015D0" w:rsidRDefault="006015D0" w:rsidP="006015D0">
      <w:pPr>
        <w:shd w:val="clear" w:color="auto" w:fill="FFFFFF"/>
        <w:rPr>
          <w:rFonts w:ascii="Arial" w:hAnsi="Arial" w:cs="Arial"/>
          <w:color w:val="222222"/>
          <w:sz w:val="20"/>
          <w:szCs w:val="20"/>
        </w:rPr>
      </w:pPr>
      <w:r>
        <w:rPr>
          <w:rFonts w:ascii="Arial" w:hAnsi="Arial" w:cs="Arial"/>
          <w:color w:val="222222"/>
          <w:sz w:val="20"/>
          <w:szCs w:val="20"/>
        </w:rPr>
        <w:t>AND</w:t>
      </w:r>
    </w:p>
    <w:p w:rsidR="002E6C9D" w:rsidRDefault="002E6C9D" w:rsidP="006015D0">
      <w:pPr>
        <w:shd w:val="clear" w:color="auto" w:fill="FFFFFF"/>
        <w:rPr>
          <w:rFonts w:ascii="Arial" w:hAnsi="Arial" w:cs="Arial"/>
          <w:color w:val="222222"/>
          <w:sz w:val="20"/>
          <w:szCs w:val="20"/>
        </w:rPr>
      </w:pPr>
      <w:r>
        <w:rPr>
          <w:rFonts w:ascii="Arial" w:hAnsi="Arial" w:cs="Arial"/>
          <w:color w:val="222222"/>
          <w:sz w:val="20"/>
          <w:szCs w:val="20"/>
        </w:rPr>
        <w:t>,</w:t>
      </w:r>
      <w:r>
        <w:rPr>
          <w:rStyle w:val="apple-converted-space"/>
          <w:rFonts w:ascii="Arial" w:eastAsiaTheme="majorEastAsia" w:hAnsi="Arial" w:cs="Arial"/>
          <w:color w:val="222222"/>
          <w:sz w:val="20"/>
          <w:szCs w:val="20"/>
        </w:rPr>
        <w:t> </w:t>
      </w:r>
      <w:r>
        <w:rPr>
          <w:rFonts w:ascii="Arial" w:hAnsi="Arial" w:cs="Arial"/>
          <w:color w:val="222222"/>
          <w:sz w:val="20"/>
          <w:szCs w:val="20"/>
          <w:u w:val="single"/>
        </w:rPr>
        <w:t>as</w:t>
      </w:r>
      <w:r>
        <w:rPr>
          <w:rStyle w:val="apple-converted-space"/>
          <w:rFonts w:ascii="Arial" w:eastAsiaTheme="majorEastAsia" w:hAnsi="Arial" w:cs="Arial"/>
          <w:color w:val="222222"/>
          <w:sz w:val="20"/>
          <w:szCs w:val="20"/>
        </w:rPr>
        <w:t> </w:t>
      </w:r>
      <w:r>
        <w:rPr>
          <w:rFonts w:ascii="Arial" w:hAnsi="Arial" w:cs="Arial"/>
          <w:color w:val="222222"/>
          <w:sz w:val="20"/>
          <w:szCs w:val="20"/>
        </w:rPr>
        <w:t>Walt</w:t>
      </w:r>
      <w:r>
        <w:rPr>
          <w:rStyle w:val="apple-converted-space"/>
          <w:rFonts w:ascii="Arial" w:eastAsiaTheme="majorEastAsia" w:hAnsi="Arial" w:cs="Arial"/>
          <w:color w:val="222222"/>
          <w:sz w:val="20"/>
          <w:szCs w:val="20"/>
        </w:rPr>
        <w:t> </w:t>
      </w:r>
      <w:r>
        <w:rPr>
          <w:rFonts w:ascii="Arial" w:hAnsi="Arial" w:cs="Arial"/>
          <w:color w:val="222222"/>
          <w:sz w:val="20"/>
          <w:szCs w:val="20"/>
          <w:u w:val="single"/>
        </w:rPr>
        <w:t>Kelly</w:t>
      </w:r>
      <w:r>
        <w:rPr>
          <w:rStyle w:val="apple-converted-space"/>
          <w:rFonts w:ascii="Arial" w:eastAsiaTheme="majorEastAsia" w:hAnsi="Arial" w:cs="Arial"/>
          <w:color w:val="222222"/>
          <w:sz w:val="20"/>
          <w:szCs w:val="20"/>
        </w:rPr>
        <w:t> </w:t>
      </w:r>
      <w:r>
        <w:rPr>
          <w:rFonts w:ascii="Arial" w:hAnsi="Arial" w:cs="Arial"/>
          <w:color w:val="222222"/>
          <w:sz w:val="20"/>
          <w:szCs w:val="20"/>
        </w:rPr>
        <w:t>once</w:t>
      </w:r>
      <w:r>
        <w:rPr>
          <w:rStyle w:val="apple-converted-space"/>
          <w:rFonts w:ascii="Arial" w:eastAsiaTheme="majorEastAsia" w:hAnsi="Arial" w:cs="Arial"/>
          <w:color w:val="222222"/>
          <w:sz w:val="20"/>
          <w:szCs w:val="20"/>
        </w:rPr>
        <w:t> </w:t>
      </w:r>
      <w:r>
        <w:rPr>
          <w:rFonts w:ascii="Arial" w:hAnsi="Arial" w:cs="Arial"/>
          <w:color w:val="222222"/>
          <w:sz w:val="20"/>
          <w:szCs w:val="20"/>
          <w:u w:val="single"/>
        </w:rPr>
        <w:t>observed</w:t>
      </w:r>
      <w:r>
        <w:rPr>
          <w:rFonts w:ascii="Arial" w:hAnsi="Arial" w:cs="Arial"/>
          <w:color w:val="222222"/>
          <w:sz w:val="20"/>
          <w:szCs w:val="20"/>
        </w:rPr>
        <w:t>, "we have met</w:t>
      </w:r>
      <w:r>
        <w:rPr>
          <w:rStyle w:val="apple-converted-space"/>
          <w:rFonts w:ascii="Arial" w:eastAsiaTheme="majorEastAsia" w:hAnsi="Arial" w:cs="Arial"/>
          <w:color w:val="222222"/>
          <w:sz w:val="20"/>
          <w:szCs w:val="20"/>
        </w:rPr>
        <w:t> </w:t>
      </w:r>
      <w:r>
        <w:rPr>
          <w:rFonts w:ascii="Arial" w:hAnsi="Arial" w:cs="Arial"/>
          <w:color w:val="222222"/>
          <w:sz w:val="20"/>
          <w:szCs w:val="20"/>
          <w:u w:val="single"/>
        </w:rPr>
        <w:t>the enemy</w:t>
      </w:r>
      <w:r>
        <w:rPr>
          <w:rStyle w:val="apple-converted-space"/>
          <w:rFonts w:ascii="Arial" w:eastAsiaTheme="majorEastAsia" w:hAnsi="Arial" w:cs="Arial"/>
          <w:color w:val="222222"/>
          <w:sz w:val="20"/>
          <w:szCs w:val="20"/>
        </w:rPr>
        <w:t> </w:t>
      </w:r>
      <w:r>
        <w:rPr>
          <w:rFonts w:ascii="Arial" w:hAnsi="Arial" w:cs="Arial"/>
          <w:color w:val="222222"/>
          <w:sz w:val="20"/>
          <w:szCs w:val="20"/>
        </w:rPr>
        <w:t>and he</w:t>
      </w:r>
      <w:r>
        <w:rPr>
          <w:rStyle w:val="apple-converted-space"/>
          <w:rFonts w:ascii="Arial" w:eastAsiaTheme="majorEastAsia" w:hAnsi="Arial" w:cs="Arial"/>
          <w:color w:val="222222"/>
          <w:sz w:val="20"/>
          <w:szCs w:val="20"/>
        </w:rPr>
        <w:t> </w:t>
      </w:r>
      <w:r>
        <w:rPr>
          <w:rFonts w:ascii="Arial" w:hAnsi="Arial" w:cs="Arial"/>
          <w:color w:val="222222"/>
          <w:sz w:val="20"/>
          <w:szCs w:val="20"/>
          <w:u w:val="single"/>
        </w:rPr>
        <w:t>is us</w:t>
      </w:r>
      <w:r>
        <w:rPr>
          <w:rFonts w:ascii="Arial" w:hAnsi="Arial" w:cs="Arial"/>
          <w:color w:val="222222"/>
          <w:sz w:val="20"/>
          <w:szCs w:val="20"/>
        </w:rPr>
        <w:t>."</w:t>
      </w:r>
    </w:p>
    <w:p w:rsidR="007565F3" w:rsidRDefault="007565F3" w:rsidP="007565F3">
      <w:pPr>
        <w:pStyle w:val="Heading4"/>
      </w:pPr>
      <w:r>
        <w:t xml:space="preserve">Habeas </w:t>
      </w:r>
      <w:r w:rsidR="00507448">
        <w:t>ensures review and interrogation of conditions</w:t>
      </w:r>
    </w:p>
    <w:p w:rsidR="007565F3" w:rsidRPr="00E7548F" w:rsidRDefault="007565F3" w:rsidP="007565F3">
      <w:pPr>
        <w:rPr>
          <w:rStyle w:val="StyleStyleBold12pt"/>
        </w:rPr>
      </w:pPr>
      <w:r>
        <w:rPr>
          <w:rStyle w:val="StyleStyleBold12pt"/>
        </w:rPr>
        <w:t>Garrett, Prof Law UV, 12</w:t>
      </w:r>
    </w:p>
    <w:p w:rsidR="007565F3" w:rsidRPr="00274D1D" w:rsidRDefault="007565F3" w:rsidP="007565F3">
      <w:r>
        <w:t xml:space="preserve">Brandon L. </w:t>
      </w:r>
      <w:r w:rsidRPr="00E7548F">
        <w:t>Garrett, Roy L. and Rosamund Woodruff Morgan Professor of Law, University of Virginia School of Law,</w:t>
      </w:r>
      <w:r>
        <w:t xml:space="preserve"> “Habeas Corpus and Due Process,” Cornell Law Review, 98 Cornell L. Rev. 47, November, 2012, Lexis, [DLP SPR]</w:t>
      </w:r>
    </w:p>
    <w:p w:rsidR="006015D0" w:rsidRDefault="007565F3" w:rsidP="006015D0">
      <w:pPr>
        <w:rPr>
          <w:rStyle w:val="underline"/>
        </w:rPr>
      </w:pPr>
      <w:r w:rsidRPr="002F4DAB">
        <w:t xml:space="preserve">In this Article, I argue that </w:t>
      </w:r>
      <w:r w:rsidRPr="002F4DAB">
        <w:rPr>
          <w:rStyle w:val="underline"/>
        </w:rPr>
        <w:t xml:space="preserve">Boumediene </w:t>
      </w:r>
      <w:r w:rsidRPr="002F4DAB">
        <w:t xml:space="preserve">can and </w:t>
      </w:r>
      <w:r w:rsidRPr="002F4DAB">
        <w:rPr>
          <w:rStyle w:val="underline"/>
        </w:rPr>
        <w:t xml:space="preserve">should provide a theory of the </w:t>
      </w:r>
    </w:p>
    <w:p w:rsidR="006015D0" w:rsidRDefault="006015D0" w:rsidP="006015D0">
      <w:pPr>
        <w:rPr>
          <w:rStyle w:val="underline"/>
        </w:rPr>
      </w:pPr>
      <w:r>
        <w:rPr>
          <w:rStyle w:val="underline"/>
        </w:rPr>
        <w:t>AND</w:t>
      </w:r>
    </w:p>
    <w:p w:rsidR="007565F3" w:rsidRDefault="007565F3" w:rsidP="006015D0">
      <w:r>
        <w:t xml:space="preserve">criminal conviction, habeas corpus may offer much less than due </w:t>
      </w:r>
      <w:r w:rsidRPr="00BF4D68">
        <w:t>process</w:t>
      </w:r>
      <w:r>
        <w:t>. 48</w:t>
      </w:r>
    </w:p>
    <w:p w:rsidR="00E1515B" w:rsidRPr="005F0B91" w:rsidRDefault="00863DB3" w:rsidP="00E1515B">
      <w:pPr>
        <w:keepNext/>
        <w:keepLines/>
        <w:spacing w:before="200"/>
        <w:outlineLvl w:val="3"/>
        <w:rPr>
          <w:rFonts w:eastAsia="Times New Roman" w:cs="Times New Roman"/>
          <w:b/>
          <w:bCs/>
          <w:iCs/>
          <w:sz w:val="26"/>
        </w:rPr>
      </w:pPr>
      <w:r>
        <w:rPr>
          <w:rFonts w:eastAsia="Times New Roman" w:cs="Times New Roman"/>
          <w:b/>
          <w:bCs/>
          <w:iCs/>
          <w:sz w:val="26"/>
        </w:rPr>
        <w:t>H</w:t>
      </w:r>
      <w:r w:rsidR="00E1515B" w:rsidRPr="005F0B91">
        <w:rPr>
          <w:rFonts w:eastAsia="Times New Roman" w:cs="Times New Roman"/>
          <w:b/>
          <w:bCs/>
          <w:iCs/>
          <w:sz w:val="26"/>
        </w:rPr>
        <w:t xml:space="preserve">abeas </w:t>
      </w:r>
      <w:r>
        <w:rPr>
          <w:rFonts w:eastAsia="Times New Roman" w:cs="Times New Roman"/>
          <w:b/>
          <w:bCs/>
          <w:iCs/>
          <w:sz w:val="26"/>
        </w:rPr>
        <w:t xml:space="preserve">is necessary </w:t>
      </w:r>
      <w:r w:rsidR="00E1515B" w:rsidRPr="005F0B91">
        <w:rPr>
          <w:rFonts w:eastAsia="Times New Roman" w:cs="Times New Roman"/>
          <w:b/>
          <w:bCs/>
          <w:iCs/>
          <w:sz w:val="26"/>
        </w:rPr>
        <w:t>to</w:t>
      </w:r>
      <w:r w:rsidR="00352FC3">
        <w:rPr>
          <w:rFonts w:eastAsia="Times New Roman" w:cs="Times New Roman"/>
          <w:b/>
          <w:bCs/>
          <w:iCs/>
          <w:sz w:val="26"/>
        </w:rPr>
        <w:t xml:space="preserve"> combat</w:t>
      </w:r>
      <w:r w:rsidR="00E1515B" w:rsidRPr="005F0B91">
        <w:rPr>
          <w:rFonts w:eastAsia="Times New Roman" w:cs="Times New Roman"/>
          <w:b/>
          <w:bCs/>
          <w:iCs/>
          <w:sz w:val="26"/>
        </w:rPr>
        <w:t xml:space="preserve"> executive avoidance</w:t>
      </w:r>
    </w:p>
    <w:p w:rsidR="00E1515B" w:rsidRPr="005F0B91" w:rsidRDefault="00E1515B" w:rsidP="00E1515B">
      <w:pPr>
        <w:rPr>
          <w:rFonts w:eastAsia="Calibri"/>
          <w:b/>
          <w:bCs/>
          <w:sz w:val="26"/>
        </w:rPr>
      </w:pPr>
      <w:r w:rsidRPr="005F0B91">
        <w:rPr>
          <w:rFonts w:eastAsia="Calibri"/>
          <w:b/>
          <w:bCs/>
          <w:sz w:val="26"/>
        </w:rPr>
        <w:t>Azmy, Prof Law Seton Hall, 9</w:t>
      </w:r>
    </w:p>
    <w:p w:rsidR="00E1515B" w:rsidRPr="005F0B91" w:rsidRDefault="00E1515B" w:rsidP="00E1515B">
      <w:pPr>
        <w:rPr>
          <w:rFonts w:eastAsia="Calibri"/>
        </w:rPr>
      </w:pPr>
      <w:r w:rsidRPr="005F0B91">
        <w:rPr>
          <w:rFonts w:eastAsia="Calibri"/>
        </w:rPr>
        <w:t xml:space="preserve">Baher Azmy, Professor of Law at Seton Hall Law School, March 11, 2009, Iowa Law Review, Vol. 95, 2010, “Executive Detention, </w:t>
      </w:r>
      <w:r w:rsidRPr="005F0B91">
        <w:rPr>
          <w:rFonts w:eastAsia="Calibri"/>
          <w:i/>
        </w:rPr>
        <w:t xml:space="preserve">Boumediene, </w:t>
      </w:r>
      <w:r w:rsidRPr="005F0B91">
        <w:rPr>
          <w:rFonts w:eastAsia="Calibri"/>
        </w:rPr>
        <w:t xml:space="preserve">and the New Common Law of Habeas, Seton Hall Public Research Paper no. 135778, </w:t>
      </w:r>
      <w:hyperlink r:id="rId14" w:history="1">
        <w:r w:rsidRPr="005F0B91">
          <w:rPr>
            <w:rFonts w:eastAsia="Calibri"/>
          </w:rPr>
          <w:t>http://papers.ssrn.com/sol3/papers.cfm?abstract_id=1357788</w:t>
        </w:r>
      </w:hyperlink>
      <w:r w:rsidRPr="005F0B91">
        <w:rPr>
          <w:rFonts w:eastAsia="Calibri"/>
        </w:rPr>
        <w:t xml:space="preserve">, 447-538 [DLP SPR] </w:t>
      </w:r>
    </w:p>
    <w:p w:rsidR="006015D0" w:rsidRDefault="00E1515B" w:rsidP="006015D0">
      <w:pPr>
        <w:rPr>
          <w:rFonts w:eastAsia="Calibri"/>
        </w:rPr>
      </w:pPr>
      <w:r w:rsidRPr="005F0B91">
        <w:rPr>
          <w:rFonts w:eastAsia="Calibri"/>
        </w:rPr>
        <w:t xml:space="preserve">Indeed, </w:t>
      </w:r>
      <w:r w:rsidRPr="00E1515B">
        <w:rPr>
          <w:rFonts w:eastAsia="Calibri"/>
        </w:rPr>
        <w:t xml:space="preserve">though the question was not presented to the Court, </w:t>
      </w:r>
    </w:p>
    <w:p w:rsidR="006015D0" w:rsidRDefault="006015D0" w:rsidP="006015D0">
      <w:pPr>
        <w:rPr>
          <w:rFonts w:eastAsia="Calibri"/>
        </w:rPr>
      </w:pPr>
      <w:r>
        <w:rPr>
          <w:rFonts w:eastAsia="Calibri"/>
        </w:rPr>
        <w:t>AND</w:t>
      </w:r>
    </w:p>
    <w:p w:rsidR="00E1515B" w:rsidRDefault="00E1515B" w:rsidP="006015D0">
      <w:pPr>
        <w:rPr>
          <w:rFonts w:eastAsia="Calibri"/>
        </w:rPr>
      </w:pPr>
      <w:r w:rsidRPr="005F0B91">
        <w:rPr>
          <w:rFonts w:eastAsia="Calibri"/>
        </w:rPr>
        <w:t>these questions in a doctrinally distinct manner.</w:t>
      </w:r>
    </w:p>
    <w:p w:rsidR="00E927E4" w:rsidRPr="005F0B91" w:rsidRDefault="00AC03D4" w:rsidP="00E927E4">
      <w:pPr>
        <w:keepNext/>
        <w:keepLines/>
        <w:spacing w:before="200"/>
        <w:outlineLvl w:val="3"/>
        <w:rPr>
          <w:rFonts w:eastAsia="Times New Roman" w:cs="Times New Roman"/>
          <w:b/>
          <w:bCs/>
          <w:iCs/>
          <w:sz w:val="26"/>
        </w:rPr>
      </w:pPr>
      <w:r>
        <w:rPr>
          <w:rFonts w:eastAsia="Times New Roman" w:cs="Times New Roman"/>
          <w:b/>
          <w:bCs/>
          <w:iCs/>
          <w:sz w:val="26"/>
        </w:rPr>
        <w:t xml:space="preserve">Judicial </w:t>
      </w:r>
      <w:r w:rsidR="00CA33FD">
        <w:rPr>
          <w:rFonts w:eastAsia="Times New Roman" w:cs="Times New Roman"/>
          <w:b/>
          <w:bCs/>
          <w:iCs/>
          <w:sz w:val="26"/>
        </w:rPr>
        <w:t>a</w:t>
      </w:r>
      <w:r w:rsidR="00CA33FD" w:rsidRPr="005F0B91">
        <w:rPr>
          <w:rFonts w:eastAsia="Times New Roman" w:cs="Times New Roman"/>
          <w:b/>
          <w:bCs/>
          <w:iCs/>
          <w:sz w:val="26"/>
        </w:rPr>
        <w:t>rchaeological</w:t>
      </w:r>
      <w:r w:rsidR="00E927E4" w:rsidRPr="005F0B91">
        <w:rPr>
          <w:rFonts w:eastAsia="Times New Roman" w:cs="Times New Roman"/>
          <w:b/>
          <w:bCs/>
          <w:iCs/>
          <w:sz w:val="26"/>
        </w:rPr>
        <w:t xml:space="preserve"> excavation is necessary to demystify post-9/11 discourse and construct definitions to govern society</w:t>
      </w:r>
    </w:p>
    <w:p w:rsidR="00E927E4" w:rsidRPr="005F0B91" w:rsidRDefault="00E927E4" w:rsidP="00E927E4">
      <w:pPr>
        <w:rPr>
          <w:rFonts w:eastAsia="Calibri"/>
          <w:b/>
          <w:bCs/>
          <w:sz w:val="26"/>
        </w:rPr>
      </w:pPr>
      <w:r w:rsidRPr="005F0B91">
        <w:rPr>
          <w:rFonts w:eastAsia="Calibri"/>
          <w:b/>
          <w:bCs/>
          <w:sz w:val="26"/>
        </w:rPr>
        <w:t>Shaub, JD from Northwestern, 11</w:t>
      </w:r>
    </w:p>
    <w:p w:rsidR="00E927E4" w:rsidRPr="005F0B91" w:rsidRDefault="00E927E4" w:rsidP="00E927E4">
      <w:pPr>
        <w:rPr>
          <w:rFonts w:eastAsia="Calibri"/>
        </w:rPr>
      </w:pPr>
      <w:r w:rsidRPr="005F0B91">
        <w:rPr>
          <w:rFonts w:eastAsia="Calibri"/>
        </w:rPr>
        <w:t>Johnathan David Shaub, JD Northwestern University School of Law, MA in English from Belmont University, “A Foucauldian Call for the Archaeological Excavation of Discourse in the Post-Boumediene Habeas Litigaton,” Northwestern University Law Review, 105 NW. U.L. Rev. 869, Lexis, [DLP SPR]</w:t>
      </w:r>
    </w:p>
    <w:p w:rsidR="00E927E4" w:rsidRPr="005F0B91" w:rsidRDefault="00E927E4" w:rsidP="00E927E4">
      <w:pPr>
        <w:rPr>
          <w:rFonts w:eastAsia="Calibri"/>
        </w:rPr>
      </w:pPr>
      <w:r w:rsidRPr="005F0B91">
        <w:rPr>
          <w:rFonts w:eastAsia="Calibri"/>
        </w:rPr>
        <w:t>Conclusion</w:t>
      </w:r>
    </w:p>
    <w:p w:rsidR="006015D0" w:rsidRDefault="00E927E4" w:rsidP="006015D0">
      <w:pPr>
        <w:rPr>
          <w:rFonts w:eastAsia="Calibri"/>
        </w:rPr>
      </w:pPr>
      <w:r w:rsidRPr="005F0B91">
        <w:rPr>
          <w:rFonts w:eastAsia="Calibri"/>
        </w:rPr>
        <w:t xml:space="preserve"> This Note contends that </w:t>
      </w:r>
      <w:r w:rsidRPr="007565F3">
        <w:rPr>
          <w:rStyle w:val="underline"/>
          <w:highlight w:val="yellow"/>
        </w:rPr>
        <w:t xml:space="preserve">judges </w:t>
      </w:r>
      <w:r w:rsidRPr="00FA7837">
        <w:rPr>
          <w:rStyle w:val="underline"/>
        </w:rPr>
        <w:t>in</w:t>
      </w:r>
      <w:r w:rsidRPr="00FA7837">
        <w:rPr>
          <w:rFonts w:eastAsia="Calibri"/>
        </w:rPr>
        <w:t xml:space="preserve"> the Guantanamo habeas cases, and in </w:t>
      </w:r>
      <w:r w:rsidRPr="00FA7837">
        <w:rPr>
          <w:rStyle w:val="underline"/>
        </w:rPr>
        <w:t xml:space="preserve">future </w:t>
      </w:r>
      <w:r w:rsidRPr="007565F3">
        <w:rPr>
          <w:rStyle w:val="underline"/>
          <w:highlight w:val="yellow"/>
        </w:rPr>
        <w:t>cases</w:t>
      </w:r>
      <w:r w:rsidRPr="005F0B91">
        <w:rPr>
          <w:rFonts w:eastAsia="Calibri"/>
        </w:rPr>
        <w:t xml:space="preserve"> </w:t>
      </w:r>
    </w:p>
    <w:p w:rsidR="006015D0" w:rsidRDefault="006015D0" w:rsidP="006015D0">
      <w:pPr>
        <w:rPr>
          <w:rFonts w:eastAsia="Calibri"/>
        </w:rPr>
      </w:pPr>
      <w:r>
        <w:rPr>
          <w:rFonts w:eastAsia="Calibri"/>
        </w:rPr>
        <w:t>AND</w:t>
      </w:r>
    </w:p>
    <w:p w:rsidR="00E927E4" w:rsidRPr="005F0B91" w:rsidRDefault="00E927E4" w:rsidP="006015D0">
      <w:pPr>
        <w:rPr>
          <w:rFonts w:eastAsia="Calibri"/>
        </w:rPr>
      </w:pPr>
      <w:r w:rsidRPr="00352FC3">
        <w:rPr>
          <w:rStyle w:val="underline"/>
        </w:rPr>
        <w:t>the province and duty of the judi-cial department." n277</w:t>
      </w:r>
    </w:p>
    <w:p w:rsidR="00E927E4" w:rsidRPr="000D33F9" w:rsidRDefault="00E927E4" w:rsidP="00E927E4">
      <w:pPr>
        <w:keepNext/>
        <w:keepLines/>
        <w:spacing w:before="200"/>
        <w:outlineLvl w:val="3"/>
        <w:rPr>
          <w:rFonts w:eastAsia="Times New Roman" w:cs="Times New Roman"/>
          <w:b/>
          <w:bCs/>
          <w:iCs/>
          <w:sz w:val="26"/>
        </w:rPr>
      </w:pPr>
      <w:r w:rsidRPr="000D33F9">
        <w:rPr>
          <w:rFonts w:eastAsia="Times New Roman" w:cs="Times New Roman"/>
          <w:b/>
          <w:bCs/>
          <w:iCs/>
          <w:sz w:val="26"/>
        </w:rPr>
        <w:t>Separating the legal and ethical aspects of due process in public deliberation enables us to challenge the fixivity of national identity and construct a new identity centered on who we want to be</w:t>
      </w:r>
    </w:p>
    <w:p w:rsidR="00E927E4" w:rsidRPr="000D33F9" w:rsidRDefault="00E927E4" w:rsidP="00E927E4">
      <w:pPr>
        <w:rPr>
          <w:rFonts w:eastAsia="Calibri"/>
          <w:b/>
          <w:sz w:val="26"/>
        </w:rPr>
      </w:pPr>
      <w:r w:rsidRPr="000D33F9">
        <w:rPr>
          <w:rFonts w:eastAsia="Calibri"/>
          <w:b/>
          <w:sz w:val="26"/>
        </w:rPr>
        <w:t>Robertson, Prof. Case Western Law, 12</w:t>
      </w:r>
    </w:p>
    <w:p w:rsidR="00E927E4" w:rsidRPr="000D33F9" w:rsidRDefault="00E927E4" w:rsidP="00E927E4">
      <w:pPr>
        <w:rPr>
          <w:rFonts w:eastAsia="Calibri"/>
        </w:rPr>
      </w:pPr>
      <w:r w:rsidRPr="000D33F9">
        <w:rPr>
          <w:rFonts w:eastAsia="Calibri"/>
        </w:rPr>
        <w:lastRenderedPageBreak/>
        <w:t>Cassandra Burke Robertson, Associate Professor at Case Western Reserve University School of Law, Alabama Law Review 2012, 64 Ala. L. Rev. 225, “Due Process in the American Identity,” Lexis, [DLP SPR]</w:t>
      </w:r>
    </w:p>
    <w:p w:rsidR="006015D0" w:rsidRDefault="00E927E4" w:rsidP="006015D0">
      <w:pPr>
        <w:rPr>
          <w:rFonts w:eastAsia="Calibri"/>
        </w:rPr>
      </w:pPr>
      <w:r w:rsidRPr="000D33F9">
        <w:rPr>
          <w:rFonts w:eastAsia="Calibri"/>
        </w:rPr>
        <w:t xml:space="preserve">Due process is a fundamental American value, and it is a value that deserves a role in the national debate </w:t>
      </w:r>
    </w:p>
    <w:p w:rsidR="006015D0" w:rsidRDefault="006015D0" w:rsidP="006015D0">
      <w:pPr>
        <w:rPr>
          <w:rFonts w:eastAsia="Calibri"/>
        </w:rPr>
      </w:pPr>
      <w:r>
        <w:rPr>
          <w:rFonts w:eastAsia="Calibri"/>
        </w:rPr>
        <w:t>AND</w:t>
      </w:r>
    </w:p>
    <w:p w:rsidR="00E927E4" w:rsidRPr="00AC03D4" w:rsidRDefault="00E927E4" w:rsidP="006015D0">
      <w:pPr>
        <w:rPr>
          <w:rFonts w:eastAsia="Calibri"/>
        </w:rPr>
      </w:pPr>
      <w:r w:rsidRPr="007565F3">
        <w:rPr>
          <w:rStyle w:val="underline"/>
          <w:highlight w:val="yellow"/>
        </w:rPr>
        <w:t>we are</w:t>
      </w:r>
      <w:r w:rsidRPr="000D33F9">
        <w:rPr>
          <w:rFonts w:eastAsia="Calibri"/>
        </w:rPr>
        <w:t xml:space="preserve"> as a nation </w:t>
      </w:r>
      <w:r w:rsidRPr="007565F3">
        <w:rPr>
          <w:rStyle w:val="underline"/>
          <w:highlight w:val="yellow"/>
        </w:rPr>
        <w:t>and who we want to be.</w:t>
      </w:r>
    </w:p>
    <w:p w:rsidR="00500A95" w:rsidRDefault="00500A95" w:rsidP="00500A95">
      <w:pPr>
        <w:pStyle w:val="Heading4"/>
      </w:pPr>
      <w:r>
        <w:t>Guantanamo is a lens through which courts mediate terrorism discourse – it legitmates the whole scope of executive action and post-9/11 exceptionalism, bolstering racism against Muslims</w:t>
      </w:r>
    </w:p>
    <w:p w:rsidR="00500A95" w:rsidRDefault="00500A95" w:rsidP="00500A95">
      <w:pPr>
        <w:rPr>
          <w:rStyle w:val="StyleStyleBold12pt"/>
        </w:rPr>
      </w:pPr>
      <w:r>
        <w:rPr>
          <w:rStyle w:val="StyleStyleBold12pt"/>
        </w:rPr>
        <w:t>Gathii, Prof Law Albany Law School, 3</w:t>
      </w:r>
    </w:p>
    <w:p w:rsidR="006015D0" w:rsidRDefault="00500A95" w:rsidP="006015D0">
      <w:r>
        <w:t>James Thuo Gathii, Assistant Professor at Albany Law School, “ARTICLE: TORTURE, EXTRATERRITORIALITY, TERRORISM, AND INTERNATIONAL LAW,” AlbanyLaw Review, 67 Alb. L. Rev. 335, Lexis [DLP SPR]</w:t>
      </w:r>
    </w:p>
    <w:p w:rsidR="006015D0" w:rsidRDefault="00500A95" w:rsidP="006015D0">
      <w:r>
        <w:t xml:space="preserve">Federal courts have overwhelmingly declined to entertain suits alleging torture and other conditions of confinement in Guantanamo Bay </w:t>
      </w:r>
    </w:p>
    <w:p w:rsidR="006015D0" w:rsidRDefault="006015D0" w:rsidP="006015D0">
      <w:r>
        <w:t>AND</w:t>
      </w:r>
    </w:p>
    <w:p w:rsidR="00500A95" w:rsidRDefault="00500A95" w:rsidP="006015D0">
      <w:r>
        <w:t>by the discriminatory treatment of Muslims of Arabic and Persian descent, especially after September 11th, 2001</w:t>
      </w:r>
    </w:p>
    <w:p w:rsidR="00500A95" w:rsidRPr="00494A53" w:rsidRDefault="00500A95" w:rsidP="00500A95"/>
    <w:p w:rsidR="00856CF3" w:rsidRDefault="00856CF3" w:rsidP="00856CF3">
      <w:bookmarkStart w:id="0" w:name="_GoBack"/>
      <w:bookmarkEnd w:id="0"/>
    </w:p>
    <w:sectPr w:rsidR="00856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A96" w:rsidRDefault="00706A96" w:rsidP="005F5576">
      <w:r>
        <w:separator/>
      </w:r>
    </w:p>
  </w:endnote>
  <w:endnote w:type="continuationSeparator" w:id="0">
    <w:p w:rsidR="00706A96" w:rsidRDefault="00706A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A96" w:rsidRDefault="00706A96" w:rsidP="005F5576">
      <w:r>
        <w:separator/>
      </w:r>
    </w:p>
  </w:footnote>
  <w:footnote w:type="continuationSeparator" w:id="0">
    <w:p w:rsidR="00706A96" w:rsidRDefault="00706A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F6E39"/>
    <w:multiLevelType w:val="hybridMultilevel"/>
    <w:tmpl w:val="804083A8"/>
    <w:lvl w:ilvl="0" w:tplc="008C488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AA2515E"/>
    <w:multiLevelType w:val="hybridMultilevel"/>
    <w:tmpl w:val="3F3686E6"/>
    <w:lvl w:ilvl="0" w:tplc="039823BC">
      <w:start w:val="20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3A"/>
    <w:rsid w:val="000022F2"/>
    <w:rsid w:val="0000459F"/>
    <w:rsid w:val="00004EB4"/>
    <w:rsid w:val="00006496"/>
    <w:rsid w:val="0002196C"/>
    <w:rsid w:val="00021F29"/>
    <w:rsid w:val="00027EED"/>
    <w:rsid w:val="0003041D"/>
    <w:rsid w:val="00033028"/>
    <w:rsid w:val="000360A7"/>
    <w:rsid w:val="00040AEF"/>
    <w:rsid w:val="0004495F"/>
    <w:rsid w:val="00052A1D"/>
    <w:rsid w:val="00055E12"/>
    <w:rsid w:val="00064A59"/>
    <w:rsid w:val="0007162E"/>
    <w:rsid w:val="00071D34"/>
    <w:rsid w:val="00073B9A"/>
    <w:rsid w:val="0008068D"/>
    <w:rsid w:val="00090287"/>
    <w:rsid w:val="00090BA2"/>
    <w:rsid w:val="000978A3"/>
    <w:rsid w:val="00097D7E"/>
    <w:rsid w:val="000A0F11"/>
    <w:rsid w:val="000A1D39"/>
    <w:rsid w:val="000A4FA5"/>
    <w:rsid w:val="000B5CD6"/>
    <w:rsid w:val="000B61C8"/>
    <w:rsid w:val="000C767D"/>
    <w:rsid w:val="000D0B76"/>
    <w:rsid w:val="000D2AE5"/>
    <w:rsid w:val="000D33F9"/>
    <w:rsid w:val="000D3A26"/>
    <w:rsid w:val="000D3D8D"/>
    <w:rsid w:val="000D3F61"/>
    <w:rsid w:val="000E41A3"/>
    <w:rsid w:val="000F37E7"/>
    <w:rsid w:val="000F3DB4"/>
    <w:rsid w:val="001044CE"/>
    <w:rsid w:val="00106671"/>
    <w:rsid w:val="001079E4"/>
    <w:rsid w:val="00111289"/>
    <w:rsid w:val="00113C68"/>
    <w:rsid w:val="00114663"/>
    <w:rsid w:val="0012057B"/>
    <w:rsid w:val="00126D92"/>
    <w:rsid w:val="001301AC"/>
    <w:rsid w:val="001304DF"/>
    <w:rsid w:val="00134431"/>
    <w:rsid w:val="001349AB"/>
    <w:rsid w:val="00140397"/>
    <w:rsid w:val="0014072D"/>
    <w:rsid w:val="00141F7D"/>
    <w:rsid w:val="00141FBF"/>
    <w:rsid w:val="00143A6A"/>
    <w:rsid w:val="00144DF4"/>
    <w:rsid w:val="00164C5D"/>
    <w:rsid w:val="0016509D"/>
    <w:rsid w:val="0016711C"/>
    <w:rsid w:val="00167A9F"/>
    <w:rsid w:val="00167C39"/>
    <w:rsid w:val="001711E1"/>
    <w:rsid w:val="00175018"/>
    <w:rsid w:val="00175E96"/>
    <w:rsid w:val="00177828"/>
    <w:rsid w:val="00177A1E"/>
    <w:rsid w:val="00182D51"/>
    <w:rsid w:val="0018565A"/>
    <w:rsid w:val="00192E3A"/>
    <w:rsid w:val="0019587B"/>
    <w:rsid w:val="001A3883"/>
    <w:rsid w:val="001A4F0E"/>
    <w:rsid w:val="001B0A04"/>
    <w:rsid w:val="001B3CEC"/>
    <w:rsid w:val="001C1D82"/>
    <w:rsid w:val="001C2147"/>
    <w:rsid w:val="001C587E"/>
    <w:rsid w:val="001C7C90"/>
    <w:rsid w:val="001D0D51"/>
    <w:rsid w:val="001E3B4D"/>
    <w:rsid w:val="001F3E71"/>
    <w:rsid w:val="001F6E83"/>
    <w:rsid w:val="001F7572"/>
    <w:rsid w:val="001F7C39"/>
    <w:rsid w:val="0020006E"/>
    <w:rsid w:val="002009AE"/>
    <w:rsid w:val="00200F23"/>
    <w:rsid w:val="002058C7"/>
    <w:rsid w:val="002101DA"/>
    <w:rsid w:val="00217499"/>
    <w:rsid w:val="0022403B"/>
    <w:rsid w:val="00235015"/>
    <w:rsid w:val="0024023F"/>
    <w:rsid w:val="00240C4E"/>
    <w:rsid w:val="00243DC0"/>
    <w:rsid w:val="00250E16"/>
    <w:rsid w:val="00257696"/>
    <w:rsid w:val="0026382E"/>
    <w:rsid w:val="002659DB"/>
    <w:rsid w:val="00272786"/>
    <w:rsid w:val="0027364F"/>
    <w:rsid w:val="00287AB7"/>
    <w:rsid w:val="00294D00"/>
    <w:rsid w:val="002A213E"/>
    <w:rsid w:val="002A612B"/>
    <w:rsid w:val="002B2D1B"/>
    <w:rsid w:val="002B5328"/>
    <w:rsid w:val="002B68A4"/>
    <w:rsid w:val="002B6F16"/>
    <w:rsid w:val="002C571D"/>
    <w:rsid w:val="002C5772"/>
    <w:rsid w:val="002D0374"/>
    <w:rsid w:val="002D2946"/>
    <w:rsid w:val="002D529E"/>
    <w:rsid w:val="002D6BD6"/>
    <w:rsid w:val="002E4DD9"/>
    <w:rsid w:val="002E6C9D"/>
    <w:rsid w:val="002F0314"/>
    <w:rsid w:val="002F4DAB"/>
    <w:rsid w:val="00306E54"/>
    <w:rsid w:val="003079CF"/>
    <w:rsid w:val="0031182D"/>
    <w:rsid w:val="00314B9D"/>
    <w:rsid w:val="00315CA2"/>
    <w:rsid w:val="00316FEB"/>
    <w:rsid w:val="00326EEB"/>
    <w:rsid w:val="0033078A"/>
    <w:rsid w:val="00331559"/>
    <w:rsid w:val="00341D6C"/>
    <w:rsid w:val="00344E91"/>
    <w:rsid w:val="0034677A"/>
    <w:rsid w:val="00347123"/>
    <w:rsid w:val="0034756E"/>
    <w:rsid w:val="00347E74"/>
    <w:rsid w:val="00351D97"/>
    <w:rsid w:val="00352FC3"/>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B45"/>
    <w:rsid w:val="003C3AA9"/>
    <w:rsid w:val="003C3BFA"/>
    <w:rsid w:val="003C3CEF"/>
    <w:rsid w:val="003C756E"/>
    <w:rsid w:val="003D2C33"/>
    <w:rsid w:val="003E2F9C"/>
    <w:rsid w:val="003E4831"/>
    <w:rsid w:val="003E48DE"/>
    <w:rsid w:val="003E7B35"/>
    <w:rsid w:val="003E7E8B"/>
    <w:rsid w:val="003F0728"/>
    <w:rsid w:val="003F3030"/>
    <w:rsid w:val="003F47AE"/>
    <w:rsid w:val="003F7082"/>
    <w:rsid w:val="00403971"/>
    <w:rsid w:val="00406D89"/>
    <w:rsid w:val="00407386"/>
    <w:rsid w:val="0041248F"/>
    <w:rsid w:val="004138EF"/>
    <w:rsid w:val="00414682"/>
    <w:rsid w:val="004319DE"/>
    <w:rsid w:val="00435232"/>
    <w:rsid w:val="004400EA"/>
    <w:rsid w:val="00450882"/>
    <w:rsid w:val="00451C20"/>
    <w:rsid w:val="00452001"/>
    <w:rsid w:val="0045442E"/>
    <w:rsid w:val="004564E2"/>
    <w:rsid w:val="0045757C"/>
    <w:rsid w:val="00462418"/>
    <w:rsid w:val="00471387"/>
    <w:rsid w:val="00471A70"/>
    <w:rsid w:val="00473A79"/>
    <w:rsid w:val="00475E03"/>
    <w:rsid w:val="00476723"/>
    <w:rsid w:val="0047798D"/>
    <w:rsid w:val="00482DA3"/>
    <w:rsid w:val="004931DE"/>
    <w:rsid w:val="00494A53"/>
    <w:rsid w:val="00496D93"/>
    <w:rsid w:val="004A6083"/>
    <w:rsid w:val="004A6E81"/>
    <w:rsid w:val="004A7806"/>
    <w:rsid w:val="004B0545"/>
    <w:rsid w:val="004B7E46"/>
    <w:rsid w:val="004D2561"/>
    <w:rsid w:val="004D3688"/>
    <w:rsid w:val="004D3745"/>
    <w:rsid w:val="004D3987"/>
    <w:rsid w:val="004D745C"/>
    <w:rsid w:val="004E294C"/>
    <w:rsid w:val="004E3132"/>
    <w:rsid w:val="004E552E"/>
    <w:rsid w:val="004E656D"/>
    <w:rsid w:val="004F0849"/>
    <w:rsid w:val="004F173C"/>
    <w:rsid w:val="004F19D2"/>
    <w:rsid w:val="004F1B8C"/>
    <w:rsid w:val="004F33F3"/>
    <w:rsid w:val="004F45B0"/>
    <w:rsid w:val="004F5843"/>
    <w:rsid w:val="00500A95"/>
    <w:rsid w:val="005020C3"/>
    <w:rsid w:val="00507448"/>
    <w:rsid w:val="005111F8"/>
    <w:rsid w:val="00513FA2"/>
    <w:rsid w:val="00514387"/>
    <w:rsid w:val="00516459"/>
    <w:rsid w:val="00520153"/>
    <w:rsid w:val="00524425"/>
    <w:rsid w:val="00527613"/>
    <w:rsid w:val="005349E1"/>
    <w:rsid w:val="00537EF5"/>
    <w:rsid w:val="0054079B"/>
    <w:rsid w:val="005420CC"/>
    <w:rsid w:val="00542D50"/>
    <w:rsid w:val="005434D0"/>
    <w:rsid w:val="0054437C"/>
    <w:rsid w:val="00546D61"/>
    <w:rsid w:val="005579BF"/>
    <w:rsid w:val="00560C3E"/>
    <w:rsid w:val="00563468"/>
    <w:rsid w:val="005641CC"/>
    <w:rsid w:val="00564EC2"/>
    <w:rsid w:val="00565EAE"/>
    <w:rsid w:val="0057222F"/>
    <w:rsid w:val="00573677"/>
    <w:rsid w:val="00575F7D"/>
    <w:rsid w:val="005762FB"/>
    <w:rsid w:val="00580383"/>
    <w:rsid w:val="00580E40"/>
    <w:rsid w:val="00582FE0"/>
    <w:rsid w:val="005879BE"/>
    <w:rsid w:val="00590731"/>
    <w:rsid w:val="005A506B"/>
    <w:rsid w:val="005A701C"/>
    <w:rsid w:val="005B1D2F"/>
    <w:rsid w:val="005B2444"/>
    <w:rsid w:val="005B2D14"/>
    <w:rsid w:val="005B3140"/>
    <w:rsid w:val="005C0B05"/>
    <w:rsid w:val="005D1156"/>
    <w:rsid w:val="005D7EF7"/>
    <w:rsid w:val="005E0681"/>
    <w:rsid w:val="005E3B08"/>
    <w:rsid w:val="005E3FE4"/>
    <w:rsid w:val="005E572E"/>
    <w:rsid w:val="005E78C9"/>
    <w:rsid w:val="005E7C10"/>
    <w:rsid w:val="005F0B91"/>
    <w:rsid w:val="005F5576"/>
    <w:rsid w:val="006014AB"/>
    <w:rsid w:val="006015D0"/>
    <w:rsid w:val="00605F20"/>
    <w:rsid w:val="0061680A"/>
    <w:rsid w:val="00616897"/>
    <w:rsid w:val="00623B70"/>
    <w:rsid w:val="00634E24"/>
    <w:rsid w:val="0063578B"/>
    <w:rsid w:val="00636B3D"/>
    <w:rsid w:val="00641025"/>
    <w:rsid w:val="00650E98"/>
    <w:rsid w:val="00656B7C"/>
    <w:rsid w:val="00656C61"/>
    <w:rsid w:val="006571ED"/>
    <w:rsid w:val="006672D8"/>
    <w:rsid w:val="00670D96"/>
    <w:rsid w:val="00672877"/>
    <w:rsid w:val="00674705"/>
    <w:rsid w:val="00683154"/>
    <w:rsid w:val="00690115"/>
    <w:rsid w:val="00690898"/>
    <w:rsid w:val="00693039"/>
    <w:rsid w:val="00693407"/>
    <w:rsid w:val="00693A5A"/>
    <w:rsid w:val="006A65F0"/>
    <w:rsid w:val="006B302F"/>
    <w:rsid w:val="006C0713"/>
    <w:rsid w:val="006C3CCA"/>
    <w:rsid w:val="006C64D4"/>
    <w:rsid w:val="006E53F0"/>
    <w:rsid w:val="006E5B25"/>
    <w:rsid w:val="006F46C3"/>
    <w:rsid w:val="006F758E"/>
    <w:rsid w:val="006F7CDF"/>
    <w:rsid w:val="00700BDB"/>
    <w:rsid w:val="0070121B"/>
    <w:rsid w:val="00701E73"/>
    <w:rsid w:val="00706A96"/>
    <w:rsid w:val="00706C79"/>
    <w:rsid w:val="00711FE2"/>
    <w:rsid w:val="00712649"/>
    <w:rsid w:val="00714BC9"/>
    <w:rsid w:val="00723F91"/>
    <w:rsid w:val="00725623"/>
    <w:rsid w:val="00733871"/>
    <w:rsid w:val="00735784"/>
    <w:rsid w:val="00743059"/>
    <w:rsid w:val="00744F58"/>
    <w:rsid w:val="00750CED"/>
    <w:rsid w:val="007565F3"/>
    <w:rsid w:val="00760A29"/>
    <w:rsid w:val="00767B5C"/>
    <w:rsid w:val="00771E18"/>
    <w:rsid w:val="007739F1"/>
    <w:rsid w:val="007745C6"/>
    <w:rsid w:val="00774941"/>
    <w:rsid w:val="007755F6"/>
    <w:rsid w:val="007761AD"/>
    <w:rsid w:val="00777387"/>
    <w:rsid w:val="007815E5"/>
    <w:rsid w:val="00787343"/>
    <w:rsid w:val="00790BFA"/>
    <w:rsid w:val="00791121"/>
    <w:rsid w:val="00791C88"/>
    <w:rsid w:val="007926DE"/>
    <w:rsid w:val="00796C6E"/>
    <w:rsid w:val="00797B76"/>
    <w:rsid w:val="007A3D06"/>
    <w:rsid w:val="007B0BEA"/>
    <w:rsid w:val="007B3731"/>
    <w:rsid w:val="007B383B"/>
    <w:rsid w:val="007C350D"/>
    <w:rsid w:val="007C3689"/>
    <w:rsid w:val="007C3C9B"/>
    <w:rsid w:val="007D3012"/>
    <w:rsid w:val="007D65A7"/>
    <w:rsid w:val="007E3F59"/>
    <w:rsid w:val="007E5043"/>
    <w:rsid w:val="007E5183"/>
    <w:rsid w:val="007E6F99"/>
    <w:rsid w:val="008133F9"/>
    <w:rsid w:val="00814D42"/>
    <w:rsid w:val="00822A94"/>
    <w:rsid w:val="00823AAC"/>
    <w:rsid w:val="00854C66"/>
    <w:rsid w:val="00854EFC"/>
    <w:rsid w:val="008553E1"/>
    <w:rsid w:val="00856CF3"/>
    <w:rsid w:val="00863DB3"/>
    <w:rsid w:val="0087643B"/>
    <w:rsid w:val="00877669"/>
    <w:rsid w:val="008934E7"/>
    <w:rsid w:val="00894C55"/>
    <w:rsid w:val="00897F92"/>
    <w:rsid w:val="008A3972"/>
    <w:rsid w:val="008A64C9"/>
    <w:rsid w:val="008B180A"/>
    <w:rsid w:val="008B24B7"/>
    <w:rsid w:val="008C2CD8"/>
    <w:rsid w:val="008C5743"/>
    <w:rsid w:val="008C5E6E"/>
    <w:rsid w:val="008C68EE"/>
    <w:rsid w:val="008C6C2D"/>
    <w:rsid w:val="008C7F44"/>
    <w:rsid w:val="008D4273"/>
    <w:rsid w:val="008D4EF3"/>
    <w:rsid w:val="008E0E4F"/>
    <w:rsid w:val="008E1FD5"/>
    <w:rsid w:val="008E4139"/>
    <w:rsid w:val="008F186B"/>
    <w:rsid w:val="008F322F"/>
    <w:rsid w:val="00907DFE"/>
    <w:rsid w:val="00914596"/>
    <w:rsid w:val="009146BF"/>
    <w:rsid w:val="009153B9"/>
    <w:rsid w:val="00915AD4"/>
    <w:rsid w:val="00915EF1"/>
    <w:rsid w:val="00924C08"/>
    <w:rsid w:val="00927D88"/>
    <w:rsid w:val="00930D1F"/>
    <w:rsid w:val="00935127"/>
    <w:rsid w:val="0094025E"/>
    <w:rsid w:val="0094256C"/>
    <w:rsid w:val="00944621"/>
    <w:rsid w:val="00953F11"/>
    <w:rsid w:val="009706C1"/>
    <w:rsid w:val="00976675"/>
    <w:rsid w:val="00976FBF"/>
    <w:rsid w:val="00977078"/>
    <w:rsid w:val="00983D0C"/>
    <w:rsid w:val="00984B38"/>
    <w:rsid w:val="00992A76"/>
    <w:rsid w:val="009A0636"/>
    <w:rsid w:val="009A6FF5"/>
    <w:rsid w:val="009B2B47"/>
    <w:rsid w:val="009B35DB"/>
    <w:rsid w:val="009C4298"/>
    <w:rsid w:val="009D318C"/>
    <w:rsid w:val="009E0D7D"/>
    <w:rsid w:val="009F380F"/>
    <w:rsid w:val="00A07FD0"/>
    <w:rsid w:val="00A10B8B"/>
    <w:rsid w:val="00A10DB0"/>
    <w:rsid w:val="00A1263F"/>
    <w:rsid w:val="00A12C43"/>
    <w:rsid w:val="00A20D78"/>
    <w:rsid w:val="00A2174A"/>
    <w:rsid w:val="00A26733"/>
    <w:rsid w:val="00A3595E"/>
    <w:rsid w:val="00A46C7F"/>
    <w:rsid w:val="00A46E4E"/>
    <w:rsid w:val="00A55718"/>
    <w:rsid w:val="00A64792"/>
    <w:rsid w:val="00A73245"/>
    <w:rsid w:val="00A77145"/>
    <w:rsid w:val="00A82989"/>
    <w:rsid w:val="00A904FE"/>
    <w:rsid w:val="00A9262C"/>
    <w:rsid w:val="00AA2265"/>
    <w:rsid w:val="00AB3B76"/>
    <w:rsid w:val="00AB61DD"/>
    <w:rsid w:val="00AC03D4"/>
    <w:rsid w:val="00AC222F"/>
    <w:rsid w:val="00AC2CC7"/>
    <w:rsid w:val="00AC7B3B"/>
    <w:rsid w:val="00AD3CE6"/>
    <w:rsid w:val="00AD74E7"/>
    <w:rsid w:val="00AE1307"/>
    <w:rsid w:val="00AE5323"/>
    <w:rsid w:val="00AE7586"/>
    <w:rsid w:val="00AF7A65"/>
    <w:rsid w:val="00B06710"/>
    <w:rsid w:val="00B07EBF"/>
    <w:rsid w:val="00B14D50"/>
    <w:rsid w:val="00B166CB"/>
    <w:rsid w:val="00B2238E"/>
    <w:rsid w:val="00B235E1"/>
    <w:rsid w:val="00B272CF"/>
    <w:rsid w:val="00B3145D"/>
    <w:rsid w:val="00B357BA"/>
    <w:rsid w:val="00B42529"/>
    <w:rsid w:val="00B4527C"/>
    <w:rsid w:val="00B47BF0"/>
    <w:rsid w:val="00B5462A"/>
    <w:rsid w:val="00B564DB"/>
    <w:rsid w:val="00B768B6"/>
    <w:rsid w:val="00B816A3"/>
    <w:rsid w:val="00B83537"/>
    <w:rsid w:val="00B908D1"/>
    <w:rsid w:val="00B940D1"/>
    <w:rsid w:val="00BB58BD"/>
    <w:rsid w:val="00BB6A26"/>
    <w:rsid w:val="00BC1034"/>
    <w:rsid w:val="00BD5F0D"/>
    <w:rsid w:val="00BE2408"/>
    <w:rsid w:val="00BE3EC6"/>
    <w:rsid w:val="00BE5BEB"/>
    <w:rsid w:val="00BE6528"/>
    <w:rsid w:val="00BF2370"/>
    <w:rsid w:val="00BF6939"/>
    <w:rsid w:val="00C0087A"/>
    <w:rsid w:val="00C00B8A"/>
    <w:rsid w:val="00C0122D"/>
    <w:rsid w:val="00C05F9D"/>
    <w:rsid w:val="00C27212"/>
    <w:rsid w:val="00C34185"/>
    <w:rsid w:val="00C42DD6"/>
    <w:rsid w:val="00C545E7"/>
    <w:rsid w:val="00C610A0"/>
    <w:rsid w:val="00C66858"/>
    <w:rsid w:val="00C670B0"/>
    <w:rsid w:val="00C72E69"/>
    <w:rsid w:val="00C7411E"/>
    <w:rsid w:val="00C82DE8"/>
    <w:rsid w:val="00C84988"/>
    <w:rsid w:val="00CA0618"/>
    <w:rsid w:val="00CA33FD"/>
    <w:rsid w:val="00CA4AF6"/>
    <w:rsid w:val="00CA59CA"/>
    <w:rsid w:val="00CB223D"/>
    <w:rsid w:val="00CB2356"/>
    <w:rsid w:val="00CB2681"/>
    <w:rsid w:val="00CB4075"/>
    <w:rsid w:val="00CB4E6D"/>
    <w:rsid w:val="00CC23DE"/>
    <w:rsid w:val="00CC37FB"/>
    <w:rsid w:val="00CD3E3A"/>
    <w:rsid w:val="00CD5F89"/>
    <w:rsid w:val="00CD7459"/>
    <w:rsid w:val="00CE55A6"/>
    <w:rsid w:val="00CE63BF"/>
    <w:rsid w:val="00CF13FC"/>
    <w:rsid w:val="00CF4AAF"/>
    <w:rsid w:val="00CF561A"/>
    <w:rsid w:val="00CF6C18"/>
    <w:rsid w:val="00CF7EA8"/>
    <w:rsid w:val="00D004DA"/>
    <w:rsid w:val="00D01673"/>
    <w:rsid w:val="00D01D97"/>
    <w:rsid w:val="00D0309A"/>
    <w:rsid w:val="00D07BA4"/>
    <w:rsid w:val="00D109BA"/>
    <w:rsid w:val="00D13B38"/>
    <w:rsid w:val="00D150BF"/>
    <w:rsid w:val="00D176BE"/>
    <w:rsid w:val="00D17C4E"/>
    <w:rsid w:val="00D20949"/>
    <w:rsid w:val="00D21359"/>
    <w:rsid w:val="00D215F6"/>
    <w:rsid w:val="00D22BE1"/>
    <w:rsid w:val="00D26280"/>
    <w:rsid w:val="00D2765B"/>
    <w:rsid w:val="00D30003"/>
    <w:rsid w:val="00D31DF7"/>
    <w:rsid w:val="00D33B91"/>
    <w:rsid w:val="00D415C6"/>
    <w:rsid w:val="00D420EA"/>
    <w:rsid w:val="00D42B13"/>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FBA"/>
    <w:rsid w:val="00E043B1"/>
    <w:rsid w:val="00E10E18"/>
    <w:rsid w:val="00E14EBD"/>
    <w:rsid w:val="00E1515B"/>
    <w:rsid w:val="00E16734"/>
    <w:rsid w:val="00E20810"/>
    <w:rsid w:val="00E23260"/>
    <w:rsid w:val="00E2367A"/>
    <w:rsid w:val="00E27BC7"/>
    <w:rsid w:val="00E30BED"/>
    <w:rsid w:val="00E31ACC"/>
    <w:rsid w:val="00E35FC9"/>
    <w:rsid w:val="00E377A4"/>
    <w:rsid w:val="00E37EF1"/>
    <w:rsid w:val="00E41346"/>
    <w:rsid w:val="00E420E9"/>
    <w:rsid w:val="00E4470C"/>
    <w:rsid w:val="00E45720"/>
    <w:rsid w:val="00E4635D"/>
    <w:rsid w:val="00E61600"/>
    <w:rsid w:val="00E61D76"/>
    <w:rsid w:val="00E674DB"/>
    <w:rsid w:val="00E70912"/>
    <w:rsid w:val="00E75F28"/>
    <w:rsid w:val="00E80EA5"/>
    <w:rsid w:val="00E810B6"/>
    <w:rsid w:val="00E90AA6"/>
    <w:rsid w:val="00E927E4"/>
    <w:rsid w:val="00E9403A"/>
    <w:rsid w:val="00E9472D"/>
    <w:rsid w:val="00E977B8"/>
    <w:rsid w:val="00E97AD1"/>
    <w:rsid w:val="00EA109B"/>
    <w:rsid w:val="00EA15A8"/>
    <w:rsid w:val="00EA2926"/>
    <w:rsid w:val="00EB2CDE"/>
    <w:rsid w:val="00EC0F26"/>
    <w:rsid w:val="00EC1A81"/>
    <w:rsid w:val="00EC46EF"/>
    <w:rsid w:val="00EC604B"/>
    <w:rsid w:val="00EC7E5C"/>
    <w:rsid w:val="00ED78F1"/>
    <w:rsid w:val="00EE4DCA"/>
    <w:rsid w:val="00EF0F62"/>
    <w:rsid w:val="00EF4440"/>
    <w:rsid w:val="00EF502C"/>
    <w:rsid w:val="00F00707"/>
    <w:rsid w:val="00F007E1"/>
    <w:rsid w:val="00F0134E"/>
    <w:rsid w:val="00F02866"/>
    <w:rsid w:val="00F057C6"/>
    <w:rsid w:val="00F17D96"/>
    <w:rsid w:val="00F22565"/>
    <w:rsid w:val="00F2308C"/>
    <w:rsid w:val="00F26D42"/>
    <w:rsid w:val="00F319BF"/>
    <w:rsid w:val="00F3380E"/>
    <w:rsid w:val="00F40837"/>
    <w:rsid w:val="00F42F79"/>
    <w:rsid w:val="00F47773"/>
    <w:rsid w:val="00F5019D"/>
    <w:rsid w:val="00F52029"/>
    <w:rsid w:val="00F56308"/>
    <w:rsid w:val="00F634D6"/>
    <w:rsid w:val="00F63CBA"/>
    <w:rsid w:val="00F64385"/>
    <w:rsid w:val="00F6473F"/>
    <w:rsid w:val="00F76366"/>
    <w:rsid w:val="00F805C0"/>
    <w:rsid w:val="00F95706"/>
    <w:rsid w:val="00FA1DBB"/>
    <w:rsid w:val="00FA7837"/>
    <w:rsid w:val="00FB4261"/>
    <w:rsid w:val="00FB43B1"/>
    <w:rsid w:val="00FC0608"/>
    <w:rsid w:val="00FC2155"/>
    <w:rsid w:val="00FC41A7"/>
    <w:rsid w:val="00FD0C22"/>
    <w:rsid w:val="00FD675B"/>
    <w:rsid w:val="00FD7483"/>
    <w:rsid w:val="00FD7F74"/>
    <w:rsid w:val="00FE352F"/>
    <w:rsid w:val="00FE380E"/>
    <w:rsid w:val="00FE4404"/>
    <w:rsid w:val="00FE551C"/>
    <w:rsid w:val="00FE7E31"/>
    <w:rsid w:val="00FF0D1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205919-8E88-4D23-B096-04934C42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015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15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15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015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015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015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15D0"/>
  </w:style>
  <w:style w:type="character" w:customStyle="1" w:styleId="Heading1Char">
    <w:name w:val="Heading 1 Char"/>
    <w:aliases w:val="Pocket Char"/>
    <w:basedOn w:val="DefaultParagraphFont"/>
    <w:link w:val="Heading1"/>
    <w:uiPriority w:val="1"/>
    <w:rsid w:val="006015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15D0"/>
    <w:rPr>
      <w:rFonts w:ascii="Calibri" w:eastAsiaTheme="majorEastAsia" w:hAnsi="Calibri" w:cstheme="majorBidi"/>
      <w:b/>
      <w:bCs/>
      <w:sz w:val="44"/>
      <w:szCs w:val="26"/>
      <w:u w:val="double"/>
    </w:rPr>
  </w:style>
  <w:style w:type="character" w:styleId="Emphasis">
    <w:name w:val="Emphasis"/>
    <w:basedOn w:val="DefaultParagraphFont"/>
    <w:uiPriority w:val="7"/>
    <w:qFormat/>
    <w:rsid w:val="006015D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15D0"/>
    <w:rPr>
      <w:b/>
      <w:bCs/>
    </w:rPr>
  </w:style>
  <w:style w:type="character" w:customStyle="1" w:styleId="Heading3Char">
    <w:name w:val="Heading 3 Char"/>
    <w:aliases w:val="Block Char"/>
    <w:basedOn w:val="DefaultParagraphFont"/>
    <w:link w:val="Heading3"/>
    <w:uiPriority w:val="3"/>
    <w:rsid w:val="006015D0"/>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4,Intense Emphasis1111,cites Char Ch,Heading 3 Char1 Char Char Char"/>
    <w:basedOn w:val="DefaultParagraphFont"/>
    <w:uiPriority w:val="6"/>
    <w:qFormat/>
    <w:rsid w:val="006015D0"/>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6015D0"/>
    <w:rPr>
      <w:b/>
      <w:bCs/>
      <w:sz w:val="26"/>
      <w:u w:val="none"/>
    </w:rPr>
  </w:style>
  <w:style w:type="paragraph" w:styleId="Header">
    <w:name w:val="header"/>
    <w:basedOn w:val="Normal"/>
    <w:link w:val="HeaderChar"/>
    <w:uiPriority w:val="99"/>
    <w:semiHidden/>
    <w:rsid w:val="006015D0"/>
    <w:pPr>
      <w:tabs>
        <w:tab w:val="center" w:pos="4680"/>
        <w:tab w:val="right" w:pos="9360"/>
      </w:tabs>
    </w:pPr>
  </w:style>
  <w:style w:type="character" w:customStyle="1" w:styleId="HeaderChar">
    <w:name w:val="Header Char"/>
    <w:basedOn w:val="DefaultParagraphFont"/>
    <w:link w:val="Header"/>
    <w:uiPriority w:val="99"/>
    <w:semiHidden/>
    <w:rsid w:val="006015D0"/>
    <w:rPr>
      <w:rFonts w:ascii="Calibri" w:hAnsi="Calibri" w:cs="Calibri"/>
    </w:rPr>
  </w:style>
  <w:style w:type="paragraph" w:styleId="Footer">
    <w:name w:val="footer"/>
    <w:basedOn w:val="Normal"/>
    <w:link w:val="FooterChar"/>
    <w:uiPriority w:val="99"/>
    <w:semiHidden/>
    <w:rsid w:val="006015D0"/>
    <w:pPr>
      <w:tabs>
        <w:tab w:val="center" w:pos="4680"/>
        <w:tab w:val="right" w:pos="9360"/>
      </w:tabs>
    </w:pPr>
  </w:style>
  <w:style w:type="character" w:customStyle="1" w:styleId="FooterChar">
    <w:name w:val="Footer Char"/>
    <w:basedOn w:val="DefaultParagraphFont"/>
    <w:link w:val="Footer"/>
    <w:uiPriority w:val="99"/>
    <w:semiHidden/>
    <w:rsid w:val="006015D0"/>
    <w:rPr>
      <w:rFonts w:ascii="Calibri" w:hAnsi="Calibri" w:cs="Calibri"/>
    </w:rPr>
  </w:style>
  <w:style w:type="character" w:styleId="Hyperlink">
    <w:name w:val="Hyperlink"/>
    <w:aliases w:val="heading 1 (block title),Important,Read,Card Text"/>
    <w:basedOn w:val="DefaultParagraphFont"/>
    <w:uiPriority w:val="99"/>
    <w:semiHidden/>
    <w:rsid w:val="006015D0"/>
    <w:rPr>
      <w:color w:val="auto"/>
      <w:u w:val="none"/>
    </w:rPr>
  </w:style>
  <w:style w:type="character" w:styleId="FollowedHyperlink">
    <w:name w:val="FollowedHyperlink"/>
    <w:basedOn w:val="DefaultParagraphFont"/>
    <w:uiPriority w:val="99"/>
    <w:semiHidden/>
    <w:rsid w:val="006015D0"/>
    <w:rPr>
      <w:color w:val="auto"/>
      <w:u w:val="none"/>
    </w:rPr>
  </w:style>
  <w:style w:type="character" w:customStyle="1" w:styleId="Heading4Char">
    <w:name w:val="Heading 4 Char"/>
    <w:aliases w:val="Tag Char"/>
    <w:basedOn w:val="DefaultParagraphFont"/>
    <w:link w:val="Heading4"/>
    <w:uiPriority w:val="4"/>
    <w:rsid w:val="006015D0"/>
    <w:rPr>
      <w:rFonts w:ascii="Calibri" w:eastAsiaTheme="majorEastAsia" w:hAnsi="Calibri" w:cstheme="majorBidi"/>
      <w:b/>
      <w:bCs/>
      <w:iCs/>
      <w:sz w:val="26"/>
    </w:rPr>
  </w:style>
  <w:style w:type="character" w:customStyle="1" w:styleId="underline">
    <w:name w:val="underline"/>
    <w:rsid w:val="00CC37FB"/>
    <w:rPr>
      <w:b/>
      <w:bCs w:val="0"/>
      <w:u w:val="single"/>
    </w:rPr>
  </w:style>
  <w:style w:type="paragraph" w:styleId="ListParagraph">
    <w:name w:val="List Paragraph"/>
    <w:basedOn w:val="Normal"/>
    <w:uiPriority w:val="34"/>
    <w:qFormat/>
    <w:rsid w:val="00D20949"/>
    <w:pPr>
      <w:ind w:left="720"/>
      <w:contextualSpacing/>
    </w:pPr>
  </w:style>
  <w:style w:type="paragraph" w:styleId="NormalWeb">
    <w:name w:val="Normal (Web)"/>
    <w:basedOn w:val="Normal"/>
    <w:uiPriority w:val="99"/>
    <w:semiHidden/>
    <w:unhideWhenUsed/>
    <w:rsid w:val="005B1D2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6550">
      <w:bodyDiv w:val="1"/>
      <w:marLeft w:val="0"/>
      <w:marRight w:val="0"/>
      <w:marTop w:val="0"/>
      <w:marBottom w:val="0"/>
      <w:divBdr>
        <w:top w:val="none" w:sz="0" w:space="0" w:color="auto"/>
        <w:left w:val="none" w:sz="0" w:space="0" w:color="auto"/>
        <w:bottom w:val="none" w:sz="0" w:space="0" w:color="auto"/>
        <w:right w:val="none" w:sz="0" w:space="0" w:color="auto"/>
      </w:divBdr>
    </w:div>
    <w:div w:id="164711345">
      <w:bodyDiv w:val="1"/>
      <w:marLeft w:val="0"/>
      <w:marRight w:val="0"/>
      <w:marTop w:val="0"/>
      <w:marBottom w:val="0"/>
      <w:divBdr>
        <w:top w:val="none" w:sz="0" w:space="0" w:color="auto"/>
        <w:left w:val="none" w:sz="0" w:space="0" w:color="auto"/>
        <w:bottom w:val="none" w:sz="0" w:space="0" w:color="auto"/>
        <w:right w:val="none" w:sz="0" w:space="0" w:color="auto"/>
      </w:divBdr>
    </w:div>
    <w:div w:id="229770973">
      <w:bodyDiv w:val="1"/>
      <w:marLeft w:val="0"/>
      <w:marRight w:val="0"/>
      <w:marTop w:val="0"/>
      <w:marBottom w:val="0"/>
      <w:divBdr>
        <w:top w:val="none" w:sz="0" w:space="0" w:color="auto"/>
        <w:left w:val="none" w:sz="0" w:space="0" w:color="auto"/>
        <w:bottom w:val="none" w:sz="0" w:space="0" w:color="auto"/>
        <w:right w:val="none" w:sz="0" w:space="0" w:color="auto"/>
      </w:divBdr>
    </w:div>
    <w:div w:id="240413736">
      <w:bodyDiv w:val="1"/>
      <w:marLeft w:val="0"/>
      <w:marRight w:val="0"/>
      <w:marTop w:val="0"/>
      <w:marBottom w:val="0"/>
      <w:divBdr>
        <w:top w:val="none" w:sz="0" w:space="0" w:color="auto"/>
        <w:left w:val="none" w:sz="0" w:space="0" w:color="auto"/>
        <w:bottom w:val="none" w:sz="0" w:space="0" w:color="auto"/>
        <w:right w:val="none" w:sz="0" w:space="0" w:color="auto"/>
      </w:divBdr>
    </w:div>
    <w:div w:id="277182794">
      <w:bodyDiv w:val="1"/>
      <w:marLeft w:val="0"/>
      <w:marRight w:val="0"/>
      <w:marTop w:val="0"/>
      <w:marBottom w:val="0"/>
      <w:divBdr>
        <w:top w:val="none" w:sz="0" w:space="0" w:color="auto"/>
        <w:left w:val="none" w:sz="0" w:space="0" w:color="auto"/>
        <w:bottom w:val="none" w:sz="0" w:space="0" w:color="auto"/>
        <w:right w:val="none" w:sz="0" w:space="0" w:color="auto"/>
      </w:divBdr>
    </w:div>
    <w:div w:id="277681374">
      <w:bodyDiv w:val="1"/>
      <w:marLeft w:val="0"/>
      <w:marRight w:val="0"/>
      <w:marTop w:val="0"/>
      <w:marBottom w:val="0"/>
      <w:divBdr>
        <w:top w:val="none" w:sz="0" w:space="0" w:color="auto"/>
        <w:left w:val="none" w:sz="0" w:space="0" w:color="auto"/>
        <w:bottom w:val="none" w:sz="0" w:space="0" w:color="auto"/>
        <w:right w:val="none" w:sz="0" w:space="0" w:color="auto"/>
      </w:divBdr>
    </w:div>
    <w:div w:id="283778849">
      <w:bodyDiv w:val="1"/>
      <w:marLeft w:val="0"/>
      <w:marRight w:val="0"/>
      <w:marTop w:val="0"/>
      <w:marBottom w:val="0"/>
      <w:divBdr>
        <w:top w:val="none" w:sz="0" w:space="0" w:color="auto"/>
        <w:left w:val="none" w:sz="0" w:space="0" w:color="auto"/>
        <w:bottom w:val="none" w:sz="0" w:space="0" w:color="auto"/>
        <w:right w:val="none" w:sz="0" w:space="0" w:color="auto"/>
      </w:divBdr>
    </w:div>
    <w:div w:id="284695648">
      <w:bodyDiv w:val="1"/>
      <w:marLeft w:val="0"/>
      <w:marRight w:val="0"/>
      <w:marTop w:val="0"/>
      <w:marBottom w:val="0"/>
      <w:divBdr>
        <w:top w:val="none" w:sz="0" w:space="0" w:color="auto"/>
        <w:left w:val="none" w:sz="0" w:space="0" w:color="auto"/>
        <w:bottom w:val="none" w:sz="0" w:space="0" w:color="auto"/>
        <w:right w:val="none" w:sz="0" w:space="0" w:color="auto"/>
      </w:divBdr>
    </w:div>
    <w:div w:id="300116319">
      <w:bodyDiv w:val="1"/>
      <w:marLeft w:val="0"/>
      <w:marRight w:val="0"/>
      <w:marTop w:val="0"/>
      <w:marBottom w:val="0"/>
      <w:divBdr>
        <w:top w:val="none" w:sz="0" w:space="0" w:color="auto"/>
        <w:left w:val="none" w:sz="0" w:space="0" w:color="auto"/>
        <w:bottom w:val="none" w:sz="0" w:space="0" w:color="auto"/>
        <w:right w:val="none" w:sz="0" w:space="0" w:color="auto"/>
      </w:divBdr>
    </w:div>
    <w:div w:id="371347415">
      <w:bodyDiv w:val="1"/>
      <w:marLeft w:val="0"/>
      <w:marRight w:val="0"/>
      <w:marTop w:val="0"/>
      <w:marBottom w:val="0"/>
      <w:divBdr>
        <w:top w:val="none" w:sz="0" w:space="0" w:color="auto"/>
        <w:left w:val="none" w:sz="0" w:space="0" w:color="auto"/>
        <w:bottom w:val="none" w:sz="0" w:space="0" w:color="auto"/>
        <w:right w:val="none" w:sz="0" w:space="0" w:color="auto"/>
      </w:divBdr>
    </w:div>
    <w:div w:id="383212087">
      <w:bodyDiv w:val="1"/>
      <w:marLeft w:val="0"/>
      <w:marRight w:val="0"/>
      <w:marTop w:val="0"/>
      <w:marBottom w:val="0"/>
      <w:divBdr>
        <w:top w:val="none" w:sz="0" w:space="0" w:color="auto"/>
        <w:left w:val="none" w:sz="0" w:space="0" w:color="auto"/>
        <w:bottom w:val="none" w:sz="0" w:space="0" w:color="auto"/>
        <w:right w:val="none" w:sz="0" w:space="0" w:color="auto"/>
      </w:divBdr>
    </w:div>
    <w:div w:id="459803394">
      <w:bodyDiv w:val="1"/>
      <w:marLeft w:val="0"/>
      <w:marRight w:val="0"/>
      <w:marTop w:val="0"/>
      <w:marBottom w:val="0"/>
      <w:divBdr>
        <w:top w:val="none" w:sz="0" w:space="0" w:color="auto"/>
        <w:left w:val="none" w:sz="0" w:space="0" w:color="auto"/>
        <w:bottom w:val="none" w:sz="0" w:space="0" w:color="auto"/>
        <w:right w:val="none" w:sz="0" w:space="0" w:color="auto"/>
      </w:divBdr>
    </w:div>
    <w:div w:id="462843526">
      <w:bodyDiv w:val="1"/>
      <w:marLeft w:val="0"/>
      <w:marRight w:val="0"/>
      <w:marTop w:val="0"/>
      <w:marBottom w:val="0"/>
      <w:divBdr>
        <w:top w:val="none" w:sz="0" w:space="0" w:color="auto"/>
        <w:left w:val="none" w:sz="0" w:space="0" w:color="auto"/>
        <w:bottom w:val="none" w:sz="0" w:space="0" w:color="auto"/>
        <w:right w:val="none" w:sz="0" w:space="0" w:color="auto"/>
      </w:divBdr>
    </w:div>
    <w:div w:id="470025123">
      <w:bodyDiv w:val="1"/>
      <w:marLeft w:val="0"/>
      <w:marRight w:val="0"/>
      <w:marTop w:val="0"/>
      <w:marBottom w:val="0"/>
      <w:divBdr>
        <w:top w:val="none" w:sz="0" w:space="0" w:color="auto"/>
        <w:left w:val="none" w:sz="0" w:space="0" w:color="auto"/>
        <w:bottom w:val="none" w:sz="0" w:space="0" w:color="auto"/>
        <w:right w:val="none" w:sz="0" w:space="0" w:color="auto"/>
      </w:divBdr>
    </w:div>
    <w:div w:id="488910401">
      <w:bodyDiv w:val="1"/>
      <w:marLeft w:val="0"/>
      <w:marRight w:val="0"/>
      <w:marTop w:val="0"/>
      <w:marBottom w:val="0"/>
      <w:divBdr>
        <w:top w:val="none" w:sz="0" w:space="0" w:color="auto"/>
        <w:left w:val="none" w:sz="0" w:space="0" w:color="auto"/>
        <w:bottom w:val="none" w:sz="0" w:space="0" w:color="auto"/>
        <w:right w:val="none" w:sz="0" w:space="0" w:color="auto"/>
      </w:divBdr>
    </w:div>
    <w:div w:id="499976793">
      <w:bodyDiv w:val="1"/>
      <w:marLeft w:val="0"/>
      <w:marRight w:val="0"/>
      <w:marTop w:val="0"/>
      <w:marBottom w:val="0"/>
      <w:divBdr>
        <w:top w:val="none" w:sz="0" w:space="0" w:color="auto"/>
        <w:left w:val="none" w:sz="0" w:space="0" w:color="auto"/>
        <w:bottom w:val="none" w:sz="0" w:space="0" w:color="auto"/>
        <w:right w:val="none" w:sz="0" w:space="0" w:color="auto"/>
      </w:divBdr>
    </w:div>
    <w:div w:id="502476677">
      <w:bodyDiv w:val="1"/>
      <w:marLeft w:val="0"/>
      <w:marRight w:val="0"/>
      <w:marTop w:val="0"/>
      <w:marBottom w:val="0"/>
      <w:divBdr>
        <w:top w:val="none" w:sz="0" w:space="0" w:color="auto"/>
        <w:left w:val="none" w:sz="0" w:space="0" w:color="auto"/>
        <w:bottom w:val="none" w:sz="0" w:space="0" w:color="auto"/>
        <w:right w:val="none" w:sz="0" w:space="0" w:color="auto"/>
      </w:divBdr>
    </w:div>
    <w:div w:id="515655647">
      <w:bodyDiv w:val="1"/>
      <w:marLeft w:val="0"/>
      <w:marRight w:val="0"/>
      <w:marTop w:val="0"/>
      <w:marBottom w:val="0"/>
      <w:divBdr>
        <w:top w:val="none" w:sz="0" w:space="0" w:color="auto"/>
        <w:left w:val="none" w:sz="0" w:space="0" w:color="auto"/>
        <w:bottom w:val="none" w:sz="0" w:space="0" w:color="auto"/>
        <w:right w:val="none" w:sz="0" w:space="0" w:color="auto"/>
      </w:divBdr>
    </w:div>
    <w:div w:id="584270949">
      <w:bodyDiv w:val="1"/>
      <w:marLeft w:val="0"/>
      <w:marRight w:val="0"/>
      <w:marTop w:val="0"/>
      <w:marBottom w:val="0"/>
      <w:divBdr>
        <w:top w:val="none" w:sz="0" w:space="0" w:color="auto"/>
        <w:left w:val="none" w:sz="0" w:space="0" w:color="auto"/>
        <w:bottom w:val="none" w:sz="0" w:space="0" w:color="auto"/>
        <w:right w:val="none" w:sz="0" w:space="0" w:color="auto"/>
      </w:divBdr>
    </w:div>
    <w:div w:id="598291444">
      <w:bodyDiv w:val="1"/>
      <w:marLeft w:val="0"/>
      <w:marRight w:val="0"/>
      <w:marTop w:val="0"/>
      <w:marBottom w:val="0"/>
      <w:divBdr>
        <w:top w:val="none" w:sz="0" w:space="0" w:color="auto"/>
        <w:left w:val="none" w:sz="0" w:space="0" w:color="auto"/>
        <w:bottom w:val="none" w:sz="0" w:space="0" w:color="auto"/>
        <w:right w:val="none" w:sz="0" w:space="0" w:color="auto"/>
      </w:divBdr>
    </w:div>
    <w:div w:id="642082748">
      <w:bodyDiv w:val="1"/>
      <w:marLeft w:val="0"/>
      <w:marRight w:val="0"/>
      <w:marTop w:val="0"/>
      <w:marBottom w:val="0"/>
      <w:divBdr>
        <w:top w:val="none" w:sz="0" w:space="0" w:color="auto"/>
        <w:left w:val="none" w:sz="0" w:space="0" w:color="auto"/>
        <w:bottom w:val="none" w:sz="0" w:space="0" w:color="auto"/>
        <w:right w:val="none" w:sz="0" w:space="0" w:color="auto"/>
      </w:divBdr>
    </w:div>
    <w:div w:id="652373366">
      <w:bodyDiv w:val="1"/>
      <w:marLeft w:val="0"/>
      <w:marRight w:val="0"/>
      <w:marTop w:val="0"/>
      <w:marBottom w:val="0"/>
      <w:divBdr>
        <w:top w:val="none" w:sz="0" w:space="0" w:color="auto"/>
        <w:left w:val="none" w:sz="0" w:space="0" w:color="auto"/>
        <w:bottom w:val="none" w:sz="0" w:space="0" w:color="auto"/>
        <w:right w:val="none" w:sz="0" w:space="0" w:color="auto"/>
      </w:divBdr>
    </w:div>
    <w:div w:id="663708580">
      <w:bodyDiv w:val="1"/>
      <w:marLeft w:val="0"/>
      <w:marRight w:val="0"/>
      <w:marTop w:val="0"/>
      <w:marBottom w:val="0"/>
      <w:divBdr>
        <w:top w:val="none" w:sz="0" w:space="0" w:color="auto"/>
        <w:left w:val="none" w:sz="0" w:space="0" w:color="auto"/>
        <w:bottom w:val="none" w:sz="0" w:space="0" w:color="auto"/>
        <w:right w:val="none" w:sz="0" w:space="0" w:color="auto"/>
      </w:divBdr>
    </w:div>
    <w:div w:id="663821959">
      <w:bodyDiv w:val="1"/>
      <w:marLeft w:val="0"/>
      <w:marRight w:val="0"/>
      <w:marTop w:val="0"/>
      <w:marBottom w:val="0"/>
      <w:divBdr>
        <w:top w:val="none" w:sz="0" w:space="0" w:color="auto"/>
        <w:left w:val="none" w:sz="0" w:space="0" w:color="auto"/>
        <w:bottom w:val="none" w:sz="0" w:space="0" w:color="auto"/>
        <w:right w:val="none" w:sz="0" w:space="0" w:color="auto"/>
      </w:divBdr>
    </w:div>
    <w:div w:id="742870293">
      <w:bodyDiv w:val="1"/>
      <w:marLeft w:val="0"/>
      <w:marRight w:val="0"/>
      <w:marTop w:val="0"/>
      <w:marBottom w:val="0"/>
      <w:divBdr>
        <w:top w:val="none" w:sz="0" w:space="0" w:color="auto"/>
        <w:left w:val="none" w:sz="0" w:space="0" w:color="auto"/>
        <w:bottom w:val="none" w:sz="0" w:space="0" w:color="auto"/>
        <w:right w:val="none" w:sz="0" w:space="0" w:color="auto"/>
      </w:divBdr>
    </w:div>
    <w:div w:id="770711318">
      <w:bodyDiv w:val="1"/>
      <w:marLeft w:val="0"/>
      <w:marRight w:val="0"/>
      <w:marTop w:val="0"/>
      <w:marBottom w:val="0"/>
      <w:divBdr>
        <w:top w:val="none" w:sz="0" w:space="0" w:color="auto"/>
        <w:left w:val="none" w:sz="0" w:space="0" w:color="auto"/>
        <w:bottom w:val="none" w:sz="0" w:space="0" w:color="auto"/>
        <w:right w:val="none" w:sz="0" w:space="0" w:color="auto"/>
      </w:divBdr>
    </w:div>
    <w:div w:id="775758691">
      <w:bodyDiv w:val="1"/>
      <w:marLeft w:val="0"/>
      <w:marRight w:val="0"/>
      <w:marTop w:val="0"/>
      <w:marBottom w:val="0"/>
      <w:divBdr>
        <w:top w:val="none" w:sz="0" w:space="0" w:color="auto"/>
        <w:left w:val="none" w:sz="0" w:space="0" w:color="auto"/>
        <w:bottom w:val="none" w:sz="0" w:space="0" w:color="auto"/>
        <w:right w:val="none" w:sz="0" w:space="0" w:color="auto"/>
      </w:divBdr>
    </w:div>
    <w:div w:id="795223640">
      <w:bodyDiv w:val="1"/>
      <w:marLeft w:val="0"/>
      <w:marRight w:val="0"/>
      <w:marTop w:val="0"/>
      <w:marBottom w:val="0"/>
      <w:divBdr>
        <w:top w:val="none" w:sz="0" w:space="0" w:color="auto"/>
        <w:left w:val="none" w:sz="0" w:space="0" w:color="auto"/>
        <w:bottom w:val="none" w:sz="0" w:space="0" w:color="auto"/>
        <w:right w:val="none" w:sz="0" w:space="0" w:color="auto"/>
      </w:divBdr>
    </w:div>
    <w:div w:id="857622998">
      <w:bodyDiv w:val="1"/>
      <w:marLeft w:val="0"/>
      <w:marRight w:val="0"/>
      <w:marTop w:val="0"/>
      <w:marBottom w:val="0"/>
      <w:divBdr>
        <w:top w:val="none" w:sz="0" w:space="0" w:color="auto"/>
        <w:left w:val="none" w:sz="0" w:space="0" w:color="auto"/>
        <w:bottom w:val="none" w:sz="0" w:space="0" w:color="auto"/>
        <w:right w:val="none" w:sz="0" w:space="0" w:color="auto"/>
      </w:divBdr>
    </w:div>
    <w:div w:id="934825741">
      <w:bodyDiv w:val="1"/>
      <w:marLeft w:val="0"/>
      <w:marRight w:val="0"/>
      <w:marTop w:val="0"/>
      <w:marBottom w:val="0"/>
      <w:divBdr>
        <w:top w:val="none" w:sz="0" w:space="0" w:color="auto"/>
        <w:left w:val="none" w:sz="0" w:space="0" w:color="auto"/>
        <w:bottom w:val="none" w:sz="0" w:space="0" w:color="auto"/>
        <w:right w:val="none" w:sz="0" w:space="0" w:color="auto"/>
      </w:divBdr>
    </w:div>
    <w:div w:id="940264182">
      <w:bodyDiv w:val="1"/>
      <w:marLeft w:val="0"/>
      <w:marRight w:val="0"/>
      <w:marTop w:val="0"/>
      <w:marBottom w:val="0"/>
      <w:divBdr>
        <w:top w:val="none" w:sz="0" w:space="0" w:color="auto"/>
        <w:left w:val="none" w:sz="0" w:space="0" w:color="auto"/>
        <w:bottom w:val="none" w:sz="0" w:space="0" w:color="auto"/>
        <w:right w:val="none" w:sz="0" w:space="0" w:color="auto"/>
      </w:divBdr>
    </w:div>
    <w:div w:id="947397682">
      <w:bodyDiv w:val="1"/>
      <w:marLeft w:val="0"/>
      <w:marRight w:val="0"/>
      <w:marTop w:val="0"/>
      <w:marBottom w:val="0"/>
      <w:divBdr>
        <w:top w:val="none" w:sz="0" w:space="0" w:color="auto"/>
        <w:left w:val="none" w:sz="0" w:space="0" w:color="auto"/>
        <w:bottom w:val="none" w:sz="0" w:space="0" w:color="auto"/>
        <w:right w:val="none" w:sz="0" w:space="0" w:color="auto"/>
      </w:divBdr>
    </w:div>
    <w:div w:id="1017998371">
      <w:bodyDiv w:val="1"/>
      <w:marLeft w:val="0"/>
      <w:marRight w:val="0"/>
      <w:marTop w:val="0"/>
      <w:marBottom w:val="0"/>
      <w:divBdr>
        <w:top w:val="none" w:sz="0" w:space="0" w:color="auto"/>
        <w:left w:val="none" w:sz="0" w:space="0" w:color="auto"/>
        <w:bottom w:val="none" w:sz="0" w:space="0" w:color="auto"/>
        <w:right w:val="none" w:sz="0" w:space="0" w:color="auto"/>
      </w:divBdr>
    </w:div>
    <w:div w:id="1038239250">
      <w:bodyDiv w:val="1"/>
      <w:marLeft w:val="0"/>
      <w:marRight w:val="0"/>
      <w:marTop w:val="0"/>
      <w:marBottom w:val="0"/>
      <w:divBdr>
        <w:top w:val="none" w:sz="0" w:space="0" w:color="auto"/>
        <w:left w:val="none" w:sz="0" w:space="0" w:color="auto"/>
        <w:bottom w:val="none" w:sz="0" w:space="0" w:color="auto"/>
        <w:right w:val="none" w:sz="0" w:space="0" w:color="auto"/>
      </w:divBdr>
    </w:div>
    <w:div w:id="1098596778">
      <w:bodyDiv w:val="1"/>
      <w:marLeft w:val="0"/>
      <w:marRight w:val="0"/>
      <w:marTop w:val="0"/>
      <w:marBottom w:val="0"/>
      <w:divBdr>
        <w:top w:val="none" w:sz="0" w:space="0" w:color="auto"/>
        <w:left w:val="none" w:sz="0" w:space="0" w:color="auto"/>
        <w:bottom w:val="none" w:sz="0" w:space="0" w:color="auto"/>
        <w:right w:val="none" w:sz="0" w:space="0" w:color="auto"/>
      </w:divBdr>
    </w:div>
    <w:div w:id="1113861563">
      <w:bodyDiv w:val="1"/>
      <w:marLeft w:val="0"/>
      <w:marRight w:val="0"/>
      <w:marTop w:val="0"/>
      <w:marBottom w:val="0"/>
      <w:divBdr>
        <w:top w:val="none" w:sz="0" w:space="0" w:color="auto"/>
        <w:left w:val="none" w:sz="0" w:space="0" w:color="auto"/>
        <w:bottom w:val="none" w:sz="0" w:space="0" w:color="auto"/>
        <w:right w:val="none" w:sz="0" w:space="0" w:color="auto"/>
      </w:divBdr>
    </w:div>
    <w:div w:id="1162088665">
      <w:bodyDiv w:val="1"/>
      <w:marLeft w:val="0"/>
      <w:marRight w:val="0"/>
      <w:marTop w:val="0"/>
      <w:marBottom w:val="0"/>
      <w:divBdr>
        <w:top w:val="none" w:sz="0" w:space="0" w:color="auto"/>
        <w:left w:val="none" w:sz="0" w:space="0" w:color="auto"/>
        <w:bottom w:val="none" w:sz="0" w:space="0" w:color="auto"/>
        <w:right w:val="none" w:sz="0" w:space="0" w:color="auto"/>
      </w:divBdr>
    </w:div>
    <w:div w:id="1175997365">
      <w:bodyDiv w:val="1"/>
      <w:marLeft w:val="0"/>
      <w:marRight w:val="0"/>
      <w:marTop w:val="0"/>
      <w:marBottom w:val="0"/>
      <w:divBdr>
        <w:top w:val="none" w:sz="0" w:space="0" w:color="auto"/>
        <w:left w:val="none" w:sz="0" w:space="0" w:color="auto"/>
        <w:bottom w:val="none" w:sz="0" w:space="0" w:color="auto"/>
        <w:right w:val="none" w:sz="0" w:space="0" w:color="auto"/>
      </w:divBdr>
    </w:div>
    <w:div w:id="1190489108">
      <w:bodyDiv w:val="1"/>
      <w:marLeft w:val="0"/>
      <w:marRight w:val="0"/>
      <w:marTop w:val="0"/>
      <w:marBottom w:val="0"/>
      <w:divBdr>
        <w:top w:val="none" w:sz="0" w:space="0" w:color="auto"/>
        <w:left w:val="none" w:sz="0" w:space="0" w:color="auto"/>
        <w:bottom w:val="none" w:sz="0" w:space="0" w:color="auto"/>
        <w:right w:val="none" w:sz="0" w:space="0" w:color="auto"/>
      </w:divBdr>
    </w:div>
    <w:div w:id="1212688866">
      <w:bodyDiv w:val="1"/>
      <w:marLeft w:val="0"/>
      <w:marRight w:val="0"/>
      <w:marTop w:val="0"/>
      <w:marBottom w:val="0"/>
      <w:divBdr>
        <w:top w:val="none" w:sz="0" w:space="0" w:color="auto"/>
        <w:left w:val="none" w:sz="0" w:space="0" w:color="auto"/>
        <w:bottom w:val="none" w:sz="0" w:space="0" w:color="auto"/>
        <w:right w:val="none" w:sz="0" w:space="0" w:color="auto"/>
      </w:divBdr>
    </w:div>
    <w:div w:id="1239174049">
      <w:bodyDiv w:val="1"/>
      <w:marLeft w:val="0"/>
      <w:marRight w:val="0"/>
      <w:marTop w:val="0"/>
      <w:marBottom w:val="0"/>
      <w:divBdr>
        <w:top w:val="none" w:sz="0" w:space="0" w:color="auto"/>
        <w:left w:val="none" w:sz="0" w:space="0" w:color="auto"/>
        <w:bottom w:val="none" w:sz="0" w:space="0" w:color="auto"/>
        <w:right w:val="none" w:sz="0" w:space="0" w:color="auto"/>
      </w:divBdr>
    </w:div>
    <w:div w:id="1247769195">
      <w:bodyDiv w:val="1"/>
      <w:marLeft w:val="0"/>
      <w:marRight w:val="0"/>
      <w:marTop w:val="0"/>
      <w:marBottom w:val="0"/>
      <w:divBdr>
        <w:top w:val="none" w:sz="0" w:space="0" w:color="auto"/>
        <w:left w:val="none" w:sz="0" w:space="0" w:color="auto"/>
        <w:bottom w:val="none" w:sz="0" w:space="0" w:color="auto"/>
        <w:right w:val="none" w:sz="0" w:space="0" w:color="auto"/>
      </w:divBdr>
    </w:div>
    <w:div w:id="1262910696">
      <w:bodyDiv w:val="1"/>
      <w:marLeft w:val="0"/>
      <w:marRight w:val="0"/>
      <w:marTop w:val="0"/>
      <w:marBottom w:val="0"/>
      <w:divBdr>
        <w:top w:val="none" w:sz="0" w:space="0" w:color="auto"/>
        <w:left w:val="none" w:sz="0" w:space="0" w:color="auto"/>
        <w:bottom w:val="none" w:sz="0" w:space="0" w:color="auto"/>
        <w:right w:val="none" w:sz="0" w:space="0" w:color="auto"/>
      </w:divBdr>
    </w:div>
    <w:div w:id="1323124019">
      <w:bodyDiv w:val="1"/>
      <w:marLeft w:val="0"/>
      <w:marRight w:val="0"/>
      <w:marTop w:val="0"/>
      <w:marBottom w:val="0"/>
      <w:divBdr>
        <w:top w:val="none" w:sz="0" w:space="0" w:color="auto"/>
        <w:left w:val="none" w:sz="0" w:space="0" w:color="auto"/>
        <w:bottom w:val="none" w:sz="0" w:space="0" w:color="auto"/>
        <w:right w:val="none" w:sz="0" w:space="0" w:color="auto"/>
      </w:divBdr>
    </w:div>
    <w:div w:id="1367875645">
      <w:bodyDiv w:val="1"/>
      <w:marLeft w:val="0"/>
      <w:marRight w:val="0"/>
      <w:marTop w:val="0"/>
      <w:marBottom w:val="0"/>
      <w:divBdr>
        <w:top w:val="none" w:sz="0" w:space="0" w:color="auto"/>
        <w:left w:val="none" w:sz="0" w:space="0" w:color="auto"/>
        <w:bottom w:val="none" w:sz="0" w:space="0" w:color="auto"/>
        <w:right w:val="none" w:sz="0" w:space="0" w:color="auto"/>
      </w:divBdr>
    </w:div>
    <w:div w:id="1375811217">
      <w:bodyDiv w:val="1"/>
      <w:marLeft w:val="0"/>
      <w:marRight w:val="0"/>
      <w:marTop w:val="0"/>
      <w:marBottom w:val="0"/>
      <w:divBdr>
        <w:top w:val="none" w:sz="0" w:space="0" w:color="auto"/>
        <w:left w:val="none" w:sz="0" w:space="0" w:color="auto"/>
        <w:bottom w:val="none" w:sz="0" w:space="0" w:color="auto"/>
        <w:right w:val="none" w:sz="0" w:space="0" w:color="auto"/>
      </w:divBdr>
    </w:div>
    <w:div w:id="1389064030">
      <w:bodyDiv w:val="1"/>
      <w:marLeft w:val="0"/>
      <w:marRight w:val="0"/>
      <w:marTop w:val="0"/>
      <w:marBottom w:val="0"/>
      <w:divBdr>
        <w:top w:val="none" w:sz="0" w:space="0" w:color="auto"/>
        <w:left w:val="none" w:sz="0" w:space="0" w:color="auto"/>
        <w:bottom w:val="none" w:sz="0" w:space="0" w:color="auto"/>
        <w:right w:val="none" w:sz="0" w:space="0" w:color="auto"/>
      </w:divBdr>
    </w:div>
    <w:div w:id="1439179674">
      <w:bodyDiv w:val="1"/>
      <w:marLeft w:val="0"/>
      <w:marRight w:val="0"/>
      <w:marTop w:val="0"/>
      <w:marBottom w:val="0"/>
      <w:divBdr>
        <w:top w:val="none" w:sz="0" w:space="0" w:color="auto"/>
        <w:left w:val="none" w:sz="0" w:space="0" w:color="auto"/>
        <w:bottom w:val="none" w:sz="0" w:space="0" w:color="auto"/>
        <w:right w:val="none" w:sz="0" w:space="0" w:color="auto"/>
      </w:divBdr>
    </w:div>
    <w:div w:id="1443769808">
      <w:bodyDiv w:val="1"/>
      <w:marLeft w:val="0"/>
      <w:marRight w:val="0"/>
      <w:marTop w:val="0"/>
      <w:marBottom w:val="0"/>
      <w:divBdr>
        <w:top w:val="none" w:sz="0" w:space="0" w:color="auto"/>
        <w:left w:val="none" w:sz="0" w:space="0" w:color="auto"/>
        <w:bottom w:val="none" w:sz="0" w:space="0" w:color="auto"/>
        <w:right w:val="none" w:sz="0" w:space="0" w:color="auto"/>
      </w:divBdr>
    </w:div>
    <w:div w:id="1452743180">
      <w:bodyDiv w:val="1"/>
      <w:marLeft w:val="0"/>
      <w:marRight w:val="0"/>
      <w:marTop w:val="0"/>
      <w:marBottom w:val="0"/>
      <w:divBdr>
        <w:top w:val="none" w:sz="0" w:space="0" w:color="auto"/>
        <w:left w:val="none" w:sz="0" w:space="0" w:color="auto"/>
        <w:bottom w:val="none" w:sz="0" w:space="0" w:color="auto"/>
        <w:right w:val="none" w:sz="0" w:space="0" w:color="auto"/>
      </w:divBdr>
    </w:div>
    <w:div w:id="1454327660">
      <w:bodyDiv w:val="1"/>
      <w:marLeft w:val="0"/>
      <w:marRight w:val="0"/>
      <w:marTop w:val="0"/>
      <w:marBottom w:val="0"/>
      <w:divBdr>
        <w:top w:val="none" w:sz="0" w:space="0" w:color="auto"/>
        <w:left w:val="none" w:sz="0" w:space="0" w:color="auto"/>
        <w:bottom w:val="none" w:sz="0" w:space="0" w:color="auto"/>
        <w:right w:val="none" w:sz="0" w:space="0" w:color="auto"/>
      </w:divBdr>
    </w:div>
    <w:div w:id="1505121471">
      <w:bodyDiv w:val="1"/>
      <w:marLeft w:val="0"/>
      <w:marRight w:val="0"/>
      <w:marTop w:val="0"/>
      <w:marBottom w:val="0"/>
      <w:divBdr>
        <w:top w:val="none" w:sz="0" w:space="0" w:color="auto"/>
        <w:left w:val="none" w:sz="0" w:space="0" w:color="auto"/>
        <w:bottom w:val="none" w:sz="0" w:space="0" w:color="auto"/>
        <w:right w:val="none" w:sz="0" w:space="0" w:color="auto"/>
      </w:divBdr>
    </w:div>
    <w:div w:id="1507328810">
      <w:bodyDiv w:val="1"/>
      <w:marLeft w:val="0"/>
      <w:marRight w:val="0"/>
      <w:marTop w:val="0"/>
      <w:marBottom w:val="0"/>
      <w:divBdr>
        <w:top w:val="none" w:sz="0" w:space="0" w:color="auto"/>
        <w:left w:val="none" w:sz="0" w:space="0" w:color="auto"/>
        <w:bottom w:val="none" w:sz="0" w:space="0" w:color="auto"/>
        <w:right w:val="none" w:sz="0" w:space="0" w:color="auto"/>
      </w:divBdr>
    </w:div>
    <w:div w:id="1509448151">
      <w:bodyDiv w:val="1"/>
      <w:marLeft w:val="0"/>
      <w:marRight w:val="0"/>
      <w:marTop w:val="0"/>
      <w:marBottom w:val="0"/>
      <w:divBdr>
        <w:top w:val="none" w:sz="0" w:space="0" w:color="auto"/>
        <w:left w:val="none" w:sz="0" w:space="0" w:color="auto"/>
        <w:bottom w:val="none" w:sz="0" w:space="0" w:color="auto"/>
        <w:right w:val="none" w:sz="0" w:space="0" w:color="auto"/>
      </w:divBdr>
    </w:div>
    <w:div w:id="1588539073">
      <w:bodyDiv w:val="1"/>
      <w:marLeft w:val="0"/>
      <w:marRight w:val="0"/>
      <w:marTop w:val="0"/>
      <w:marBottom w:val="0"/>
      <w:divBdr>
        <w:top w:val="none" w:sz="0" w:space="0" w:color="auto"/>
        <w:left w:val="none" w:sz="0" w:space="0" w:color="auto"/>
        <w:bottom w:val="none" w:sz="0" w:space="0" w:color="auto"/>
        <w:right w:val="none" w:sz="0" w:space="0" w:color="auto"/>
      </w:divBdr>
    </w:div>
    <w:div w:id="1593008622">
      <w:bodyDiv w:val="1"/>
      <w:marLeft w:val="0"/>
      <w:marRight w:val="0"/>
      <w:marTop w:val="0"/>
      <w:marBottom w:val="0"/>
      <w:divBdr>
        <w:top w:val="none" w:sz="0" w:space="0" w:color="auto"/>
        <w:left w:val="none" w:sz="0" w:space="0" w:color="auto"/>
        <w:bottom w:val="none" w:sz="0" w:space="0" w:color="auto"/>
        <w:right w:val="none" w:sz="0" w:space="0" w:color="auto"/>
      </w:divBdr>
    </w:div>
    <w:div w:id="1627618342">
      <w:bodyDiv w:val="1"/>
      <w:marLeft w:val="0"/>
      <w:marRight w:val="0"/>
      <w:marTop w:val="0"/>
      <w:marBottom w:val="0"/>
      <w:divBdr>
        <w:top w:val="none" w:sz="0" w:space="0" w:color="auto"/>
        <w:left w:val="none" w:sz="0" w:space="0" w:color="auto"/>
        <w:bottom w:val="none" w:sz="0" w:space="0" w:color="auto"/>
        <w:right w:val="none" w:sz="0" w:space="0" w:color="auto"/>
      </w:divBdr>
    </w:div>
    <w:div w:id="1643346566">
      <w:bodyDiv w:val="1"/>
      <w:marLeft w:val="0"/>
      <w:marRight w:val="0"/>
      <w:marTop w:val="0"/>
      <w:marBottom w:val="0"/>
      <w:divBdr>
        <w:top w:val="none" w:sz="0" w:space="0" w:color="auto"/>
        <w:left w:val="none" w:sz="0" w:space="0" w:color="auto"/>
        <w:bottom w:val="none" w:sz="0" w:space="0" w:color="auto"/>
        <w:right w:val="none" w:sz="0" w:space="0" w:color="auto"/>
      </w:divBdr>
    </w:div>
    <w:div w:id="1657999020">
      <w:bodyDiv w:val="1"/>
      <w:marLeft w:val="0"/>
      <w:marRight w:val="0"/>
      <w:marTop w:val="0"/>
      <w:marBottom w:val="0"/>
      <w:divBdr>
        <w:top w:val="none" w:sz="0" w:space="0" w:color="auto"/>
        <w:left w:val="none" w:sz="0" w:space="0" w:color="auto"/>
        <w:bottom w:val="none" w:sz="0" w:space="0" w:color="auto"/>
        <w:right w:val="none" w:sz="0" w:space="0" w:color="auto"/>
      </w:divBdr>
    </w:div>
    <w:div w:id="1715538062">
      <w:bodyDiv w:val="1"/>
      <w:marLeft w:val="0"/>
      <w:marRight w:val="0"/>
      <w:marTop w:val="0"/>
      <w:marBottom w:val="0"/>
      <w:divBdr>
        <w:top w:val="none" w:sz="0" w:space="0" w:color="auto"/>
        <w:left w:val="none" w:sz="0" w:space="0" w:color="auto"/>
        <w:bottom w:val="none" w:sz="0" w:space="0" w:color="auto"/>
        <w:right w:val="none" w:sz="0" w:space="0" w:color="auto"/>
      </w:divBdr>
    </w:div>
    <w:div w:id="1726563261">
      <w:bodyDiv w:val="1"/>
      <w:marLeft w:val="0"/>
      <w:marRight w:val="0"/>
      <w:marTop w:val="0"/>
      <w:marBottom w:val="0"/>
      <w:divBdr>
        <w:top w:val="none" w:sz="0" w:space="0" w:color="auto"/>
        <w:left w:val="none" w:sz="0" w:space="0" w:color="auto"/>
        <w:bottom w:val="none" w:sz="0" w:space="0" w:color="auto"/>
        <w:right w:val="none" w:sz="0" w:space="0" w:color="auto"/>
      </w:divBdr>
    </w:div>
    <w:div w:id="1747336963">
      <w:bodyDiv w:val="1"/>
      <w:marLeft w:val="0"/>
      <w:marRight w:val="0"/>
      <w:marTop w:val="0"/>
      <w:marBottom w:val="0"/>
      <w:divBdr>
        <w:top w:val="none" w:sz="0" w:space="0" w:color="auto"/>
        <w:left w:val="none" w:sz="0" w:space="0" w:color="auto"/>
        <w:bottom w:val="none" w:sz="0" w:space="0" w:color="auto"/>
        <w:right w:val="none" w:sz="0" w:space="0" w:color="auto"/>
      </w:divBdr>
    </w:div>
    <w:div w:id="1757359938">
      <w:bodyDiv w:val="1"/>
      <w:marLeft w:val="0"/>
      <w:marRight w:val="0"/>
      <w:marTop w:val="0"/>
      <w:marBottom w:val="0"/>
      <w:divBdr>
        <w:top w:val="none" w:sz="0" w:space="0" w:color="auto"/>
        <w:left w:val="none" w:sz="0" w:space="0" w:color="auto"/>
        <w:bottom w:val="none" w:sz="0" w:space="0" w:color="auto"/>
        <w:right w:val="none" w:sz="0" w:space="0" w:color="auto"/>
      </w:divBdr>
    </w:div>
    <w:div w:id="1783920478">
      <w:bodyDiv w:val="1"/>
      <w:marLeft w:val="0"/>
      <w:marRight w:val="0"/>
      <w:marTop w:val="0"/>
      <w:marBottom w:val="0"/>
      <w:divBdr>
        <w:top w:val="none" w:sz="0" w:space="0" w:color="auto"/>
        <w:left w:val="none" w:sz="0" w:space="0" w:color="auto"/>
        <w:bottom w:val="none" w:sz="0" w:space="0" w:color="auto"/>
        <w:right w:val="none" w:sz="0" w:space="0" w:color="auto"/>
      </w:divBdr>
    </w:div>
    <w:div w:id="1791430672">
      <w:bodyDiv w:val="1"/>
      <w:marLeft w:val="0"/>
      <w:marRight w:val="0"/>
      <w:marTop w:val="0"/>
      <w:marBottom w:val="0"/>
      <w:divBdr>
        <w:top w:val="none" w:sz="0" w:space="0" w:color="auto"/>
        <w:left w:val="none" w:sz="0" w:space="0" w:color="auto"/>
        <w:bottom w:val="none" w:sz="0" w:space="0" w:color="auto"/>
        <w:right w:val="none" w:sz="0" w:space="0" w:color="auto"/>
      </w:divBdr>
    </w:div>
    <w:div w:id="1795712519">
      <w:bodyDiv w:val="1"/>
      <w:marLeft w:val="0"/>
      <w:marRight w:val="0"/>
      <w:marTop w:val="0"/>
      <w:marBottom w:val="0"/>
      <w:divBdr>
        <w:top w:val="none" w:sz="0" w:space="0" w:color="auto"/>
        <w:left w:val="none" w:sz="0" w:space="0" w:color="auto"/>
        <w:bottom w:val="none" w:sz="0" w:space="0" w:color="auto"/>
        <w:right w:val="none" w:sz="0" w:space="0" w:color="auto"/>
      </w:divBdr>
    </w:div>
    <w:div w:id="1823545201">
      <w:bodyDiv w:val="1"/>
      <w:marLeft w:val="0"/>
      <w:marRight w:val="0"/>
      <w:marTop w:val="0"/>
      <w:marBottom w:val="0"/>
      <w:divBdr>
        <w:top w:val="none" w:sz="0" w:space="0" w:color="auto"/>
        <w:left w:val="none" w:sz="0" w:space="0" w:color="auto"/>
        <w:bottom w:val="none" w:sz="0" w:space="0" w:color="auto"/>
        <w:right w:val="none" w:sz="0" w:space="0" w:color="auto"/>
      </w:divBdr>
    </w:div>
    <w:div w:id="1879465856">
      <w:bodyDiv w:val="1"/>
      <w:marLeft w:val="0"/>
      <w:marRight w:val="0"/>
      <w:marTop w:val="0"/>
      <w:marBottom w:val="0"/>
      <w:divBdr>
        <w:top w:val="none" w:sz="0" w:space="0" w:color="auto"/>
        <w:left w:val="none" w:sz="0" w:space="0" w:color="auto"/>
        <w:bottom w:val="none" w:sz="0" w:space="0" w:color="auto"/>
        <w:right w:val="none" w:sz="0" w:space="0" w:color="auto"/>
      </w:divBdr>
    </w:div>
    <w:div w:id="1904634066">
      <w:bodyDiv w:val="1"/>
      <w:marLeft w:val="0"/>
      <w:marRight w:val="0"/>
      <w:marTop w:val="0"/>
      <w:marBottom w:val="0"/>
      <w:divBdr>
        <w:top w:val="none" w:sz="0" w:space="0" w:color="auto"/>
        <w:left w:val="none" w:sz="0" w:space="0" w:color="auto"/>
        <w:bottom w:val="none" w:sz="0" w:space="0" w:color="auto"/>
        <w:right w:val="none" w:sz="0" w:space="0" w:color="auto"/>
      </w:divBdr>
    </w:div>
    <w:div w:id="1930574400">
      <w:bodyDiv w:val="1"/>
      <w:marLeft w:val="0"/>
      <w:marRight w:val="0"/>
      <w:marTop w:val="0"/>
      <w:marBottom w:val="0"/>
      <w:divBdr>
        <w:top w:val="none" w:sz="0" w:space="0" w:color="auto"/>
        <w:left w:val="none" w:sz="0" w:space="0" w:color="auto"/>
        <w:bottom w:val="none" w:sz="0" w:space="0" w:color="auto"/>
        <w:right w:val="none" w:sz="0" w:space="0" w:color="auto"/>
      </w:divBdr>
    </w:div>
    <w:div w:id="1948079939">
      <w:bodyDiv w:val="1"/>
      <w:marLeft w:val="0"/>
      <w:marRight w:val="0"/>
      <w:marTop w:val="0"/>
      <w:marBottom w:val="0"/>
      <w:divBdr>
        <w:top w:val="none" w:sz="0" w:space="0" w:color="auto"/>
        <w:left w:val="none" w:sz="0" w:space="0" w:color="auto"/>
        <w:bottom w:val="none" w:sz="0" w:space="0" w:color="auto"/>
        <w:right w:val="none" w:sz="0" w:space="0" w:color="auto"/>
      </w:divBdr>
    </w:div>
    <w:div w:id="1980455835">
      <w:bodyDiv w:val="1"/>
      <w:marLeft w:val="0"/>
      <w:marRight w:val="0"/>
      <w:marTop w:val="0"/>
      <w:marBottom w:val="0"/>
      <w:divBdr>
        <w:top w:val="none" w:sz="0" w:space="0" w:color="auto"/>
        <w:left w:val="none" w:sz="0" w:space="0" w:color="auto"/>
        <w:bottom w:val="none" w:sz="0" w:space="0" w:color="auto"/>
        <w:right w:val="none" w:sz="0" w:space="0" w:color="auto"/>
      </w:divBdr>
    </w:div>
    <w:div w:id="2016031992">
      <w:bodyDiv w:val="1"/>
      <w:marLeft w:val="0"/>
      <w:marRight w:val="0"/>
      <w:marTop w:val="0"/>
      <w:marBottom w:val="0"/>
      <w:divBdr>
        <w:top w:val="none" w:sz="0" w:space="0" w:color="auto"/>
        <w:left w:val="none" w:sz="0" w:space="0" w:color="auto"/>
        <w:bottom w:val="none" w:sz="0" w:space="0" w:color="auto"/>
        <w:right w:val="none" w:sz="0" w:space="0" w:color="auto"/>
      </w:divBdr>
    </w:div>
    <w:div w:id="2054425820">
      <w:bodyDiv w:val="1"/>
      <w:marLeft w:val="0"/>
      <w:marRight w:val="0"/>
      <w:marTop w:val="0"/>
      <w:marBottom w:val="0"/>
      <w:divBdr>
        <w:top w:val="none" w:sz="0" w:space="0" w:color="auto"/>
        <w:left w:val="none" w:sz="0" w:space="0" w:color="auto"/>
        <w:bottom w:val="none" w:sz="0" w:space="0" w:color="auto"/>
        <w:right w:val="none" w:sz="0" w:space="0" w:color="auto"/>
      </w:divBdr>
    </w:div>
    <w:div w:id="2081705318">
      <w:bodyDiv w:val="1"/>
      <w:marLeft w:val="0"/>
      <w:marRight w:val="0"/>
      <w:marTop w:val="0"/>
      <w:marBottom w:val="0"/>
      <w:divBdr>
        <w:top w:val="none" w:sz="0" w:space="0" w:color="auto"/>
        <w:left w:val="none" w:sz="0" w:space="0" w:color="auto"/>
        <w:bottom w:val="none" w:sz="0" w:space="0" w:color="auto"/>
        <w:right w:val="none" w:sz="0" w:space="0" w:color="auto"/>
      </w:divBdr>
    </w:div>
    <w:div w:id="2127503718">
      <w:bodyDiv w:val="1"/>
      <w:marLeft w:val="0"/>
      <w:marRight w:val="0"/>
      <w:marTop w:val="0"/>
      <w:marBottom w:val="0"/>
      <w:divBdr>
        <w:top w:val="none" w:sz="0" w:space="0" w:color="auto"/>
        <w:left w:val="none" w:sz="0" w:space="0" w:color="auto"/>
        <w:bottom w:val="none" w:sz="0" w:space="0" w:color="auto"/>
        <w:right w:val="none" w:sz="0" w:space="0" w:color="auto"/>
      </w:divBdr>
    </w:div>
    <w:div w:id="2134474427">
      <w:bodyDiv w:val="1"/>
      <w:marLeft w:val="0"/>
      <w:marRight w:val="0"/>
      <w:marTop w:val="0"/>
      <w:marBottom w:val="0"/>
      <w:divBdr>
        <w:top w:val="none" w:sz="0" w:space="0" w:color="auto"/>
        <w:left w:val="none" w:sz="0" w:space="0" w:color="auto"/>
        <w:bottom w:val="none" w:sz="0" w:space="0" w:color="auto"/>
        <w:right w:val="none" w:sz="0" w:space="0" w:color="auto"/>
      </w:divBdr>
    </w:div>
    <w:div w:id="213570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rip.org/mero/mero01110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hill.com/blogs/congress-blog/homeland-security/313761-end-indefinite-detention-no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smonitor.com/USA/Justice/2012/0611/Supreme-Court-deals-blow-to-Guantanamo-prisoners-challenging-their-detent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apers.ssrn.com/sol3/papers.cfm?abstract_id=13577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5C84659-CFC0-448A-911B-57B985BC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Powers</dc:creator>
  <cp:keywords/>
  <dc:description/>
  <cp:lastModifiedBy>Dan Powers</cp:lastModifiedBy>
  <cp:revision>3</cp:revision>
  <dcterms:created xsi:type="dcterms:W3CDTF">2013-09-21T21:47:00Z</dcterms:created>
  <dcterms:modified xsi:type="dcterms:W3CDTF">2013-09-23T19:17:00Z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