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294" w:rsidRDefault="00744294" w:rsidP="00744294">
      <w:pPr>
        <w:pStyle w:val="Heading1"/>
      </w:pPr>
      <w:r>
        <w:t xml:space="preserve">Topic K </w:t>
      </w:r>
      <w:proofErr w:type="spellStart"/>
      <w:r>
        <w:t>rd</w:t>
      </w:r>
      <w:proofErr w:type="spellEnd"/>
      <w:r>
        <w:t xml:space="preserve"> 5</w:t>
      </w:r>
    </w:p>
    <w:p w:rsidR="00744294" w:rsidRDefault="00744294" w:rsidP="00744294"/>
    <w:p w:rsidR="00744294" w:rsidRDefault="00744294" w:rsidP="00744294">
      <w:r>
        <w:t xml:space="preserve">It’s the same k as round 3 – The only difference is this card in the 2nc </w:t>
      </w:r>
      <w:bookmarkStart w:id="0" w:name="_GoBack"/>
      <w:bookmarkEnd w:id="0"/>
    </w:p>
    <w:p w:rsidR="00744294" w:rsidRDefault="00744294" w:rsidP="00744294"/>
    <w:p w:rsidR="00744294" w:rsidRDefault="00744294" w:rsidP="00744294"/>
    <w:p w:rsidR="00744294" w:rsidRPr="00744294" w:rsidRDefault="00744294" w:rsidP="00744294"/>
    <w:p w:rsidR="00744294" w:rsidRDefault="00744294" w:rsidP="00744294">
      <w:pPr>
        <w:pStyle w:val="Heading4"/>
      </w:pPr>
      <w:r>
        <w:t>T</w:t>
      </w:r>
      <w:r>
        <w:t>he WPR is a useless document – Congress doesn’t work to avoid it, and the president effectively uses it as toilet paper</w:t>
      </w:r>
    </w:p>
    <w:p w:rsidR="00744294" w:rsidRDefault="00744294" w:rsidP="00744294">
      <w:proofErr w:type="spellStart"/>
      <w:r w:rsidRPr="00FC2047">
        <w:rPr>
          <w:rStyle w:val="StyleStyleBold12pt"/>
        </w:rPr>
        <w:t>Druck</w:t>
      </w:r>
      <w:proofErr w:type="spellEnd"/>
      <w:r w:rsidRPr="00FC2047">
        <w:rPr>
          <w:rStyle w:val="StyleStyleBold12pt"/>
        </w:rPr>
        <w:t xml:space="preserve"> 12</w:t>
      </w:r>
      <w:r w:rsidRPr="00FC2047">
        <w:t xml:space="preserve"> </w:t>
      </w:r>
      <w:r>
        <w:t>[</w:t>
      </w:r>
      <w:r w:rsidRPr="00FC2047">
        <w:t xml:space="preserve">Judah A., </w:t>
      </w:r>
      <w:r>
        <w:t>“</w:t>
      </w:r>
      <w:r w:rsidRPr="00FC2047">
        <w:t>Droning on: The War Powers Resolution and the Numbing Effec</w:t>
      </w:r>
      <w:r>
        <w:t>t of Technology-Driven Warfare,” November 15, 2012,</w:t>
      </w:r>
      <w:r w:rsidRPr="00FC2047">
        <w:t xml:space="preserve"> Cornell Law Review</w:t>
      </w:r>
      <w:r>
        <w:t>, Vol. 98, No. 1, pp. 209, 2012, lexis]cd</w:t>
      </w:r>
    </w:p>
    <w:p w:rsidR="00744294" w:rsidRDefault="00744294" w:rsidP="00744294"/>
    <w:p w:rsidR="00744294" w:rsidRPr="00F94E95" w:rsidRDefault="00744294" w:rsidP="00744294">
      <w:pPr>
        <w:rPr>
          <w:rStyle w:val="StyleBoldUnderline"/>
        </w:rPr>
      </w:pPr>
      <w:r w:rsidRPr="00F94E95">
        <w:rPr>
          <w:sz w:val="16"/>
        </w:rPr>
        <w:t xml:space="preserve">By now, the general pattern concerning presidential treatment of¶ the WPR should be clear: </w:t>
      </w:r>
      <w:r w:rsidRPr="003843C9">
        <w:rPr>
          <w:rStyle w:val="StyleBoldUnderline"/>
          <w:highlight w:val="cyan"/>
        </w:rPr>
        <w:t>when faced with a situation in which the WPR should,</w:t>
      </w:r>
      <w:r w:rsidRPr="00F94E95">
        <w:rPr>
          <w:sz w:val="16"/>
        </w:rPr>
        <w:t xml:space="preserve"> by its own terms, </w:t>
      </w:r>
      <w:r w:rsidRPr="003843C9">
        <w:rPr>
          <w:rStyle w:val="StyleBoldUnderline"/>
          <w:highlight w:val="cyan"/>
        </w:rPr>
        <w:t>come into play, presidents circumvent its application by proffering questionable legal analyses</w:t>
      </w:r>
      <w:r w:rsidRPr="00F94E95">
        <w:rPr>
          <w:sz w:val="16"/>
        </w:rPr>
        <w:t xml:space="preserve">. Yet, as was frequently the case following the aforementioned presidential actions, </w:t>
      </w:r>
      <w:r w:rsidRPr="00FC2047">
        <w:rPr>
          <w:rStyle w:val="StyleBoldUnderline"/>
        </w:rPr>
        <w:t xml:space="preserve">those looking to the courts for support were disappointed to </w:t>
      </w:r>
      <w:proofErr w:type="gramStart"/>
      <w:r w:rsidRPr="00FC2047">
        <w:rPr>
          <w:rStyle w:val="StyleBoldUnderline"/>
        </w:rPr>
        <w:t>learn  that</w:t>
      </w:r>
      <w:proofErr w:type="gramEnd"/>
      <w:r w:rsidRPr="00FC2047">
        <w:rPr>
          <w:rStyle w:val="StyleBoldUnderline"/>
        </w:rPr>
        <w:t xml:space="preserve"> the judiciary would be of little help.</w:t>
      </w:r>
      <w:r w:rsidRPr="00F94E95">
        <w:rPr>
          <w:sz w:val="16"/>
        </w:rPr>
        <w:t xml:space="preserve"> Indeed, </w:t>
      </w:r>
      <w:r w:rsidRPr="003843C9">
        <w:rPr>
          <w:rStyle w:val="StyleBoldUnderline"/>
          <w:highlight w:val="cyan"/>
        </w:rPr>
        <w:t>congressional</w:t>
      </w:r>
      <w:r w:rsidRPr="00FC2047">
        <w:rPr>
          <w:rStyle w:val="StyleBoldUnderline"/>
        </w:rPr>
        <w:t xml:space="preserve"> and private litigants </w:t>
      </w:r>
      <w:r w:rsidRPr="003843C9">
        <w:rPr>
          <w:rStyle w:val="StyleBoldUnderline"/>
          <w:highlight w:val="cyan"/>
        </w:rPr>
        <w:t>have</w:t>
      </w:r>
      <w:r w:rsidRPr="00FC2047">
        <w:rPr>
          <w:rStyle w:val="StyleBoldUnderline"/>
        </w:rPr>
        <w:t xml:space="preserve"> similarly </w:t>
      </w:r>
      <w:r w:rsidRPr="003843C9">
        <w:rPr>
          <w:rStyle w:val="StyleBoldUnderline"/>
          <w:highlight w:val="cyan"/>
        </w:rPr>
        <w:t>been unsuccessful in their efforts to check potentially illegal presidential action</w:t>
      </w:r>
      <w:r w:rsidRPr="00F94E95">
        <w:rPr>
          <w:sz w:val="16"/>
        </w:rPr>
        <w:t xml:space="preserve">.  The suits arising out of possible WPR violations are well-documented and therefore only require a brief review. Generally, when faced with a question concerning the legality of presidential military action, courts have punted the issue using a number of procedural tools to avoid ruling on the merits. For example, when twenty-nine representatives filed suit after President Reagan’s possible WPR violation in El Salvador, the U.S. District Court for the District of Columbia dismissed the suit on political question grounds.  Similar suits were dismissed for issues involving standing, mootness, ripeness, or </w:t>
      </w:r>
      <w:proofErr w:type="spellStart"/>
      <w:r w:rsidRPr="00F94E95">
        <w:rPr>
          <w:sz w:val="16"/>
        </w:rPr>
        <w:t>nonjusticiability</w:t>
      </w:r>
      <w:proofErr w:type="spellEnd"/>
      <w:r w:rsidRPr="00F94E95">
        <w:rPr>
          <w:sz w:val="16"/>
        </w:rPr>
        <w:t xml:space="preserve"> because Congress could better handle fact-finding.  </w:t>
      </w:r>
      <w:r w:rsidRPr="00FC2047">
        <w:rPr>
          <w:rStyle w:val="StyleBoldUnderline"/>
        </w:rPr>
        <w:t xml:space="preserve">Despite the varying grounds for dismissing WPR suits, a general </w:t>
      </w:r>
      <w:proofErr w:type="gramStart"/>
      <w:r w:rsidRPr="00FC2047">
        <w:rPr>
          <w:rStyle w:val="StyleBoldUnderline"/>
        </w:rPr>
        <w:t>theme  as</w:t>
      </w:r>
      <w:proofErr w:type="gramEnd"/>
      <w:r w:rsidRPr="00FC2047">
        <w:rPr>
          <w:rStyle w:val="StyleBoldUnderline"/>
        </w:rPr>
        <w:t xml:space="preserve"> emerged: absent action taken by Con</w:t>
      </w:r>
      <w:r>
        <w:rPr>
          <w:rStyle w:val="StyleBoldUnderline"/>
        </w:rPr>
        <w:t xml:space="preserve">gress itself, the judiciary </w:t>
      </w:r>
      <w:proofErr w:type="spellStart"/>
      <w:r>
        <w:rPr>
          <w:rStyle w:val="StyleBoldUnderline"/>
        </w:rPr>
        <w:t>can</w:t>
      </w:r>
      <w:r w:rsidRPr="00FC2047">
        <w:rPr>
          <w:rStyle w:val="StyleBoldUnderline"/>
        </w:rPr>
        <w:t xml:space="preserve"> not</w:t>
      </w:r>
      <w:proofErr w:type="spellEnd"/>
      <w:r w:rsidRPr="00FC2047">
        <w:rPr>
          <w:rStyle w:val="StyleBoldUnderline"/>
        </w:rPr>
        <w:t xml:space="preserve"> be counted on to step in to check the President. </w:t>
      </w:r>
      <w:r w:rsidRPr="00F94E95">
        <w:rPr>
          <w:sz w:val="16"/>
        </w:rPr>
        <w:t xml:space="preserve">To be sure, the judiciary’s unwillingness to review cases arising from WPR disputes arguably carries some merit. Two examples illustrate this point. First, although a serviceperson ordered into combat might have standing to sue, congressional standing is less clear.  Indeed, debates rage throughout war powers literature concerning whether congressional suits should even be heard on their merits.  And though some courts have held that a member of Congress can have standing when a President acts unilaterally, holding that such unauthorized actions amount to “disenfranchisement,” </w:t>
      </w:r>
      <w:proofErr w:type="gramStart"/>
      <w:r w:rsidRPr="00F94E95">
        <w:rPr>
          <w:sz w:val="16"/>
        </w:rPr>
        <w:t>subsequent  decisions</w:t>
      </w:r>
      <w:proofErr w:type="gramEnd"/>
      <w:r w:rsidRPr="00F94E95">
        <w:rPr>
          <w:sz w:val="16"/>
        </w:rPr>
        <w:t xml:space="preserve"> and commentators have thrown the entire realm of legislative standing into doubt.  Though the merits of this debate are beyond the scope of this Note, it is sufficient to emphasize that a member of Congress arguably suffers an injury when a President violates the WPR because the presidential action prevents the congressperson from being able to vote (namely, on whether to authorize hostilities), thereby amounting to disenfranchisement </w:t>
      </w:r>
      <w:proofErr w:type="gramStart"/>
      <w:r w:rsidRPr="00F94E95">
        <w:rPr>
          <w:sz w:val="16"/>
        </w:rPr>
        <w:t>by  “</w:t>
      </w:r>
      <w:proofErr w:type="spellStart"/>
      <w:proofErr w:type="gramEnd"/>
      <w:r w:rsidRPr="00F94E95">
        <w:rPr>
          <w:sz w:val="16"/>
        </w:rPr>
        <w:t>preclu</w:t>
      </w:r>
      <w:proofErr w:type="spellEnd"/>
      <w:r w:rsidRPr="00F94E95">
        <w:rPr>
          <w:sz w:val="16"/>
        </w:rPr>
        <w:t xml:space="preserve">[ding] . . . a specific vote . . . by a presidential violation of  law . . . .”  As such, under the right circumstances, perhaps the standing doctrine should not be as problematic as history seems to indicate when a congressperson attempting to have a say on military action brings a WPR suit.  Secondly, and perhaps more importantly, </w:t>
      </w:r>
      <w:r w:rsidRPr="00FC2047">
        <w:rPr>
          <w:rStyle w:val="StyleBoldUnderline"/>
        </w:rPr>
        <w:t>it is</w:t>
      </w:r>
      <w:r w:rsidRPr="00F94E95">
        <w:rPr>
          <w:sz w:val="16"/>
        </w:rPr>
        <w:t xml:space="preserve"> arguably </w:t>
      </w:r>
      <w:r w:rsidRPr="00FC2047">
        <w:rPr>
          <w:rStyle w:val="StyleBoldUnderline"/>
        </w:rPr>
        <w:t>unclear what</w:t>
      </w:r>
      <w:r w:rsidRPr="00F94E95">
        <w:rPr>
          <w:sz w:val="16"/>
        </w:rPr>
        <w:t xml:space="preserve">, if any, </w:t>
      </w:r>
      <w:r w:rsidRPr="00FC2047">
        <w:rPr>
          <w:rStyle w:val="StyleBoldUnderline"/>
        </w:rPr>
        <w:t>remedy is available to potential litigants</w:t>
      </w:r>
      <w:r w:rsidRPr="00F94E95">
        <w:rPr>
          <w:sz w:val="16"/>
        </w:rPr>
        <w:t xml:space="preserve">. </w:t>
      </w:r>
      <w:r w:rsidRPr="00FC2047">
        <w:rPr>
          <w:rStyle w:val="StyleBoldUnderline"/>
        </w:rPr>
        <w:t>Unlike a private lawsuit, where a court can impose a simple fine or jail sentence, suits against the executive branch carry a myriad of practical issues. For example, if the remedy is an injunc</w:t>
      </w:r>
      <w:r>
        <w:rPr>
          <w:rStyle w:val="StyleBoldUnderline"/>
        </w:rPr>
        <w:t>tion, issues concerning enforce</w:t>
      </w:r>
      <w:r w:rsidRPr="00FC2047">
        <w:rPr>
          <w:rStyle w:val="StyleBoldUnderline"/>
        </w:rPr>
        <w:t>ment arise: Who enforces it and how? Or, if a court makes a declaratory judgment stating that the President has acted illegally, it might invite open defiance, thereby creating unprecedented strife among branches</w:t>
      </w:r>
      <w:r w:rsidRPr="00F94E95">
        <w:rPr>
          <w:sz w:val="16"/>
        </w:rPr>
        <w:t xml:space="preserve">. Yet, a number of possible remedies are indeed available.  For one, courts could simply start the WPR clock, requiring a President   to either seek congressional approval or cease all actions within  the time remaining (depending on whether the court starts the clock  from the beginning or applies it retroactively).  In doing so, a court would trigger the WPR in the same way that Congress would have had it acted alone. On a similar note, a court could declare the relevant military conflict illegal under the WPR, thereby inviting Congress to begin impeachment proceedings.  Although both cases require some level of congressional involvement, a court could at least begin the process of providing a suitable remedy. Thus, the more questionable issues of standing and remedies should not (under the right circumstances) prevent a WPR suit from moving forward.  What about the pragmatic issues associated with involving the judiciary in foreign affairs? After all, we might not want our judiciary entering the world of realpolitik by forcing a President’s hand; doing so would require a large political (and administrative) undertaking that might take us beyond the bounds of the judiciary’s institutional role. And as previously mentioned, </w:t>
      </w:r>
      <w:r w:rsidRPr="003843C9">
        <w:rPr>
          <w:rStyle w:val="StyleBoldUnderline"/>
          <w:highlight w:val="cyan"/>
        </w:rPr>
        <w:t>courts do not</w:t>
      </w:r>
      <w:r w:rsidRPr="00F94E95">
        <w:rPr>
          <w:rStyle w:val="StyleBoldUnderline"/>
        </w:rPr>
        <w:t xml:space="preserve">, and perhaps should not, </w:t>
      </w:r>
      <w:r w:rsidRPr="003843C9">
        <w:rPr>
          <w:rStyle w:val="StyleBoldUnderline"/>
          <w:highlight w:val="cyan"/>
        </w:rPr>
        <w:t>want to be in the business of telling the President when or how to act, especially when such conflict might result in presidential defiance</w:t>
      </w:r>
      <w:r w:rsidRPr="00F94E95">
        <w:rPr>
          <w:sz w:val="16"/>
        </w:rPr>
        <w:t xml:space="preserve">. This position might make sense in a system where we could rely on congressional action to prevent unilateral action. But given the dysfunction that overwhelms the legislative branch whenever a President violates the WPR, the entire premise of a system emphasizing no unilateral military action is inverted when the onus is placed squarely on Congress. </w:t>
      </w:r>
      <w:r w:rsidRPr="003843C9">
        <w:rPr>
          <w:rStyle w:val="StyleBoldUnderline"/>
          <w:highlight w:val="cyan"/>
        </w:rPr>
        <w:t>If Congress could not go to the courts in order to prevent further presidential WPR violations, it would be required to turn to its legislative powers</w:t>
      </w:r>
      <w:r w:rsidRPr="00F94E95">
        <w:rPr>
          <w:rStyle w:val="StyleBoldUnderline"/>
        </w:rPr>
        <w:t>. But doing so would require the approval of at least a majority of Congress, though two-thirds would seem more reasonable given the likelihood of a presidential veto</w:t>
      </w:r>
      <w:r w:rsidRPr="00F94E95">
        <w:rPr>
          <w:sz w:val="16"/>
        </w:rPr>
        <w:t xml:space="preserve">. </w:t>
      </w:r>
      <w:r w:rsidRPr="003843C9">
        <w:rPr>
          <w:rStyle w:val="StyleBoldUnderline"/>
          <w:highlight w:val="cyan"/>
        </w:rPr>
        <w:t>Requiring such an overwhelming level of congressional support and unity to act is irrational and unreasonable</w:t>
      </w:r>
      <w:r w:rsidRPr="003843C9">
        <w:rPr>
          <w:sz w:val="16"/>
          <w:highlight w:val="cyan"/>
        </w:rPr>
        <w:t>,</w:t>
      </w:r>
      <w:r w:rsidRPr="00F94E95">
        <w:rPr>
          <w:sz w:val="16"/>
        </w:rPr>
        <w:t xml:space="preserve"> especially after considering the ways in which most Congresses have failed to act on prior occasions.  Given this high burden placed on any Congress, even one with majority control, the judiciary must play some role when a President violates </w:t>
      </w:r>
      <w:proofErr w:type="gramStart"/>
      <w:r w:rsidRPr="00F94E95">
        <w:rPr>
          <w:sz w:val="16"/>
        </w:rPr>
        <w:t>the  WPR</w:t>
      </w:r>
      <w:proofErr w:type="gramEnd"/>
      <w:r w:rsidRPr="00F94E95">
        <w:rPr>
          <w:sz w:val="16"/>
        </w:rPr>
        <w:t xml:space="preserve">. Though the pragmatic issues around judicial intervention require some recognition, they are, in some respect, the lesser of two evils.  But beyond the technical barriers courts impose (and the practical reasons behind them), their consistent refusal to reach the merits  in WPR cases is more fundamentally problematic given the ways in  which early U.S. courts handled cases involving unilateral presidential  action.  One case in particular illustrates the conflict between the historical and contemporary judicial handling of military cases.  Little v. </w:t>
      </w:r>
      <w:proofErr w:type="spellStart"/>
      <w:r w:rsidRPr="00F94E95">
        <w:rPr>
          <w:sz w:val="16"/>
        </w:rPr>
        <w:t>Barreme</w:t>
      </w:r>
      <w:proofErr w:type="spellEnd"/>
      <w:r w:rsidRPr="00F94E95">
        <w:rPr>
          <w:sz w:val="16"/>
        </w:rPr>
        <w:t xml:space="preserve"> involved the U.S. seizure of a Danish ship sailing from a French port pursuant to direct orders from President John </w:t>
      </w:r>
      <w:proofErr w:type="gramStart"/>
      <w:r w:rsidRPr="00F94E95">
        <w:rPr>
          <w:sz w:val="16"/>
        </w:rPr>
        <w:t>Adams  that</w:t>
      </w:r>
      <w:proofErr w:type="gramEnd"/>
      <w:r w:rsidRPr="00F94E95">
        <w:rPr>
          <w:sz w:val="16"/>
        </w:rPr>
        <w:t xml:space="preserve"> ran contrary to congressional authorization.  In concluding </w:t>
      </w:r>
      <w:proofErr w:type="gramStart"/>
      <w:r w:rsidRPr="00F94E95">
        <w:rPr>
          <w:sz w:val="16"/>
        </w:rPr>
        <w:t>that  the</w:t>
      </w:r>
      <w:proofErr w:type="gramEnd"/>
      <w:r w:rsidRPr="00F94E95">
        <w:rPr>
          <w:sz w:val="16"/>
        </w:rPr>
        <w:t xml:space="preserve"> captain of the U.S. vessel could be held personally liable for damages,  Chief Justice John Marshall (on behalf of a unanimous court)  held that the President could not circumvent congressional authority,  thereby creating a framework wherein “congressional policy announced in a statute necessarily prevails over inconsistent presidential  orders and military actions.”  Perhaps most notably, Chief Justice Marshall never even considered the political question doctrine or any other judicial avoidance tool in reaching this conclusion.  Thus, </w:t>
      </w:r>
      <w:proofErr w:type="gramStart"/>
      <w:r w:rsidRPr="00F94E95">
        <w:rPr>
          <w:sz w:val="16"/>
        </w:rPr>
        <w:t>Little</w:t>
      </w:r>
      <w:proofErr w:type="gramEnd"/>
      <w:r w:rsidRPr="00F94E95">
        <w:rPr>
          <w:sz w:val="16"/>
        </w:rPr>
        <w:t xml:space="preserve"> seemingly stands for the proposition that the prevention of unilateral presidential action is not merely an issue of public policy, but rather part of the structure of the courts’ constitutional power. Consequently, per Little, judicial intervention into military affairs </w:t>
      </w:r>
      <w:proofErr w:type="gramStart"/>
      <w:r w:rsidRPr="00F94E95">
        <w:rPr>
          <w:sz w:val="16"/>
        </w:rPr>
        <w:t>should  not</w:t>
      </w:r>
      <w:proofErr w:type="gramEnd"/>
      <w:r w:rsidRPr="00F94E95">
        <w:rPr>
          <w:sz w:val="16"/>
        </w:rPr>
        <w:t xml:space="preserve">  be problematic.  But </w:t>
      </w:r>
      <w:r w:rsidRPr="00F94E95">
        <w:rPr>
          <w:rStyle w:val="StyleBoldUnderline"/>
        </w:rPr>
        <w:t xml:space="preserve">we have clearly shifted toward a new judicial framework that does not assert the type of judicial authority Chief Justice </w:t>
      </w:r>
      <w:proofErr w:type="gramStart"/>
      <w:r w:rsidRPr="00F94E95">
        <w:rPr>
          <w:rStyle w:val="StyleBoldUnderline"/>
        </w:rPr>
        <w:t>Marshall  contemplated</w:t>
      </w:r>
      <w:proofErr w:type="gramEnd"/>
      <w:r w:rsidRPr="00F94E95">
        <w:rPr>
          <w:rStyle w:val="StyleBoldUnderline"/>
        </w:rPr>
        <w:t>. The result is that</w:t>
      </w:r>
      <w:r>
        <w:rPr>
          <w:rStyle w:val="StyleBoldUnderline"/>
        </w:rPr>
        <w:t xml:space="preserve"> all members of Congress who at</w:t>
      </w:r>
      <w:r w:rsidRPr="00F94E95">
        <w:rPr>
          <w:rStyle w:val="StyleBoldUnderline"/>
        </w:rPr>
        <w:t xml:space="preserve">tempt to challenge presidential military action fail, casting into </w:t>
      </w:r>
      <w:proofErr w:type="gramStart"/>
      <w:r w:rsidRPr="00F94E95">
        <w:rPr>
          <w:rStyle w:val="StyleBoldUnderline"/>
        </w:rPr>
        <w:t>doubt  the</w:t>
      </w:r>
      <w:proofErr w:type="gramEnd"/>
      <w:r w:rsidRPr="00F94E95">
        <w:rPr>
          <w:rStyle w:val="StyleBoldUnderline"/>
        </w:rPr>
        <w:t xml:space="preserve"> future of WPR suits. </w:t>
      </w:r>
      <w:r w:rsidRPr="00F94E95">
        <w:rPr>
          <w:sz w:val="16"/>
        </w:rPr>
        <w:t xml:space="preserve"> C. Congress </w:t>
      </w:r>
      <w:proofErr w:type="gramStart"/>
      <w:r w:rsidRPr="00F94E95">
        <w:rPr>
          <w:sz w:val="16"/>
        </w:rPr>
        <w:t>Under</w:t>
      </w:r>
      <w:proofErr w:type="gramEnd"/>
      <w:r w:rsidRPr="00F94E95">
        <w:rPr>
          <w:sz w:val="16"/>
        </w:rPr>
        <w:t xml:space="preserve"> the WPR Of course, despite these various suits, Congress has received much of the blame for the WPR’s treatment and failures. For example, Congress has been criticized for doing little to enforce the WPR  in using other Article I tools, such as the “power of the purse,”  or by  closing the loopholes frequently used by presidents to avoid the WPR  in the first place.  Furthermore, </w:t>
      </w:r>
      <w:r w:rsidRPr="00F94E95">
        <w:rPr>
          <w:rStyle w:val="StyleBoldUnderline"/>
        </w:rPr>
        <w:t xml:space="preserve">in those situations where Congress has decided to act, it has done so in such a disjointed manner as to render any possible check on the </w:t>
      </w:r>
      <w:r w:rsidRPr="00F94E95">
        <w:rPr>
          <w:rStyle w:val="StyleBoldUnderline"/>
        </w:rPr>
        <w:lastRenderedPageBreak/>
        <w:t>President useless</w:t>
      </w:r>
      <w:r w:rsidRPr="00F94E95">
        <w:rPr>
          <w:sz w:val="16"/>
        </w:rPr>
        <w:t xml:space="preserve">. For example, </w:t>
      </w:r>
      <w:r w:rsidRPr="00F94E95">
        <w:rPr>
          <w:rStyle w:val="StyleBoldUnderline"/>
        </w:rPr>
        <w:t>during</w:t>
      </w:r>
      <w:r w:rsidRPr="00F94E95">
        <w:rPr>
          <w:sz w:val="16"/>
        </w:rPr>
        <w:t xml:space="preserve"> President </w:t>
      </w:r>
      <w:r w:rsidRPr="00F94E95">
        <w:rPr>
          <w:rStyle w:val="StyleBoldUnderline"/>
        </w:rPr>
        <w:t>Reagan’s</w:t>
      </w:r>
      <w:r w:rsidRPr="00F94E95">
        <w:rPr>
          <w:sz w:val="16"/>
        </w:rPr>
        <w:t xml:space="preserve"> </w:t>
      </w:r>
      <w:r w:rsidRPr="00F94E95">
        <w:rPr>
          <w:rStyle w:val="StyleBoldUnderline"/>
        </w:rPr>
        <w:t>invasion of Grenada, Congress failed to reach  an agreement to declare the WPR’s sixty-day clock operative,  and  later faced similar “deadlock” in decid</w:t>
      </w:r>
      <w:r>
        <w:rPr>
          <w:rStyle w:val="StyleBoldUnderline"/>
        </w:rPr>
        <w:t>ing how best to respond to Pres</w:t>
      </w:r>
      <w:r w:rsidRPr="00F94E95">
        <w:rPr>
          <w:rStyle w:val="StyleBoldUnderline"/>
        </w:rPr>
        <w:t>ident Reagan’s actions in the Persian Gulf, eventually settling for a bill  that reflected congressional “ambivalence.”</w:t>
      </w:r>
      <w:r w:rsidRPr="00F94E95">
        <w:rPr>
          <w:sz w:val="16"/>
        </w:rPr>
        <w:t xml:space="preserve">  Thus, </w:t>
      </w:r>
      <w:r w:rsidRPr="00F94E95">
        <w:rPr>
          <w:rStyle w:val="StyleBoldUnderline"/>
        </w:rPr>
        <w:t>between the lack of a “backbone” to check rogue preside</w:t>
      </w:r>
      <w:r>
        <w:rPr>
          <w:rStyle w:val="StyleBoldUnderline"/>
        </w:rPr>
        <w:t>ntial action and general inepti</w:t>
      </w:r>
      <w:r w:rsidRPr="00F94E95">
        <w:rPr>
          <w:rStyle w:val="StyleBoldUnderline"/>
        </w:rPr>
        <w:t>tude when it actually decides to act</w:t>
      </w:r>
      <w:proofErr w:type="gramStart"/>
      <w:r w:rsidRPr="00F94E95">
        <w:rPr>
          <w:rStyle w:val="StyleBoldUnderline"/>
        </w:rPr>
        <w:t>,  Congress</w:t>
      </w:r>
      <w:proofErr w:type="gramEnd"/>
      <w:r w:rsidRPr="00F94E95">
        <w:rPr>
          <w:rStyle w:val="StyleBoldUnderline"/>
        </w:rPr>
        <w:t xml:space="preserve"> has demonstrated its  inability to remedy WPR violations. </w:t>
      </w:r>
      <w:r w:rsidRPr="00F94E95">
        <w:rPr>
          <w:sz w:val="16"/>
        </w:rPr>
        <w:t xml:space="preserve"> Worse yet, </w:t>
      </w:r>
      <w:r w:rsidRPr="00F94E95">
        <w:rPr>
          <w:rStyle w:val="StyleBoldUnderline"/>
        </w:rPr>
        <w:t xml:space="preserve">much of Congress’s interest in the WPR is </w:t>
      </w:r>
      <w:proofErr w:type="gramStart"/>
      <w:r w:rsidRPr="00F94E95">
        <w:rPr>
          <w:rStyle w:val="StyleBoldUnderline"/>
        </w:rPr>
        <w:t>politically  motivated</w:t>
      </w:r>
      <w:proofErr w:type="gramEnd"/>
      <w:r w:rsidRPr="00F94E95">
        <w:rPr>
          <w:rStyle w:val="StyleBoldUnderline"/>
        </w:rPr>
        <w:t>, leading to inconsistent review of presidential military decisions filled with post-hoc rationalizations</w:t>
      </w:r>
      <w:r w:rsidRPr="00F94E95">
        <w:rPr>
          <w:sz w:val="16"/>
        </w:rPr>
        <w:t xml:space="preserve">. </w:t>
      </w:r>
      <w:r w:rsidRPr="00F94E95">
        <w:rPr>
          <w:rStyle w:val="StyleBoldUnderline"/>
        </w:rPr>
        <w:t>Given the political risk associated with wartime decisions</w:t>
      </w:r>
      <w:proofErr w:type="gramStart"/>
      <w:r w:rsidRPr="00F94E95">
        <w:rPr>
          <w:rStyle w:val="StyleBoldUnderline"/>
        </w:rPr>
        <w:t>,  Congress</w:t>
      </w:r>
      <w:proofErr w:type="gramEnd"/>
      <w:r w:rsidRPr="00F94E95">
        <w:rPr>
          <w:rStyle w:val="StyleBoldUnderline"/>
        </w:rPr>
        <w:t xml:space="preserve"> lacks any incentive to act  unless and until it can gauge public reaction—a process that often  occurs after the fact.</w:t>
      </w:r>
      <w:r w:rsidRPr="00F94E95">
        <w:rPr>
          <w:sz w:val="16"/>
        </w:rPr>
        <w:t xml:space="preserve">  As a result, missions deemed successful by the public will rarely provoke “serious congressional concern” about presidential compliance with the WPR, while failures will draw scrutiny.  For example, in the case of the Mayaguez, “liberals in the </w:t>
      </w:r>
      <w:proofErr w:type="gramStart"/>
      <w:r w:rsidRPr="00F94E95">
        <w:rPr>
          <w:sz w:val="16"/>
        </w:rPr>
        <w:t>Congress  generally</w:t>
      </w:r>
      <w:proofErr w:type="gramEnd"/>
      <w:r w:rsidRPr="00F94E95">
        <w:rPr>
          <w:sz w:val="16"/>
        </w:rPr>
        <w:t xml:space="preserve"> praised [President Gerald Ford’s] performance” despite the  constitutional questions surrounding the conflict, simply because the  public deemed it a success.  Thus, </w:t>
      </w:r>
      <w:r w:rsidRPr="003843C9">
        <w:rPr>
          <w:rStyle w:val="StyleBoldUnderline"/>
          <w:highlight w:val="cyan"/>
        </w:rPr>
        <w:t>even if Congress was effective at checking potentially unconstitutional presidential action, it would only act when politically safe to do so</w:t>
      </w:r>
      <w:r w:rsidRPr="00F94E95">
        <w:rPr>
          <w:sz w:val="16"/>
        </w:rPr>
        <w:t xml:space="preserve">. This result should be unsurprising: making a wartime decision provides little advantage for politicians, especially if the resulting action succeeds.  Consequently, </w:t>
      </w:r>
      <w:r w:rsidRPr="003843C9">
        <w:rPr>
          <w:rStyle w:val="StyleBoldUnderline"/>
          <w:highlight w:val="cyan"/>
        </w:rPr>
        <w:t>Congress itself has taken a role in the continued disregard for WPR enforcement</w:t>
      </w:r>
      <w:r w:rsidRPr="003843C9">
        <w:rPr>
          <w:sz w:val="16"/>
          <w:highlight w:val="cyan"/>
        </w:rPr>
        <w:t xml:space="preserve">.  </w:t>
      </w:r>
      <w:r w:rsidRPr="003843C9">
        <w:rPr>
          <w:rStyle w:val="StyleBoldUnderline"/>
          <w:highlight w:val="cyan"/>
        </w:rPr>
        <w:t>The current WPR framework is broken: presidents avoid it, courts will not rule on it, and Congress will not enforce it</w:t>
      </w:r>
      <w:r w:rsidRPr="00F94E95">
        <w:rPr>
          <w:rStyle w:val="StyleBoldUnderline"/>
        </w:rPr>
        <w:t>. This cycle has culminated in President Obama’s recent use of force in Libya, which created little, if any, controversy</w:t>
      </w:r>
      <w:r w:rsidRPr="00F94E95">
        <w:rPr>
          <w:sz w:val="16"/>
        </w:rPr>
        <w:t xml:space="preserve">, </w:t>
      </w:r>
      <w:r w:rsidRPr="00F94E95">
        <w:rPr>
          <w:rStyle w:val="StyleBoldUnderline"/>
        </w:rPr>
        <w:t xml:space="preserve">and it provides a clear pass to future presidents, judges, and congresspersons looking to continue </w:t>
      </w:r>
      <w:proofErr w:type="gramStart"/>
      <w:r w:rsidRPr="00F94E95">
        <w:rPr>
          <w:rStyle w:val="StyleBoldUnderline"/>
        </w:rPr>
        <w:t>the  system</w:t>
      </w:r>
      <w:proofErr w:type="gramEnd"/>
      <w:r w:rsidRPr="00F94E95">
        <w:rPr>
          <w:rStyle w:val="StyleBoldUnderline"/>
        </w:rPr>
        <w:t xml:space="preserve"> of passivity and deferment.</w:t>
      </w:r>
    </w:p>
    <w:p w:rsidR="00FA45DB" w:rsidRPr="00B10EC4" w:rsidRDefault="00FA45DB" w:rsidP="00B10EC4"/>
    <w:sectPr w:rsidR="00FA45DB" w:rsidRPr="00B10EC4" w:rsidSect="00AD0D7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D83" w:rsidRDefault="009E4D83" w:rsidP="005F5576">
      <w:r>
        <w:separator/>
      </w:r>
    </w:p>
  </w:endnote>
  <w:endnote w:type="continuationSeparator" w:id="0">
    <w:p w:rsidR="009E4D83" w:rsidRDefault="009E4D8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D83" w:rsidRDefault="009E4D83" w:rsidP="005F5576">
      <w:r>
        <w:separator/>
      </w:r>
    </w:p>
  </w:footnote>
  <w:footnote w:type="continuationSeparator" w:id="0">
    <w:p w:rsidR="009E4D83" w:rsidRDefault="009E4D8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0D73" w:rsidRPr="00AD0D73" w:rsidRDefault="00AD0D73">
    <w:pPr>
      <w:pStyle w:val="Header"/>
      <w:rPr>
        <w:b/>
        <w:sz w:val="24"/>
        <w:szCs w:val="24"/>
      </w:rPr>
    </w:pPr>
    <w:r w:rsidRPr="00AD0D73">
      <w:rPr>
        <w:b/>
        <w:sz w:val="24"/>
        <w:szCs w:val="24"/>
      </w:rPr>
      <w:t>GMU Debate</w:t>
    </w:r>
  </w:p>
  <w:p w:rsidR="00AD0D73" w:rsidRPr="00AD0D73" w:rsidRDefault="00AD0D73">
    <w:pPr>
      <w:pStyle w:val="Header"/>
      <w:rPr>
        <w:b/>
        <w:sz w:val="24"/>
        <w:szCs w:val="24"/>
      </w:rPr>
    </w:pPr>
    <w:r w:rsidRPr="00AD0D73">
      <w:rPr>
        <w:b/>
        <w:sz w:val="24"/>
        <w:szCs w:val="24"/>
      </w:rPr>
      <w:t>[File Name]</w:t>
    </w:r>
    <w:r w:rsidRPr="00AD0D73">
      <w:rPr>
        <w:b/>
        <w:sz w:val="24"/>
        <w:szCs w:val="24"/>
      </w:rPr>
      <w:ptab w:relativeTo="margin" w:alignment="center" w:leader="none"/>
    </w:r>
    <w:r w:rsidRPr="00AD0D73">
      <w:rPr>
        <w:b/>
        <w:sz w:val="24"/>
        <w:szCs w:val="24"/>
      </w:rPr>
      <w:ptab w:relativeTo="margin" w:alignment="right" w:leader="none"/>
    </w:r>
    <w:r w:rsidRPr="00AD0D73">
      <w:rPr>
        <w:b/>
        <w:sz w:val="24"/>
        <w:szCs w:val="24"/>
      </w:rPr>
      <w:t>Colin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94"/>
    <w:rsid w:val="000022F2"/>
    <w:rsid w:val="0000459F"/>
    <w:rsid w:val="00004EB4"/>
    <w:rsid w:val="0002196C"/>
    <w:rsid w:val="00021F29"/>
    <w:rsid w:val="00027EED"/>
    <w:rsid w:val="0003041D"/>
    <w:rsid w:val="00033028"/>
    <w:rsid w:val="00034C40"/>
    <w:rsid w:val="000360A7"/>
    <w:rsid w:val="00041235"/>
    <w:rsid w:val="00052A1D"/>
    <w:rsid w:val="00055E12"/>
    <w:rsid w:val="000621B4"/>
    <w:rsid w:val="00064A59"/>
    <w:rsid w:val="00065874"/>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5674"/>
    <w:rsid w:val="00177828"/>
    <w:rsid w:val="00177A1E"/>
    <w:rsid w:val="00182D51"/>
    <w:rsid w:val="0018565A"/>
    <w:rsid w:val="0019587B"/>
    <w:rsid w:val="001A4F0E"/>
    <w:rsid w:val="001B0A04"/>
    <w:rsid w:val="001B3CEC"/>
    <w:rsid w:val="001C1D82"/>
    <w:rsid w:val="001C2147"/>
    <w:rsid w:val="001C587E"/>
    <w:rsid w:val="001C7C90"/>
    <w:rsid w:val="001D0D51"/>
    <w:rsid w:val="001E148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23F"/>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17F"/>
    <w:rsid w:val="005C7E5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294"/>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1A0"/>
    <w:rsid w:val="0094025E"/>
    <w:rsid w:val="0094256C"/>
    <w:rsid w:val="00953F11"/>
    <w:rsid w:val="009706C1"/>
    <w:rsid w:val="00976675"/>
    <w:rsid w:val="00976FBF"/>
    <w:rsid w:val="00984B38"/>
    <w:rsid w:val="009A0636"/>
    <w:rsid w:val="009A6FF5"/>
    <w:rsid w:val="009B2B47"/>
    <w:rsid w:val="009B35DB"/>
    <w:rsid w:val="009C4298"/>
    <w:rsid w:val="009D318C"/>
    <w:rsid w:val="009E4D8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0D73"/>
    <w:rsid w:val="00AD3CE6"/>
    <w:rsid w:val="00AE1307"/>
    <w:rsid w:val="00AE7586"/>
    <w:rsid w:val="00AF7A65"/>
    <w:rsid w:val="00B06710"/>
    <w:rsid w:val="00B07EBF"/>
    <w:rsid w:val="00B10EC4"/>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26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70D"/>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5DB"/>
    <w:rsid w:val="00FB4261"/>
    <w:rsid w:val="00FB43B1"/>
    <w:rsid w:val="00FC0608"/>
    <w:rsid w:val="00FC2155"/>
    <w:rsid w:val="00FC41A7"/>
    <w:rsid w:val="00FC784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4294"/>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AD0D7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AD0D73"/>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D832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 Ch,Heading 2 Char1 Char Char,Heading 2 Char Char Char Char,TAG"/>
    <w:basedOn w:val="Normal"/>
    <w:next w:val="Normal"/>
    <w:link w:val="Heading4Char"/>
    <w:uiPriority w:val="4"/>
    <w:qFormat/>
    <w:rsid w:val="00D83265"/>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D0D7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AD0D73"/>
    <w:rPr>
      <w:rFonts w:ascii="Times New Roman" w:eastAsiaTheme="majorEastAsia" w:hAnsi="Times New Roman" w:cstheme="majorBidi"/>
      <w:b/>
      <w:bCs/>
      <w:sz w:val="32"/>
      <w:szCs w:val="26"/>
      <w:u w:val="single"/>
    </w:rPr>
  </w:style>
  <w:style w:type="character" w:styleId="Emphasis">
    <w:name w:val="Emphasis"/>
    <w:basedOn w:val="DefaultParagraphFont"/>
    <w:uiPriority w:val="7"/>
    <w:qFormat/>
    <w:rsid w:val="00AD0D73"/>
    <w:rPr>
      <w:rFonts w:ascii="Times New Roman" w:hAnsi="Times New Roman" w:cs="Calibri"/>
      <w:b/>
      <w:i w:val="0"/>
      <w:iCs/>
      <w:sz w:val="20"/>
      <w:u w:val="single"/>
      <w:bdr w:val="none" w:sz="0" w:space="0" w:color="auto"/>
    </w:rPr>
  </w:style>
  <w:style w:type="character" w:customStyle="1" w:styleId="StyleBold">
    <w:name w:val="Style Bold"/>
    <w:basedOn w:val="DefaultParagraphFont"/>
    <w:uiPriority w:val="9"/>
    <w:semiHidden/>
    <w:rsid w:val="00D83265"/>
    <w:rPr>
      <w:b/>
      <w:bCs/>
    </w:rPr>
  </w:style>
  <w:style w:type="character" w:customStyle="1" w:styleId="Heading3Char">
    <w:name w:val="Heading 3 Char"/>
    <w:aliases w:val="Block Char"/>
    <w:basedOn w:val="DefaultParagraphFont"/>
    <w:link w:val="Heading3"/>
    <w:uiPriority w:val="3"/>
    <w:rsid w:val="00D8326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AD0D7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3265"/>
    <w:rPr>
      <w:rFonts w:ascii="Times New Roman" w:hAnsi="Times New Roman"/>
      <w:b/>
      <w:bCs/>
      <w:sz w:val="26"/>
      <w:u w:val="none"/>
    </w:rPr>
  </w:style>
  <w:style w:type="paragraph" w:styleId="Header">
    <w:name w:val="header"/>
    <w:basedOn w:val="Normal"/>
    <w:link w:val="HeaderChar"/>
    <w:uiPriority w:val="99"/>
    <w:semiHidden/>
    <w:rsid w:val="00D83265"/>
    <w:pPr>
      <w:tabs>
        <w:tab w:val="center" w:pos="4680"/>
        <w:tab w:val="right" w:pos="9360"/>
      </w:tabs>
    </w:pPr>
  </w:style>
  <w:style w:type="character" w:customStyle="1" w:styleId="HeaderChar">
    <w:name w:val="Header Char"/>
    <w:basedOn w:val="DefaultParagraphFont"/>
    <w:link w:val="Header"/>
    <w:uiPriority w:val="99"/>
    <w:semiHidden/>
    <w:rsid w:val="00D83265"/>
    <w:rPr>
      <w:rFonts w:ascii="Calibri" w:hAnsi="Calibri" w:cs="Calibri"/>
    </w:rPr>
  </w:style>
  <w:style w:type="paragraph" w:styleId="Footer">
    <w:name w:val="footer"/>
    <w:basedOn w:val="Normal"/>
    <w:link w:val="FooterChar"/>
    <w:uiPriority w:val="99"/>
    <w:semiHidden/>
    <w:rsid w:val="00D83265"/>
    <w:pPr>
      <w:tabs>
        <w:tab w:val="center" w:pos="4680"/>
        <w:tab w:val="right" w:pos="9360"/>
      </w:tabs>
    </w:pPr>
  </w:style>
  <w:style w:type="character" w:customStyle="1" w:styleId="FooterChar">
    <w:name w:val="Footer Char"/>
    <w:basedOn w:val="DefaultParagraphFont"/>
    <w:link w:val="Footer"/>
    <w:uiPriority w:val="99"/>
    <w:semiHidden/>
    <w:rsid w:val="00D83265"/>
    <w:rPr>
      <w:rFonts w:ascii="Calibri" w:hAnsi="Calibri" w:cs="Calibri"/>
    </w:rPr>
  </w:style>
  <w:style w:type="character" w:styleId="Hyperlink">
    <w:name w:val="Hyperlink"/>
    <w:basedOn w:val="DefaultParagraphFont"/>
    <w:uiPriority w:val="99"/>
    <w:semiHidden/>
    <w:rsid w:val="00D83265"/>
    <w:rPr>
      <w:color w:val="auto"/>
      <w:u w:val="none"/>
    </w:rPr>
  </w:style>
  <w:style w:type="character" w:styleId="FollowedHyperlink">
    <w:name w:val="FollowedHyperlink"/>
    <w:basedOn w:val="DefaultParagraphFont"/>
    <w:uiPriority w:val="99"/>
    <w:semiHidden/>
    <w:rsid w:val="00D83265"/>
    <w:rPr>
      <w:color w:val="auto"/>
      <w:u w:val="none"/>
    </w:rPr>
  </w:style>
  <w:style w:type="character" w:customStyle="1" w:styleId="Heading4Char">
    <w:name w:val="Heading 4 Char"/>
    <w:aliases w:val="Tag Char,heading 2 Char,Heading 2 Char2 Char Char, Ch Char,Heading 2 Char1 Char Char Char,Heading 2 Char Char Char Char Char,TAG Char"/>
    <w:basedOn w:val="DefaultParagraphFont"/>
    <w:link w:val="Heading4"/>
    <w:uiPriority w:val="4"/>
    <w:rsid w:val="00D83265"/>
    <w:rPr>
      <w:rFonts w:ascii="Times New Roman" w:eastAsiaTheme="majorEastAsia" w:hAnsi="Times New Roman" w:cstheme="majorBidi"/>
      <w:b/>
      <w:bCs/>
      <w:iCs/>
      <w:sz w:val="26"/>
    </w:rPr>
  </w:style>
  <w:style w:type="character" w:customStyle="1" w:styleId="Box">
    <w:name w:val="Box"/>
    <w:basedOn w:val="Emphasis"/>
    <w:uiPriority w:val="1"/>
    <w:rsid w:val="00D83265"/>
    <w:rPr>
      <w:rFonts w:ascii="Calibri" w:hAnsi="Calibri" w:cs="Calibri"/>
      <w:b/>
      <w:i w:val="0"/>
      <w:iCs/>
      <w:sz w:val="22"/>
      <w:u w:val="single"/>
      <w:bdr w:val="single" w:sz="8" w:space="0" w:color="auto"/>
    </w:rPr>
  </w:style>
  <w:style w:type="paragraph" w:styleId="BalloonText">
    <w:name w:val="Balloon Text"/>
    <w:basedOn w:val="Normal"/>
    <w:link w:val="BalloonTextChar"/>
    <w:uiPriority w:val="99"/>
    <w:semiHidden/>
    <w:rsid w:val="00AD0D73"/>
    <w:rPr>
      <w:rFonts w:ascii="Tahoma" w:hAnsi="Tahoma" w:cs="Tahoma"/>
      <w:sz w:val="16"/>
      <w:szCs w:val="16"/>
    </w:rPr>
  </w:style>
  <w:style w:type="character" w:customStyle="1" w:styleId="BalloonTextChar">
    <w:name w:val="Balloon Text Char"/>
    <w:basedOn w:val="DefaultParagraphFont"/>
    <w:link w:val="BalloonText"/>
    <w:uiPriority w:val="99"/>
    <w:semiHidden/>
    <w:rsid w:val="00AD0D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44294"/>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AD0D7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AD0D73"/>
    <w:pPr>
      <w:keepNext/>
      <w:keepLines/>
      <w:pageBreakBefore/>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rsid w:val="00D8326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 Ch,Heading 2 Char1 Char Char,Heading 2 Char Char Char Char,TAG"/>
    <w:basedOn w:val="Normal"/>
    <w:next w:val="Normal"/>
    <w:link w:val="Heading4Char"/>
    <w:uiPriority w:val="4"/>
    <w:qFormat/>
    <w:rsid w:val="00D83265"/>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D0D7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AD0D73"/>
    <w:rPr>
      <w:rFonts w:ascii="Times New Roman" w:eastAsiaTheme="majorEastAsia" w:hAnsi="Times New Roman" w:cstheme="majorBidi"/>
      <w:b/>
      <w:bCs/>
      <w:sz w:val="32"/>
      <w:szCs w:val="26"/>
      <w:u w:val="single"/>
    </w:rPr>
  </w:style>
  <w:style w:type="character" w:styleId="Emphasis">
    <w:name w:val="Emphasis"/>
    <w:basedOn w:val="DefaultParagraphFont"/>
    <w:uiPriority w:val="7"/>
    <w:qFormat/>
    <w:rsid w:val="00AD0D73"/>
    <w:rPr>
      <w:rFonts w:ascii="Times New Roman" w:hAnsi="Times New Roman" w:cs="Calibri"/>
      <w:b/>
      <w:i w:val="0"/>
      <w:iCs/>
      <w:sz w:val="20"/>
      <w:u w:val="single"/>
      <w:bdr w:val="none" w:sz="0" w:space="0" w:color="auto"/>
    </w:rPr>
  </w:style>
  <w:style w:type="character" w:customStyle="1" w:styleId="StyleBold">
    <w:name w:val="Style Bold"/>
    <w:basedOn w:val="DefaultParagraphFont"/>
    <w:uiPriority w:val="9"/>
    <w:semiHidden/>
    <w:rsid w:val="00D83265"/>
    <w:rPr>
      <w:b/>
      <w:bCs/>
    </w:rPr>
  </w:style>
  <w:style w:type="character" w:customStyle="1" w:styleId="Heading3Char">
    <w:name w:val="Heading 3 Char"/>
    <w:aliases w:val="Block Char"/>
    <w:basedOn w:val="DefaultParagraphFont"/>
    <w:link w:val="Heading3"/>
    <w:uiPriority w:val="3"/>
    <w:rsid w:val="00D83265"/>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ld"/>
    <w:basedOn w:val="DefaultParagraphFont"/>
    <w:uiPriority w:val="6"/>
    <w:qFormat/>
    <w:rsid w:val="00AD0D7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3265"/>
    <w:rPr>
      <w:rFonts w:ascii="Times New Roman" w:hAnsi="Times New Roman"/>
      <w:b/>
      <w:bCs/>
      <w:sz w:val="26"/>
      <w:u w:val="none"/>
    </w:rPr>
  </w:style>
  <w:style w:type="paragraph" w:styleId="Header">
    <w:name w:val="header"/>
    <w:basedOn w:val="Normal"/>
    <w:link w:val="HeaderChar"/>
    <w:uiPriority w:val="99"/>
    <w:semiHidden/>
    <w:rsid w:val="00D83265"/>
    <w:pPr>
      <w:tabs>
        <w:tab w:val="center" w:pos="4680"/>
        <w:tab w:val="right" w:pos="9360"/>
      </w:tabs>
    </w:pPr>
  </w:style>
  <w:style w:type="character" w:customStyle="1" w:styleId="HeaderChar">
    <w:name w:val="Header Char"/>
    <w:basedOn w:val="DefaultParagraphFont"/>
    <w:link w:val="Header"/>
    <w:uiPriority w:val="99"/>
    <w:semiHidden/>
    <w:rsid w:val="00D83265"/>
    <w:rPr>
      <w:rFonts w:ascii="Calibri" w:hAnsi="Calibri" w:cs="Calibri"/>
    </w:rPr>
  </w:style>
  <w:style w:type="paragraph" w:styleId="Footer">
    <w:name w:val="footer"/>
    <w:basedOn w:val="Normal"/>
    <w:link w:val="FooterChar"/>
    <w:uiPriority w:val="99"/>
    <w:semiHidden/>
    <w:rsid w:val="00D83265"/>
    <w:pPr>
      <w:tabs>
        <w:tab w:val="center" w:pos="4680"/>
        <w:tab w:val="right" w:pos="9360"/>
      </w:tabs>
    </w:pPr>
  </w:style>
  <w:style w:type="character" w:customStyle="1" w:styleId="FooterChar">
    <w:name w:val="Footer Char"/>
    <w:basedOn w:val="DefaultParagraphFont"/>
    <w:link w:val="Footer"/>
    <w:uiPriority w:val="99"/>
    <w:semiHidden/>
    <w:rsid w:val="00D83265"/>
    <w:rPr>
      <w:rFonts w:ascii="Calibri" w:hAnsi="Calibri" w:cs="Calibri"/>
    </w:rPr>
  </w:style>
  <w:style w:type="character" w:styleId="Hyperlink">
    <w:name w:val="Hyperlink"/>
    <w:basedOn w:val="DefaultParagraphFont"/>
    <w:uiPriority w:val="99"/>
    <w:semiHidden/>
    <w:rsid w:val="00D83265"/>
    <w:rPr>
      <w:color w:val="auto"/>
      <w:u w:val="none"/>
    </w:rPr>
  </w:style>
  <w:style w:type="character" w:styleId="FollowedHyperlink">
    <w:name w:val="FollowedHyperlink"/>
    <w:basedOn w:val="DefaultParagraphFont"/>
    <w:uiPriority w:val="99"/>
    <w:semiHidden/>
    <w:rsid w:val="00D83265"/>
    <w:rPr>
      <w:color w:val="auto"/>
      <w:u w:val="none"/>
    </w:rPr>
  </w:style>
  <w:style w:type="character" w:customStyle="1" w:styleId="Heading4Char">
    <w:name w:val="Heading 4 Char"/>
    <w:aliases w:val="Tag Char,heading 2 Char,Heading 2 Char2 Char Char, Ch Char,Heading 2 Char1 Char Char Char,Heading 2 Char Char Char Char Char,TAG Char"/>
    <w:basedOn w:val="DefaultParagraphFont"/>
    <w:link w:val="Heading4"/>
    <w:uiPriority w:val="4"/>
    <w:rsid w:val="00D83265"/>
    <w:rPr>
      <w:rFonts w:ascii="Times New Roman" w:eastAsiaTheme="majorEastAsia" w:hAnsi="Times New Roman" w:cstheme="majorBidi"/>
      <w:b/>
      <w:bCs/>
      <w:iCs/>
      <w:sz w:val="26"/>
    </w:rPr>
  </w:style>
  <w:style w:type="character" w:customStyle="1" w:styleId="Box">
    <w:name w:val="Box"/>
    <w:basedOn w:val="Emphasis"/>
    <w:uiPriority w:val="1"/>
    <w:rsid w:val="00D83265"/>
    <w:rPr>
      <w:rFonts w:ascii="Calibri" w:hAnsi="Calibri" w:cs="Calibri"/>
      <w:b/>
      <w:i w:val="0"/>
      <w:iCs/>
      <w:sz w:val="22"/>
      <w:u w:val="single"/>
      <w:bdr w:val="single" w:sz="8" w:space="0" w:color="auto"/>
    </w:rPr>
  </w:style>
  <w:style w:type="paragraph" w:styleId="BalloonText">
    <w:name w:val="Balloon Text"/>
    <w:basedOn w:val="Normal"/>
    <w:link w:val="BalloonTextChar"/>
    <w:uiPriority w:val="99"/>
    <w:semiHidden/>
    <w:rsid w:val="00AD0D73"/>
    <w:rPr>
      <w:rFonts w:ascii="Tahoma" w:hAnsi="Tahoma" w:cs="Tahoma"/>
      <w:sz w:val="16"/>
      <w:szCs w:val="16"/>
    </w:rPr>
  </w:style>
  <w:style w:type="character" w:customStyle="1" w:styleId="BalloonTextChar">
    <w:name w:val="Balloon Text Char"/>
    <w:basedOn w:val="DefaultParagraphFont"/>
    <w:link w:val="BalloonText"/>
    <w:uiPriority w:val="99"/>
    <w:semiHidden/>
    <w:rsid w:val="00AD0D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Team 2012</dc:creator>
  <cp:lastModifiedBy>Colin, Team 2012</cp:lastModifiedBy>
  <cp:revision>1</cp:revision>
  <dcterms:created xsi:type="dcterms:W3CDTF">2013-09-26T22:56:00Z</dcterms:created>
  <dcterms:modified xsi:type="dcterms:W3CDTF">2013-09-26T22:57:00Z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