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A8" w:rsidRPr="000D48C4" w:rsidRDefault="00713CA8" w:rsidP="00713CA8">
      <w:pPr>
        <w:pStyle w:val="Heading2"/>
        <w:rPr>
          <w:sz w:val="24"/>
        </w:rPr>
      </w:pPr>
      <w:r w:rsidRPr="000D48C4">
        <w:rPr>
          <w:sz w:val="24"/>
        </w:rPr>
        <w:t>Framework</w:t>
      </w:r>
    </w:p>
    <w:p w:rsidR="00713CA8" w:rsidRPr="000D48C4" w:rsidRDefault="00713CA8" w:rsidP="00713CA8">
      <w:pPr>
        <w:pStyle w:val="Heading4"/>
      </w:pPr>
      <w:r w:rsidRPr="000D48C4">
        <w:t>The role of the ballot is to answer the resolutional question- The aff’s failure to advance a topical defense of federal policy undermines debate’s potential</w:t>
      </w:r>
    </w:p>
    <w:p w:rsidR="00713CA8" w:rsidRPr="000D48C4" w:rsidRDefault="00713CA8" w:rsidP="00713CA8">
      <w:pPr>
        <w:rPr>
          <w:sz w:val="24"/>
        </w:rPr>
      </w:pPr>
    </w:p>
    <w:p w:rsidR="00713CA8" w:rsidRPr="000D48C4" w:rsidRDefault="00713CA8" w:rsidP="00713CA8">
      <w:pPr>
        <w:pStyle w:val="Heading4"/>
      </w:pPr>
      <w:r w:rsidRPr="000D48C4">
        <w:t xml:space="preserve">Our interpretation is grammatically correct </w:t>
      </w:r>
    </w:p>
    <w:p w:rsidR="00713CA8" w:rsidRPr="000D48C4" w:rsidRDefault="00713CA8" w:rsidP="00713CA8">
      <w:pPr>
        <w:rPr>
          <w:sz w:val="24"/>
        </w:rPr>
      </w:pPr>
      <w:r w:rsidRPr="000D48C4">
        <w:rPr>
          <w:rStyle w:val="StyleStyleBold12pt"/>
        </w:rPr>
        <w:t>Ericson 3</w:t>
      </w:r>
      <w:r w:rsidRPr="000D48C4">
        <w:rPr>
          <w:sz w:val="24"/>
        </w:rPr>
        <w:t xml:space="preserve"> Jon M., Dean Emeritus of the College of Liberal Arts – California Polytechnic U., et al., The Debater’s Guide, Third Edition, p. 4</w:t>
      </w:r>
    </w:p>
    <w:p w:rsidR="00713CA8" w:rsidRPr="000D48C4" w:rsidRDefault="00713CA8" w:rsidP="00713CA8">
      <w:pPr>
        <w:rPr>
          <w:sz w:val="24"/>
        </w:rPr>
      </w:pPr>
    </w:p>
    <w:p w:rsidR="00713CA8" w:rsidRPr="000D48C4" w:rsidRDefault="00713CA8" w:rsidP="00713CA8">
      <w:pPr>
        <w:rPr>
          <w:sz w:val="24"/>
        </w:rPr>
      </w:pPr>
      <w:r w:rsidRPr="000D48C4">
        <w:rPr>
          <w:sz w:val="24"/>
        </w:rPr>
        <w:t xml:space="preserve">The </w:t>
      </w:r>
      <w:r w:rsidRPr="000D48C4">
        <w:rPr>
          <w:rStyle w:val="StyleBoldUnderline"/>
          <w:sz w:val="24"/>
        </w:rPr>
        <w:t>Proposition of Policy: … action that you propose</w:t>
      </w:r>
      <w:r w:rsidRPr="000D48C4">
        <w:rPr>
          <w:sz w:val="24"/>
        </w:rPr>
        <w:t xml:space="preserve">. </w:t>
      </w:r>
    </w:p>
    <w:p w:rsidR="00713CA8" w:rsidRPr="000D48C4" w:rsidRDefault="00713CA8" w:rsidP="00713CA8">
      <w:pPr>
        <w:rPr>
          <w:sz w:val="24"/>
        </w:rPr>
      </w:pPr>
    </w:p>
    <w:p w:rsidR="00713CA8" w:rsidRPr="000D48C4" w:rsidRDefault="00713CA8" w:rsidP="00713CA8">
      <w:pPr>
        <w:pStyle w:val="Heading4"/>
      </w:pPr>
      <w:r w:rsidRPr="000D48C4">
        <w:t>A limited topic of discussion is key to decision-making and advocacy skills- this still provides room for creativity, but targets the discussion</w:t>
      </w:r>
    </w:p>
    <w:p w:rsidR="00713CA8" w:rsidRPr="000D48C4" w:rsidRDefault="00713CA8" w:rsidP="00713CA8">
      <w:pPr>
        <w:rPr>
          <w:sz w:val="24"/>
        </w:rPr>
      </w:pPr>
      <w:r w:rsidRPr="000D48C4">
        <w:rPr>
          <w:rStyle w:val="StyleStyleBold12pt"/>
        </w:rPr>
        <w:t>Steinberg &amp; Freeley 8</w:t>
      </w:r>
      <w:r w:rsidRPr="000D48C4">
        <w:rPr>
          <w:sz w:val="24"/>
        </w:rPr>
        <w:t xml:space="preserve"> Austin J. Freeley is a Boston based attorney who focuses on criminal, personal injury and civil rights law, AND David L. Steinberg, Lecturer of Communication Studies @ U Miami, Argumentation and Debate: Critical Thinking for Reasoned Decision Making pp45</w:t>
      </w:r>
    </w:p>
    <w:p w:rsidR="00713CA8" w:rsidRPr="000D48C4" w:rsidRDefault="00713CA8" w:rsidP="00713CA8">
      <w:pPr>
        <w:rPr>
          <w:sz w:val="24"/>
        </w:rPr>
      </w:pPr>
    </w:p>
    <w:p w:rsidR="00713CA8" w:rsidRPr="000D48C4" w:rsidRDefault="00713CA8" w:rsidP="00713CA8">
      <w:pPr>
        <w:rPr>
          <w:sz w:val="24"/>
        </w:rPr>
      </w:pPr>
      <w:r w:rsidRPr="000D48C4">
        <w:rPr>
          <w:rStyle w:val="StyleBoldUnderline"/>
          <w:sz w:val="24"/>
        </w:rPr>
        <w:t xml:space="preserve">Debate is a means of </w:t>
      </w:r>
      <w:r w:rsidRPr="000D48C4">
        <w:rPr>
          <w:rStyle w:val="Box"/>
          <w:sz w:val="24"/>
        </w:rPr>
        <w:t>…</w:t>
      </w:r>
      <w:r w:rsidRPr="000D48C4">
        <w:rPr>
          <w:sz w:val="24"/>
        </w:rPr>
        <w:t>outlined in the following discussion.</w:t>
      </w:r>
    </w:p>
    <w:p w:rsidR="00713CA8" w:rsidRPr="000D48C4" w:rsidRDefault="00713CA8" w:rsidP="00713CA8">
      <w:pPr>
        <w:rPr>
          <w:sz w:val="24"/>
        </w:rPr>
      </w:pPr>
    </w:p>
    <w:p w:rsidR="00713CA8" w:rsidRPr="000D48C4" w:rsidRDefault="00713CA8" w:rsidP="00713CA8">
      <w:pPr>
        <w:pStyle w:val="Heading4"/>
      </w:pPr>
      <w:r w:rsidRPr="000D48C4">
        <w:t xml:space="preserve">Discussion of specific policy-questions is crucial for skills development- posits students as agents of decision-making </w:t>
      </w:r>
    </w:p>
    <w:p w:rsidR="00713CA8" w:rsidRPr="000D48C4" w:rsidRDefault="00713CA8" w:rsidP="00713CA8">
      <w:pPr>
        <w:rPr>
          <w:sz w:val="24"/>
        </w:rPr>
      </w:pPr>
      <w:r w:rsidRPr="000D48C4">
        <w:rPr>
          <w:rStyle w:val="StyleStyleBold12pt"/>
        </w:rPr>
        <w:t>Esberg &amp; Sagan 12</w:t>
      </w:r>
      <w:r w:rsidRPr="000D48C4">
        <w:rPr>
          <w:sz w:val="24"/>
        </w:rP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713CA8" w:rsidRPr="000D48C4" w:rsidRDefault="00713CA8" w:rsidP="00713CA8">
      <w:pPr>
        <w:rPr>
          <w:sz w:val="24"/>
        </w:rPr>
      </w:pPr>
    </w:p>
    <w:p w:rsidR="00713CA8" w:rsidRPr="000D48C4" w:rsidRDefault="00713CA8" w:rsidP="00713CA8">
      <w:pPr>
        <w:rPr>
          <w:sz w:val="24"/>
        </w:rPr>
      </w:pPr>
      <w:r w:rsidRPr="000D48C4">
        <w:rPr>
          <w:sz w:val="24"/>
        </w:rPr>
        <w:t xml:space="preserve">These </w:t>
      </w:r>
      <w:r w:rsidRPr="000D48C4">
        <w:rPr>
          <w:rStyle w:val="StyleBoldUnderline"/>
          <w:sz w:val="24"/>
        </w:rPr>
        <w:t>government</w:t>
      </w:r>
      <w:r w:rsidRPr="000D48C4">
        <w:rPr>
          <w:sz w:val="24"/>
        </w:rPr>
        <w:t xml:space="preserve"> or quasi-government think …</w:t>
      </w:r>
      <w:r w:rsidRPr="000D48C4">
        <w:rPr>
          <w:rStyle w:val="Box"/>
          <w:sz w:val="24"/>
        </w:rPr>
        <w:t xml:space="preserve"> and act on information</w:t>
      </w:r>
      <w:r w:rsidRPr="000D48C4">
        <w:rPr>
          <w:sz w:val="24"/>
        </w:rPr>
        <w:t>.14</w:t>
      </w:r>
    </w:p>
    <w:p w:rsidR="00713CA8" w:rsidRPr="000D48C4" w:rsidRDefault="00713CA8" w:rsidP="00713CA8">
      <w:pPr>
        <w:rPr>
          <w:sz w:val="24"/>
        </w:rPr>
      </w:pPr>
    </w:p>
    <w:p w:rsidR="00713CA8" w:rsidRPr="000D48C4" w:rsidRDefault="00713CA8" w:rsidP="00713CA8">
      <w:pPr>
        <w:pStyle w:val="Heading4"/>
      </w:pPr>
      <w:r w:rsidRPr="000D48C4">
        <w:t xml:space="preserve">Switch-side is key- forces critical thinking and better advocacy </w:t>
      </w:r>
    </w:p>
    <w:p w:rsidR="00713CA8" w:rsidRPr="000D48C4" w:rsidRDefault="00713CA8" w:rsidP="00713CA8">
      <w:pPr>
        <w:rPr>
          <w:sz w:val="24"/>
        </w:rPr>
      </w:pPr>
      <w:r w:rsidRPr="000D48C4">
        <w:rPr>
          <w:rStyle w:val="StyleStyleBold12pt"/>
        </w:rPr>
        <w:t xml:space="preserve">Keller et al 1 </w:t>
      </w:r>
      <w:r w:rsidRPr="000D48C4">
        <w:rPr>
          <w:sz w:val="24"/>
        </w:rPr>
        <w:t>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713CA8" w:rsidRPr="000D48C4" w:rsidRDefault="00713CA8" w:rsidP="00713CA8">
      <w:pPr>
        <w:rPr>
          <w:sz w:val="24"/>
        </w:rPr>
      </w:pPr>
    </w:p>
    <w:p w:rsidR="00713CA8" w:rsidRPr="000D48C4" w:rsidRDefault="00713CA8" w:rsidP="00713CA8">
      <w:pPr>
        <w:rPr>
          <w:sz w:val="24"/>
          <w:u w:val="single"/>
        </w:rPr>
      </w:pPr>
      <w:r w:rsidRPr="000D48C4">
        <w:rPr>
          <w:sz w:val="24"/>
        </w:rPr>
        <w:t xml:space="preserve">SOCIAL WORKERS </w:t>
      </w:r>
      <w:proofErr w:type="gramStart"/>
      <w:r w:rsidRPr="000D48C4">
        <w:rPr>
          <w:sz w:val="24"/>
        </w:rPr>
        <w:t>HAVE a professional responsibility …</w:t>
      </w:r>
      <w:proofErr w:type="gramEnd"/>
      <w:r w:rsidRPr="000D48C4">
        <w:rPr>
          <w:rStyle w:val="Box"/>
          <w:sz w:val="24"/>
        </w:rPr>
        <w:t xml:space="preserve"> knowledge</w:t>
      </w:r>
      <w:r w:rsidRPr="000D48C4">
        <w:rPr>
          <w:sz w:val="24"/>
          <w:u w:val="single"/>
        </w:rPr>
        <w:t xml:space="preserve"> and beliefs pertaining to the issue. </w:t>
      </w:r>
    </w:p>
    <w:p w:rsidR="00713CA8" w:rsidRPr="000D48C4" w:rsidRDefault="00713CA8" w:rsidP="00713CA8">
      <w:pPr>
        <w:rPr>
          <w:sz w:val="24"/>
        </w:rPr>
      </w:pPr>
    </w:p>
    <w:p w:rsidR="00713CA8" w:rsidRPr="000D48C4" w:rsidRDefault="00713CA8" w:rsidP="00713CA8">
      <w:pPr>
        <w:pStyle w:val="Heading4"/>
      </w:pPr>
      <w:r w:rsidRPr="000D48C4">
        <w:t xml:space="preserve">Effective deliberation is the lynchpin of solving all existential global problems </w:t>
      </w:r>
    </w:p>
    <w:p w:rsidR="00713CA8" w:rsidRPr="000D48C4" w:rsidRDefault="00713CA8" w:rsidP="00713CA8">
      <w:pPr>
        <w:rPr>
          <w:sz w:val="24"/>
        </w:rPr>
      </w:pPr>
      <w:r w:rsidRPr="000D48C4">
        <w:rPr>
          <w:rStyle w:val="StyleStyleBold12pt"/>
        </w:rPr>
        <w:t>Lundberg 10</w:t>
      </w:r>
      <w:r w:rsidRPr="000D48C4">
        <w:rPr>
          <w:sz w:val="24"/>
        </w:rPr>
        <w:t xml:space="preserve"> Christian O. Lundberg Professor of Communications @ University of North Carolina, Chapel Hill, “Tradition of Debate in North Carolina” in Navigating Opportunity: Policy Debate in the 21st Century By Allan D. Louden, p311</w:t>
      </w:r>
    </w:p>
    <w:p w:rsidR="00713CA8" w:rsidRPr="000D48C4" w:rsidRDefault="00713CA8" w:rsidP="00713CA8">
      <w:pPr>
        <w:rPr>
          <w:sz w:val="24"/>
        </w:rPr>
      </w:pPr>
    </w:p>
    <w:p w:rsidR="00713CA8" w:rsidRPr="000D48C4" w:rsidRDefault="00713CA8" w:rsidP="00713CA8">
      <w:pPr>
        <w:rPr>
          <w:rStyle w:val="StyleBoldUnderline"/>
        </w:rPr>
      </w:pPr>
      <w:proofErr w:type="gramStart"/>
      <w:r w:rsidRPr="000D48C4">
        <w:rPr>
          <w:sz w:val="24"/>
        </w:rPr>
        <w:t xml:space="preserve">The second major problem … </w:t>
      </w:r>
      <w:r w:rsidRPr="000D48C4">
        <w:rPr>
          <w:rStyle w:val="StyleBoldUnderline"/>
          <w:sz w:val="24"/>
        </w:rPr>
        <w:t>to democracy [in an] increasingly complex world.</w:t>
      </w:r>
      <w:proofErr w:type="gramEnd"/>
      <w:r w:rsidRPr="000D48C4">
        <w:rPr>
          <w:rStyle w:val="StyleBoldUnderline"/>
          <w:sz w:val="24"/>
        </w:rPr>
        <w:t xml:space="preserve"> </w:t>
      </w:r>
    </w:p>
    <w:p w:rsidR="00713CA8" w:rsidRPr="000D48C4" w:rsidRDefault="00713CA8" w:rsidP="00713CA8">
      <w:pPr>
        <w:rPr>
          <w:sz w:val="24"/>
        </w:rPr>
      </w:pPr>
    </w:p>
    <w:p w:rsidR="00713CA8" w:rsidRPr="000D48C4" w:rsidRDefault="00713CA8" w:rsidP="00713CA8">
      <w:pPr>
        <w:rPr>
          <w:sz w:val="24"/>
        </w:rPr>
      </w:pPr>
    </w:p>
    <w:p w:rsidR="00713CA8" w:rsidRPr="000D48C4" w:rsidRDefault="00713CA8" w:rsidP="00713CA8">
      <w:pPr>
        <w:pStyle w:val="Heading1"/>
        <w:rPr>
          <w:sz w:val="24"/>
        </w:rPr>
      </w:pPr>
      <w:r w:rsidRPr="000D48C4">
        <w:rPr>
          <w:sz w:val="24"/>
        </w:rPr>
        <w:t>Queer Theory</w:t>
      </w:r>
    </w:p>
    <w:p w:rsidR="00713CA8" w:rsidRPr="000D48C4" w:rsidRDefault="00713CA8" w:rsidP="00713CA8">
      <w:pPr>
        <w:rPr>
          <w:sz w:val="24"/>
        </w:rPr>
      </w:pPr>
    </w:p>
    <w:p w:rsidR="00713CA8" w:rsidRPr="000D48C4" w:rsidRDefault="00713CA8" w:rsidP="00713CA8">
      <w:pPr>
        <w:pStyle w:val="Heading4"/>
      </w:pPr>
      <w:r w:rsidRPr="000D48C4">
        <w:t>Native identity arguments center around a fixed identity structure that reifies heteronormative colonialism. Only a subjectless critique and lens to evaluate their scholarship solves</w:t>
      </w:r>
    </w:p>
    <w:p w:rsidR="00713CA8" w:rsidRPr="000D48C4" w:rsidRDefault="00713CA8" w:rsidP="00713CA8">
      <w:pPr>
        <w:rPr>
          <w:sz w:val="24"/>
        </w:rPr>
      </w:pPr>
      <w:r w:rsidRPr="000D48C4">
        <w:rPr>
          <w:b/>
          <w:sz w:val="24"/>
        </w:rPr>
        <w:t>Smith 2010</w:t>
      </w:r>
      <w:r w:rsidRPr="000D48C4">
        <w:rPr>
          <w:sz w:val="24"/>
        </w:rPr>
        <w:t xml:space="preserve"> [Andrea, Assistant Professor of Media and Cultural Studies at the University of California: Riverside, Queer Theory and Native Studies: The Heteronormativity of Settler Colonialism, GLQ: A Journal of Lesbian and Gay Studies, Volume 16, Number 1-2, 2010, pp. 42-</w:t>
      </w:r>
      <w:proofErr w:type="gramStart"/>
      <w:r w:rsidRPr="000D48C4">
        <w:rPr>
          <w:sz w:val="24"/>
        </w:rPr>
        <w:t>68]jap</w:t>
      </w:r>
      <w:proofErr w:type="gramEnd"/>
    </w:p>
    <w:p w:rsidR="00713CA8" w:rsidRPr="000D48C4" w:rsidRDefault="00713CA8" w:rsidP="00713CA8">
      <w:pPr>
        <w:rPr>
          <w:b/>
          <w:sz w:val="24"/>
          <w:u w:val="single"/>
        </w:rPr>
      </w:pPr>
      <w:r w:rsidRPr="000D48C4">
        <w:rPr>
          <w:b/>
          <w:sz w:val="24"/>
          <w:u w:val="single"/>
        </w:rPr>
        <w:t>Queer studies highlights the …Native peoples at the “horizon of death</w:t>
      </w:r>
    </w:p>
    <w:p w:rsidR="00713CA8" w:rsidRPr="000D48C4" w:rsidRDefault="00713CA8" w:rsidP="00713CA8">
      <w:pPr>
        <w:rPr>
          <w:b/>
          <w:sz w:val="24"/>
          <w:u w:val="single"/>
        </w:rPr>
      </w:pPr>
    </w:p>
    <w:p w:rsidR="00713CA8" w:rsidRPr="000D48C4" w:rsidRDefault="00713CA8" w:rsidP="00713CA8">
      <w:pPr>
        <w:pStyle w:val="tag"/>
      </w:pPr>
      <w:r w:rsidRPr="000D48C4">
        <w:t>Hetersexuality is the root cause of hierarchal modes of thought – results in racism sexism and sovereign control that eliminates difference</w:t>
      </w:r>
    </w:p>
    <w:p w:rsidR="00713CA8" w:rsidRPr="000D48C4" w:rsidRDefault="00713CA8" w:rsidP="00713CA8">
      <w:pPr>
        <w:rPr>
          <w:sz w:val="24"/>
        </w:rPr>
      </w:pPr>
      <w:r w:rsidRPr="000D48C4">
        <w:rPr>
          <w:rStyle w:val="StyleBoldUnderline"/>
          <w:sz w:val="24"/>
        </w:rPr>
        <w:t>Pinar</w:t>
      </w:r>
      <w:r w:rsidRPr="000D48C4">
        <w:rPr>
          <w:sz w:val="24"/>
        </w:rPr>
        <w:t xml:space="preserve"> </w:t>
      </w:r>
      <w:r w:rsidRPr="000D48C4">
        <w:rPr>
          <w:rStyle w:val="StyleBoldUnderline"/>
          <w:sz w:val="24"/>
        </w:rPr>
        <w:t>2003</w:t>
      </w:r>
    </w:p>
    <w:p w:rsidR="00713CA8" w:rsidRPr="000D48C4" w:rsidRDefault="00713CA8" w:rsidP="00713CA8">
      <w:pPr>
        <w:rPr>
          <w:sz w:val="24"/>
        </w:rPr>
      </w:pPr>
      <w:r w:rsidRPr="000D48C4">
        <w:rPr>
          <w:sz w:val="24"/>
        </w:rPr>
        <w:t>[William F., Professor at Louisiana State</w:t>
      </w:r>
      <w:proofErr w:type="gramStart"/>
      <w:r w:rsidRPr="000D48C4">
        <w:rPr>
          <w:sz w:val="24"/>
        </w:rPr>
        <w:t>,  Journal</w:t>
      </w:r>
      <w:proofErr w:type="gramEnd"/>
      <w:r w:rsidRPr="000D48C4">
        <w:rPr>
          <w:sz w:val="24"/>
        </w:rPr>
        <w:t xml:space="preserve"> of Homosexual Studies]jap</w:t>
      </w:r>
    </w:p>
    <w:p w:rsidR="00713CA8" w:rsidRPr="000D48C4" w:rsidRDefault="00713CA8" w:rsidP="00713CA8">
      <w:pPr>
        <w:pStyle w:val="card"/>
        <w:ind w:left="0"/>
        <w:rPr>
          <w:b/>
          <w:sz w:val="24"/>
          <w:u w:val="single"/>
        </w:rPr>
      </w:pPr>
      <w:r w:rsidRPr="000D48C4">
        <w:rPr>
          <w:rStyle w:val="underline"/>
          <w:sz w:val="24"/>
        </w:rPr>
        <w:t>It is queer theory that has enabled me …</w:t>
      </w:r>
      <w:proofErr w:type="gramStart"/>
      <w:r w:rsidRPr="000D48C4">
        <w:rPr>
          <w:rStyle w:val="underline"/>
          <w:sz w:val="24"/>
        </w:rPr>
        <w:t>often sexualized</w:t>
      </w:r>
      <w:proofErr w:type="gramEnd"/>
      <w:r w:rsidRPr="000D48C4">
        <w:rPr>
          <w:rStyle w:val="underline"/>
          <w:sz w:val="24"/>
        </w:rPr>
        <w:t xml:space="preserve"> existence in the white male mind.  </w:t>
      </w:r>
      <w:r w:rsidRPr="000D48C4">
        <w:rPr>
          <w:sz w:val="24"/>
        </w:rPr>
        <w:t xml:space="preserve"> </w:t>
      </w:r>
    </w:p>
    <w:p w:rsidR="00713CA8" w:rsidRPr="000D48C4" w:rsidRDefault="00713CA8" w:rsidP="00713C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u w:val="single"/>
        </w:rPr>
      </w:pPr>
    </w:p>
    <w:p w:rsidR="00713CA8" w:rsidRPr="000D48C4" w:rsidRDefault="00713CA8" w:rsidP="00713CA8">
      <w:pPr>
        <w:pStyle w:val="Heading4"/>
      </w:pPr>
      <w:r w:rsidRPr="000D48C4">
        <w:t xml:space="preserve">Therefore our alternative is to reject the heteronormativity present in the affirmative – only Rejecting heteronormativity can elucidate and open up discourse. This unveiling of preconceived norms sets the stage for a new politic of refusal and reformation </w:t>
      </w:r>
    </w:p>
    <w:p w:rsidR="00713CA8" w:rsidRPr="000D48C4" w:rsidRDefault="00713CA8" w:rsidP="00713CA8">
      <w:pPr>
        <w:rPr>
          <w:rStyle w:val="StyleStyleBold12pt"/>
          <w:rFonts w:eastAsiaTheme="majorEastAsia" w:cstheme="majorBidi"/>
          <w:b w:val="0"/>
          <w:bCs/>
          <w:iCs/>
        </w:rPr>
      </w:pPr>
      <w:r w:rsidRPr="000D48C4">
        <w:rPr>
          <w:rStyle w:val="StyleStyleBold12pt"/>
        </w:rPr>
        <w:t>Chambers 2007</w:t>
      </w:r>
    </w:p>
    <w:p w:rsidR="00713CA8" w:rsidRPr="000D48C4" w:rsidRDefault="00713CA8" w:rsidP="00713CA8">
      <w:pPr>
        <w:rPr>
          <w:sz w:val="24"/>
        </w:rPr>
      </w:pPr>
      <w:r w:rsidRPr="000D48C4">
        <w:rPr>
          <w:sz w:val="24"/>
        </w:rPr>
        <w:t>[Samuel A. Chambers, Department of Politics and International Relations, ‘An Incalculable Effect’: Subversions of Heteronormativity, POLITICAL STUDIES: 2007 VOL 55, 656–</w:t>
      </w:r>
      <w:proofErr w:type="gramStart"/>
      <w:r w:rsidRPr="000D48C4">
        <w:rPr>
          <w:sz w:val="24"/>
        </w:rPr>
        <w:t>679]jap</w:t>
      </w:r>
      <w:proofErr w:type="gramEnd"/>
    </w:p>
    <w:p w:rsidR="00713CA8" w:rsidRPr="000D48C4" w:rsidRDefault="00713CA8" w:rsidP="00713CA8">
      <w:pPr>
        <w:rPr>
          <w:sz w:val="24"/>
        </w:rPr>
      </w:pPr>
    </w:p>
    <w:p w:rsidR="00713CA8" w:rsidRPr="000D48C4" w:rsidRDefault="00713CA8" w:rsidP="00713CA8">
      <w:pPr>
        <w:rPr>
          <w:sz w:val="24"/>
        </w:rPr>
      </w:pPr>
      <w:r w:rsidRPr="000D48C4">
        <w:rPr>
          <w:sz w:val="24"/>
        </w:rPr>
        <w:t>However</w:t>
      </w:r>
      <w:proofErr w:type="gramStart"/>
      <w:r w:rsidRPr="000D48C4">
        <w:rPr>
          <w:sz w:val="24"/>
        </w:rPr>
        <w:t>,and</w:t>
      </w:r>
      <w:proofErr w:type="gramEnd"/>
      <w:r w:rsidRPr="000D48C4">
        <w:rPr>
          <w:sz w:val="24"/>
        </w:rPr>
        <w:t xml:space="preserve"> as I will demonstrate …</w:t>
      </w:r>
      <w:r w:rsidRPr="000D48C4">
        <w:rPr>
          <w:b/>
          <w:sz w:val="24"/>
          <w:u w:val="single"/>
        </w:rPr>
        <w:t>‘oppression’ that could merely be condemned</w:t>
      </w:r>
      <w:r w:rsidRPr="000D48C4">
        <w:rPr>
          <w:sz w:val="24"/>
        </w:rPr>
        <w:t>).</w:t>
      </w:r>
    </w:p>
    <w:p w:rsidR="00713CA8" w:rsidRPr="000D48C4" w:rsidRDefault="00713CA8" w:rsidP="00713CA8">
      <w:pPr>
        <w:rPr>
          <w:sz w:val="24"/>
        </w:rPr>
      </w:pPr>
    </w:p>
    <w:p w:rsidR="00713CA8" w:rsidRPr="000D48C4" w:rsidRDefault="00713CA8" w:rsidP="00713CA8">
      <w:pPr>
        <w:pStyle w:val="Heading4"/>
      </w:pPr>
      <w:r w:rsidRPr="000D48C4">
        <w:t>Heterosexual gendering is used to prop up a vicious cycle of systemic racism</w:t>
      </w:r>
    </w:p>
    <w:p w:rsidR="00713CA8" w:rsidRPr="000D48C4" w:rsidRDefault="00713CA8" w:rsidP="00713CA8">
      <w:pPr>
        <w:rPr>
          <w:b/>
          <w:sz w:val="24"/>
        </w:rPr>
      </w:pPr>
      <w:r w:rsidRPr="000D48C4">
        <w:rPr>
          <w:b/>
          <w:sz w:val="24"/>
        </w:rPr>
        <w:t>Hoagland 2007</w:t>
      </w:r>
    </w:p>
    <w:p w:rsidR="00713CA8" w:rsidRPr="000D48C4" w:rsidRDefault="00713CA8" w:rsidP="00713CA8">
      <w:pPr>
        <w:rPr>
          <w:sz w:val="24"/>
        </w:rPr>
      </w:pPr>
      <w:r w:rsidRPr="000D48C4">
        <w:rPr>
          <w:sz w:val="24"/>
        </w:rPr>
        <w:t>[Sarah Lucia Hoagland, Professor of Philosophy and Women's Studies at Northeastern Illinois University in Chicago, Heterosexualism and White Supremacy, Hypatia, Vol. 22, No. 1, Writing Against Heterosexism (Winter, 2007), pp. 166-</w:t>
      </w:r>
      <w:proofErr w:type="gramStart"/>
      <w:r w:rsidRPr="000D48C4">
        <w:rPr>
          <w:sz w:val="24"/>
        </w:rPr>
        <w:t>185]jap</w:t>
      </w:r>
      <w:proofErr w:type="gramEnd"/>
    </w:p>
    <w:p w:rsidR="00713CA8" w:rsidRPr="000D48C4" w:rsidRDefault="00713CA8" w:rsidP="00713CA8">
      <w:pPr>
        <w:rPr>
          <w:b/>
          <w:sz w:val="24"/>
          <w:u w:val="single"/>
        </w:rPr>
      </w:pPr>
      <w:r w:rsidRPr="000D48C4">
        <w:rPr>
          <w:sz w:val="24"/>
        </w:rPr>
        <w:t xml:space="preserve">Elsa Barkley Brown </w:t>
      </w:r>
      <w:proofErr w:type="gramStart"/>
      <w:r w:rsidRPr="000D48C4">
        <w:rPr>
          <w:sz w:val="24"/>
        </w:rPr>
        <w:t>argues that</w:t>
      </w:r>
      <w:proofErr w:type="gramEnd"/>
      <w:r w:rsidRPr="000D48C4">
        <w:rPr>
          <w:sz w:val="24"/>
        </w:rPr>
        <w:t xml:space="preserve"> "</w:t>
      </w:r>
      <w:r w:rsidRPr="000D48C4">
        <w:rPr>
          <w:b/>
          <w:sz w:val="24"/>
          <w:u w:val="single"/>
        </w:rPr>
        <w:t>we still …"man" and a "woman."</w:t>
      </w:r>
    </w:p>
    <w:p w:rsidR="00713CA8" w:rsidRPr="000D48C4" w:rsidRDefault="00713CA8" w:rsidP="00713CA8">
      <w:pPr>
        <w:rPr>
          <w:sz w:val="24"/>
        </w:rPr>
      </w:pPr>
    </w:p>
    <w:p w:rsidR="006B5D7B" w:rsidRDefault="00713CA8"/>
    <w:sectPr w:rsidR="006B5D7B" w:rsidSect="006B5D7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13CA8"/>
    <w:rsid w:val="00713CA8"/>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13CA8"/>
    <w:rPr>
      <w:rFonts w:ascii="Times New Roman" w:eastAsiaTheme="minorEastAsia" w:hAnsi="Times New Roman"/>
      <w:sz w:val="20"/>
    </w:rPr>
  </w:style>
  <w:style w:type="paragraph" w:styleId="Heading1">
    <w:name w:val="heading 1"/>
    <w:aliases w:val="Pocket,Block titles"/>
    <w:basedOn w:val="Normal"/>
    <w:next w:val="Normal"/>
    <w:link w:val="Heading1Char"/>
    <w:qFormat/>
    <w:rsid w:val="00713CA8"/>
    <w:pPr>
      <w:keepNext/>
      <w:keepLines/>
      <w:pageBreakBefore/>
      <w:jc w:val="center"/>
      <w:outlineLvl w:val="0"/>
    </w:pPr>
    <w:rPr>
      <w:rFonts w:eastAsiaTheme="majorEastAsia" w:cstheme="majorBidi"/>
      <w:b/>
      <w:bCs/>
      <w:sz w:val="36"/>
      <w:szCs w:val="52"/>
      <w:u w:val="single"/>
    </w:rPr>
  </w:style>
  <w:style w:type="paragraph" w:styleId="Heading2">
    <w:name w:val="heading 2"/>
    <w:aliases w:val="Hat,Char Char Char Char1,Char2,Heading 2 Char Char1,Heading 2 Char Char Char,Heading 2 Char Char,Heading 2 Char Char Char1 Char,Heading 2 Char Char2 Char,Heading 2 Cha,Ch,T,BlockText,Heading 2 Char1 Char"/>
    <w:basedOn w:val="Normal"/>
    <w:next w:val="Normal"/>
    <w:link w:val="Heading2Char"/>
    <w:unhideWhenUsed/>
    <w:qFormat/>
    <w:rsid w:val="00713C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Tag,heading 2,Heading 2 Char2 Char, Ch,Heading 2 Char1 Char Char,Heading 2 Char Char Char Char,TAG,Big card,body,small text,Normal Tag,No Spacing112,No Spacing5,No Spacing1121,No Spacing1,tags,No Spacing111,No Spacing11,no read,No Spacing211"/>
    <w:basedOn w:val="Normal"/>
    <w:next w:val="Normal"/>
    <w:link w:val="Heading4Char"/>
    <w:unhideWhenUsed/>
    <w:qFormat/>
    <w:rsid w:val="00713CA8"/>
    <w:pPr>
      <w:keepNext/>
      <w:keepLines/>
      <w:outlineLvl w:val="3"/>
    </w:pPr>
    <w:rPr>
      <w:rFonts w:eastAsiaTheme="majorEastAsia" w:cstheme="majorBidi"/>
      <w:b/>
      <w:bCs/>
      <w:iCs/>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Block titles Char"/>
    <w:basedOn w:val="DefaultParagraphFont"/>
    <w:link w:val="Heading1"/>
    <w:rsid w:val="00713CA8"/>
    <w:rPr>
      <w:rFonts w:ascii="Times New Roman" w:eastAsiaTheme="majorEastAsia" w:hAnsi="Times New Roman" w:cstheme="majorBidi"/>
      <w:b/>
      <w:bCs/>
      <w:sz w:val="36"/>
      <w:szCs w:val="52"/>
      <w:u w:val="single"/>
    </w:rPr>
  </w:style>
  <w:style w:type="character" w:customStyle="1" w:styleId="Heading2Char">
    <w:name w:val="Heading 2 Char"/>
    <w:aliases w:val="Hat Char,Char Char Char Char1 Char,Char2 Char,Heading 2 Char Char1 Char,Heading 2 Char Char Char Char1,Heading 2 Char Char Char1,Heading 2 Char Char Char1 Char Char,Heading 2 Char Char2 Char Char,Heading 2 Cha Char,Ch Char,T Char"/>
    <w:basedOn w:val="DefaultParagraphFont"/>
    <w:link w:val="Heading2"/>
    <w:qFormat/>
    <w:rsid w:val="00713CA8"/>
    <w:rPr>
      <w:rFonts w:asciiTheme="majorHAnsi" w:eastAsiaTheme="majorEastAsia" w:hAnsiTheme="majorHAnsi" w:cstheme="majorBidi"/>
      <w:b/>
      <w:bCs/>
      <w:color w:val="4F81BD" w:themeColor="accent1"/>
      <w:sz w:val="26"/>
      <w:szCs w:val="26"/>
    </w:rPr>
  </w:style>
  <w:style w:type="character" w:customStyle="1" w:styleId="Heading4Char">
    <w:name w:val="Heading 4 Char"/>
    <w:aliases w:val="Tag Char,heading 2 Char,Heading 2 Char2 Char Char, Ch Char,Heading 2 Char1 Char Char Char,Heading 2 Char Char Char Char Char,TAG Char,Big card Char,body Char,small text Char,Normal Tag Char,No Spacing112 Char,No Spacing5 Char,tags Char"/>
    <w:basedOn w:val="DefaultParagraphFont"/>
    <w:link w:val="Heading4"/>
    <w:qFormat/>
    <w:rsid w:val="00713CA8"/>
    <w:rPr>
      <w:rFonts w:ascii="Times New Roman" w:eastAsiaTheme="majorEastAsia" w:hAnsi="Times New Roman" w:cstheme="majorBidi"/>
      <w:b/>
      <w:bCs/>
      <w:iCs/>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713CA8"/>
    <w:rPr>
      <w:rFonts w:ascii="Times New Roman" w:hAnsi="Times New Roman"/>
      <w:b/>
      <w:sz w:val="24"/>
      <w:u w:val="non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no Char"/>
    <w:basedOn w:val="DefaultParagraphFont"/>
    <w:qFormat/>
    <w:rsid w:val="00713CA8"/>
    <w:rPr>
      <w:rFonts w:ascii="Times New Roman" w:hAnsi="Times New Roman"/>
      <w:b w:val="0"/>
      <w:sz w:val="20"/>
      <w:u w:val="single"/>
    </w:rPr>
  </w:style>
  <w:style w:type="character" w:customStyle="1" w:styleId="Box">
    <w:name w:val="Box"/>
    <w:aliases w:val="Style1"/>
    <w:basedOn w:val="DefaultParagraphFont"/>
    <w:uiPriority w:val="1"/>
    <w:qFormat/>
    <w:rsid w:val="00713CA8"/>
    <w:rPr>
      <w:rFonts w:ascii="Times New Roman" w:hAnsi="Times New Roman"/>
      <w:b/>
      <w:sz w:val="20"/>
      <w:u w:val="single"/>
      <w:bdr w:val="single" w:sz="8" w:space="0" w:color="auto"/>
    </w:rPr>
  </w:style>
  <w:style w:type="paragraph" w:customStyle="1" w:styleId="tag">
    <w:name w:val="tag"/>
    <w:aliases w:val="No Spacing3,Dont use,nonunderlined,No Spacing31"/>
    <w:basedOn w:val="Normal"/>
    <w:next w:val="Normal"/>
    <w:link w:val="tagChar"/>
    <w:qFormat/>
    <w:rsid w:val="00713CA8"/>
    <w:rPr>
      <w:rFonts w:eastAsia="Times New Roman" w:cs="Times New Roman"/>
      <w:b/>
      <w:sz w:val="24"/>
      <w:szCs w:val="20"/>
    </w:rPr>
  </w:style>
  <w:style w:type="character" w:customStyle="1" w:styleId="tagChar">
    <w:name w:val="tag Char"/>
    <w:aliases w:val="Heading 2 Char1 Char Char Char Char,Char Char Char Char Char Char Char,Heading 2 Char1 Char Char Char1,Heading 2 Char Char1 Char Char,Heading 2 Char2 Char1,Heading 2 Char1 Char Char1,TAG Char Char,Heading ,TAG Char1,Char Ch"/>
    <w:basedOn w:val="DefaultParagraphFont"/>
    <w:link w:val="tag"/>
    <w:rsid w:val="00713CA8"/>
    <w:rPr>
      <w:rFonts w:ascii="Times New Roman" w:eastAsia="Times New Roman" w:hAnsi="Times New Roman" w:cs="Times New Roman"/>
      <w:b/>
      <w:szCs w:val="20"/>
    </w:rPr>
  </w:style>
  <w:style w:type="paragraph" w:customStyle="1" w:styleId="card">
    <w:name w:val="card"/>
    <w:basedOn w:val="Normal"/>
    <w:next w:val="Normal"/>
    <w:link w:val="cardChar"/>
    <w:qFormat/>
    <w:rsid w:val="00713CA8"/>
    <w:pPr>
      <w:ind w:left="288" w:right="288"/>
    </w:pPr>
    <w:rPr>
      <w:rFonts w:eastAsia="Times New Roman" w:cs="Times New Roman"/>
      <w:sz w:val="16"/>
      <w:szCs w:val="22"/>
    </w:rPr>
  </w:style>
  <w:style w:type="character" w:customStyle="1" w:styleId="cardChar">
    <w:name w:val="card Char"/>
    <w:link w:val="card"/>
    <w:rsid w:val="00713CA8"/>
    <w:rPr>
      <w:rFonts w:ascii="Times New Roman" w:eastAsia="Times New Roman" w:hAnsi="Times New Roman" w:cs="Times New Roman"/>
      <w:sz w:val="16"/>
      <w:szCs w:val="22"/>
    </w:rPr>
  </w:style>
  <w:style w:type="character" w:customStyle="1" w:styleId="underline">
    <w:name w:val="underline"/>
    <w:basedOn w:val="DefaultParagraphFont"/>
    <w:link w:val="textbold"/>
    <w:qFormat/>
    <w:rsid w:val="00713CA8"/>
    <w:rPr>
      <w:rFonts w:ascii="Times New Roman" w:hAnsi="Times New Roman"/>
      <w:sz w:val="22"/>
      <w:u w:val="single"/>
    </w:rPr>
  </w:style>
  <w:style w:type="paragraph" w:customStyle="1" w:styleId="textbold">
    <w:name w:val="text bold"/>
    <w:basedOn w:val="Normal"/>
    <w:link w:val="underline"/>
    <w:qFormat/>
    <w:rsid w:val="00713CA8"/>
    <w:pPr>
      <w:ind w:left="720"/>
      <w:jc w:val="both"/>
    </w:pPr>
    <w:rPr>
      <w:rFonts w:eastAsiaTheme="minorHAnsi"/>
      <w:sz w:val="22"/>
      <w:u w:val="single"/>
    </w:rPr>
  </w:style>
  <w:style w:type="paragraph" w:styleId="DocumentMap">
    <w:name w:val="Document Map"/>
    <w:basedOn w:val="Normal"/>
    <w:link w:val="DocumentMapChar"/>
    <w:uiPriority w:val="99"/>
    <w:semiHidden/>
    <w:unhideWhenUsed/>
    <w:rsid w:val="00713CA8"/>
    <w:rPr>
      <w:rFonts w:ascii="Lucida Grande" w:hAnsi="Lucida Grande"/>
      <w:sz w:val="24"/>
    </w:rPr>
  </w:style>
  <w:style w:type="character" w:customStyle="1" w:styleId="DocumentMapChar">
    <w:name w:val="Document Map Char"/>
    <w:basedOn w:val="DefaultParagraphFont"/>
    <w:link w:val="DocumentMap"/>
    <w:uiPriority w:val="99"/>
    <w:semiHidden/>
    <w:rsid w:val="00713CA8"/>
    <w:rPr>
      <w:rFonts w:ascii="Lucida Grande" w:eastAsiaTheme="minorEastAsia" w:hAnsi="Lucida Gran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3558</Characters>
  <Application>Microsoft Macintosh Word</Application>
  <DocSecurity>0</DocSecurity>
  <Lines>29</Lines>
  <Paragraphs>7</Paragraphs>
  <ScaleCrop>false</ScaleCrop>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Jalbuena</dc:creator>
  <cp:keywords/>
  <cp:lastModifiedBy>Erica Jalbuena</cp:lastModifiedBy>
  <cp:revision>1</cp:revision>
  <dcterms:created xsi:type="dcterms:W3CDTF">2013-11-05T21:04:00Z</dcterms:created>
  <dcterms:modified xsi:type="dcterms:W3CDTF">2013-11-05T21:04:00Z</dcterms:modified>
</cp:coreProperties>
</file>