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06" w:rsidRDefault="00C10306" w:rsidP="00C10306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36B75"/>
          <w:sz w:val="21"/>
          <w:szCs w:val="21"/>
        </w:rPr>
      </w:pPr>
      <w:r>
        <w:rPr>
          <w:rFonts w:ascii="Arial" w:hAnsi="Arial" w:cs="Arial"/>
          <w:color w:val="636B75"/>
          <w:sz w:val="21"/>
          <w:szCs w:val="21"/>
        </w:rPr>
        <w:t>The affirmative fundamentally ignores the current socio-political occasion, one governed by a military metaphysics of violence.  We are in the midst of a neoliberal revolution, an in-between time of governance, converging with violence, to place all life under the universalizing sign of the permanent war zone.  </w:t>
      </w:r>
      <w:r>
        <w:rPr>
          <w:rFonts w:ascii="Arial" w:hAnsi="Arial" w:cs="Arial"/>
          <w:color w:val="636B75"/>
          <w:sz w:val="21"/>
          <w:szCs w:val="21"/>
        </w:rPr>
        <w:br/>
        <w:t>The 1AC constitutes an act of willfully forgetting, not only of the very situation in which it emerges, but also the task of the intellectual in this age; one who bears the responsibility of rendering opaque forms of violence visible rather than merely (re)organize the ongoing production of violence.</w:t>
      </w:r>
      <w:r>
        <w:rPr>
          <w:rFonts w:ascii="Arial" w:hAnsi="Arial" w:cs="Arial"/>
          <w:color w:val="636B75"/>
          <w:sz w:val="21"/>
          <w:szCs w:val="21"/>
        </w:rPr>
        <w:br/>
        <w:t>This debate is a question of competing trajectories of intellectual inquiry - Vote negative to renounce the affirmative’s endorsement of scholarship that focuses exclusively on the technocratic administration of war.</w:t>
      </w:r>
      <w:r>
        <w:rPr>
          <w:rFonts w:ascii="Arial" w:hAnsi="Arial" w:cs="Arial"/>
          <w:color w:val="636B75"/>
          <w:sz w:val="21"/>
          <w:szCs w:val="21"/>
        </w:rPr>
        <w:br/>
      </w:r>
      <w:r>
        <w:rPr>
          <w:rStyle w:val="Strong"/>
          <w:rFonts w:ascii="inherit" w:eastAsiaTheme="majorEastAsia" w:hAnsi="inherit" w:cs="Arial"/>
          <w:color w:val="636B75"/>
          <w:sz w:val="21"/>
          <w:szCs w:val="21"/>
          <w:bdr w:val="none" w:sz="0" w:space="0" w:color="auto" w:frame="1"/>
        </w:rPr>
        <w:t>Giroux 2013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t>(Henry A. Giroux, Professor at McMaster University in the English and Cultural Studies Department and a Distinguished Visiting Professorship at Ryerson University. The Violence of Organized Forgetting, Truthout | Op-Ed.  Monday, 22 July 2013 00:00,</w:t>
      </w:r>
      <w:hyperlink r:id="rId9" w:history="1">
        <w:r>
          <w:rPr>
            <w:rStyle w:val="wikigeneratedlinkcontent"/>
            <w:rFonts w:ascii="inherit" w:hAnsi="inherit" w:cs="Arial"/>
            <w:color w:val="0089DC"/>
            <w:sz w:val="21"/>
            <w:szCs w:val="21"/>
            <w:bdr w:val="none" w:sz="0" w:space="0" w:color="auto" w:frame="1"/>
          </w:rPr>
          <w:t>http://www.truth-out.org/opinion/item/17647-the-violence-of-organized-forgetting)</w:t>
        </w:r>
      </w:hyperlink>
    </w:p>
    <w:p w:rsidR="00C10306" w:rsidRDefault="00C10306" w:rsidP="00C1030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636B75"/>
          <w:sz w:val="21"/>
          <w:szCs w:val="21"/>
        </w:rPr>
      </w:pPr>
      <w:r>
        <w:rPr>
          <w:rFonts w:ascii="Arial" w:hAnsi="Arial" w:cs="Arial"/>
          <w:color w:val="636B75"/>
          <w:sz w:val="21"/>
          <w:szCs w:val="21"/>
        </w:rPr>
        <w:t>I want to argue that the current historical moment or what Stuart Hall calls the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br/>
        <w:t>AND</w:t>
      </w:r>
      <w:r>
        <w:rPr>
          <w:rFonts w:ascii="Arial" w:hAnsi="Arial" w:cs="Arial"/>
          <w:color w:val="636B75"/>
          <w:sz w:val="21"/>
          <w:szCs w:val="21"/>
        </w:rPr>
        <w:br/>
        <w:t>But historical and public memory is not merely on the side of domination.</w:t>
      </w:r>
    </w:p>
    <w:p w:rsidR="00C10306" w:rsidRDefault="00C10306" w:rsidP="00C10306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36B75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636B75"/>
          <w:sz w:val="21"/>
          <w:szCs w:val="21"/>
        </w:rPr>
        <w:t>The military-academic complex is merely one of many readily perceptible, but largely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br/>
        <w:t>AND</w:t>
      </w:r>
      <w:r>
        <w:rPr>
          <w:rFonts w:ascii="Arial" w:hAnsi="Arial" w:cs="Arial"/>
          <w:color w:val="636B75"/>
          <w:sz w:val="21"/>
          <w:szCs w:val="21"/>
        </w:rPr>
        <w:br/>
        <w:t>military desires as if this were but the natural way of the world.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br/>
        <w:t>Any determination of the ballot demands a prior question, one which attends to the unique confinements and constraints of both our current socio-political occasion but also this specific occasion and space of debate.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br/>
      </w:r>
      <w:r>
        <w:rPr>
          <w:rStyle w:val="Strong"/>
          <w:rFonts w:ascii="inherit" w:eastAsiaTheme="majorEastAsia" w:hAnsi="inherit" w:cs="Arial"/>
          <w:color w:val="636B75"/>
          <w:sz w:val="21"/>
          <w:szCs w:val="21"/>
          <w:bdr w:val="none" w:sz="0" w:space="0" w:color="auto" w:frame="1"/>
        </w:rPr>
        <w:t>Bowers 2011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t>(C.A. Bowers, University of Oregon.  Ecologically and Culturally Informed Educational Reforms in Teacher Education and Curriculum Studies.  Critical Education.  Volume 2 Number 14 December 20, 2011 ISSN 1920-4125)</w:t>
      </w:r>
    </w:p>
    <w:p w:rsidR="00C10306" w:rsidRDefault="00C10306" w:rsidP="00C1030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636B75"/>
          <w:sz w:val="21"/>
          <w:szCs w:val="21"/>
        </w:rPr>
      </w:pPr>
      <w:r>
        <w:rPr>
          <w:rFonts w:ascii="Arial" w:hAnsi="Arial" w:cs="Arial"/>
          <w:color w:val="636B75"/>
          <w:sz w:val="21"/>
          <w:szCs w:val="21"/>
        </w:rPr>
        <w:t>Classroom teachers and university professors do not have the political and economic power to challenge</w:t>
      </w:r>
      <w:r>
        <w:rPr>
          <w:rStyle w:val="apple-converted-space"/>
          <w:rFonts w:ascii="Arial" w:hAnsi="Arial" w:cs="Arial"/>
          <w:color w:val="636B75"/>
          <w:sz w:val="21"/>
          <w:szCs w:val="21"/>
        </w:rPr>
        <w:t> </w:t>
      </w:r>
      <w:r>
        <w:rPr>
          <w:rFonts w:ascii="Arial" w:hAnsi="Arial" w:cs="Arial"/>
          <w:color w:val="636B75"/>
          <w:sz w:val="21"/>
          <w:szCs w:val="21"/>
        </w:rPr>
        <w:br/>
        <w:t>AND</w:t>
      </w:r>
      <w:r>
        <w:rPr>
          <w:rFonts w:ascii="Arial" w:hAnsi="Arial" w:cs="Arial"/>
          <w:color w:val="636B75"/>
          <w:sz w:val="21"/>
          <w:szCs w:val="21"/>
        </w:rPr>
        <w:br/>
        <w:t>impact on universities that online news has had on the country’s traditional newspapers.</w:t>
      </w:r>
    </w:p>
    <w:p w:rsidR="000022F2" w:rsidRPr="00821FA0" w:rsidRDefault="000022F2" w:rsidP="00821FA0"/>
    <w:sectPr w:rsidR="000022F2" w:rsidRPr="00821FA0" w:rsidSect="00821FA0">
      <w:headerReference w:type="default" r:id="rId10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ECD" w:rsidRDefault="00347ECD" w:rsidP="005F5576">
      <w:r>
        <w:separator/>
      </w:r>
    </w:p>
  </w:endnote>
  <w:endnote w:type="continuationSeparator" w:id="0">
    <w:p w:rsidR="00347ECD" w:rsidRDefault="00347EC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ECD" w:rsidRDefault="00347ECD" w:rsidP="005F5576">
      <w:r>
        <w:separator/>
      </w:r>
    </w:p>
  </w:footnote>
  <w:footnote w:type="continuationSeparator" w:id="0">
    <w:p w:rsidR="00347ECD" w:rsidRDefault="00347ECD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0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1FC"/>
    <w:rsid w:val="001204C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47ECD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039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D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10306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805836EC-C8CD-47F4-B697-CDF072F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821FA0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6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821FA0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821FA0"/>
    <w:rPr>
      <w:rFonts w:ascii="Times New Roman" w:hAnsi="Times New Roman"/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  <w:style w:type="paragraph" w:styleId="NormalWeb">
    <w:name w:val="Normal (Web)"/>
    <w:basedOn w:val="Normal"/>
    <w:uiPriority w:val="99"/>
    <w:semiHidden/>
    <w:unhideWhenUsed/>
    <w:rsid w:val="00C1030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306"/>
    <w:rPr>
      <w:b/>
      <w:bCs/>
    </w:rPr>
  </w:style>
  <w:style w:type="character" w:customStyle="1" w:styleId="apple-converted-space">
    <w:name w:val="apple-converted-space"/>
    <w:basedOn w:val="DefaultParagraphFont"/>
    <w:rsid w:val="00C10306"/>
  </w:style>
  <w:style w:type="character" w:customStyle="1" w:styleId="wikiexternallink">
    <w:name w:val="wikiexternallink"/>
    <w:basedOn w:val="DefaultParagraphFont"/>
    <w:rsid w:val="00C10306"/>
  </w:style>
  <w:style w:type="character" w:customStyle="1" w:styleId="wikigeneratedlinkcontent">
    <w:name w:val="wikigeneratedlinkcontent"/>
    <w:basedOn w:val="DefaultParagraphFont"/>
    <w:rsid w:val="00C1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truth-out.org/opinion/item/17647-the-violence-of-organized-forgetting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2014-02-25T02:01:00Z</dcterms:created>
  <dcterms:modified xsi:type="dcterms:W3CDTF">2014-02-25T02:01:00Z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