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633" w:rsidRDefault="00954633" w:rsidP="00954633">
      <w:pPr>
        <w:pStyle w:val="Heading3"/>
      </w:pPr>
      <w:r>
        <w:t>Top Level</w:t>
      </w:r>
    </w:p>
    <w:p w:rsidR="00954633" w:rsidRPr="00C723BC" w:rsidRDefault="00954633" w:rsidP="00954633"/>
    <w:p w:rsidR="00954633" w:rsidRDefault="00954633" w:rsidP="00954633">
      <w:pPr>
        <w:rPr>
          <w:rStyle w:val="StyleStyleBold12pt"/>
        </w:rPr>
      </w:pPr>
    </w:p>
    <w:p w:rsidR="00954633" w:rsidRPr="00705F89" w:rsidRDefault="00954633" w:rsidP="00954633">
      <w:pPr>
        <w:pStyle w:val="Heading4"/>
      </w:pPr>
      <w:proofErr w:type="spellStart"/>
      <w:r w:rsidRPr="00705F89">
        <w:t>Korematsu</w:t>
      </w:r>
      <w:proofErr w:type="spellEnd"/>
      <w:r w:rsidRPr="00705F89">
        <w:t xml:space="preserve"> was rejected from the military for having a disability.</w:t>
      </w:r>
    </w:p>
    <w:p w:rsidR="00954633" w:rsidRPr="00C27ED8" w:rsidRDefault="00954633" w:rsidP="00954633">
      <w:pPr>
        <w:rPr>
          <w:rStyle w:val="StyleStyleBold12pt"/>
        </w:rPr>
      </w:pPr>
      <w:r w:rsidRPr="00C27ED8">
        <w:rPr>
          <w:rStyle w:val="StyleStyleBold12pt"/>
        </w:rPr>
        <w:t>Robert Jackson Center, No Date</w:t>
      </w:r>
    </w:p>
    <w:p w:rsidR="00954633" w:rsidRDefault="00954633" w:rsidP="00954633">
      <w:r>
        <w:t xml:space="preserve">[“Fred </w:t>
      </w:r>
      <w:proofErr w:type="spellStart"/>
      <w:r>
        <w:t>Korematsu</w:t>
      </w:r>
      <w:proofErr w:type="spellEnd"/>
      <w:r>
        <w:t xml:space="preserve">” </w:t>
      </w:r>
      <w:hyperlink r:id="rId11" w:history="1">
        <w:r w:rsidRPr="00D44CBD">
          <w:rPr>
            <w:rStyle w:val="Hyperlink"/>
          </w:rPr>
          <w:t>http://www.roberthjackson.org/the-man/speeches-articles/articles/remembering-korematsu/fred-korematsu/</w:t>
        </w:r>
      </w:hyperlink>
      <w:r>
        <w:t>, accessed 1-8-14, TAP]</w:t>
      </w:r>
    </w:p>
    <w:p w:rsidR="00954633" w:rsidRDefault="00954633" w:rsidP="00954633"/>
    <w:p w:rsidR="00954633" w:rsidRDefault="00954633" w:rsidP="00954633">
      <w:r w:rsidRPr="00954633">
        <w:t xml:space="preserve">A Brief History of Fred </w:t>
      </w:r>
      <w:proofErr w:type="spellStart"/>
      <w:r w:rsidRPr="00954633">
        <w:t>Korematsu</w:t>
      </w:r>
      <w:proofErr w:type="spellEnd"/>
      <w:r w:rsidRPr="00954633">
        <w:t xml:space="preserve">¶ It has been more than 50 years since </w:t>
      </w:r>
    </w:p>
    <w:p w:rsidR="00954633" w:rsidRDefault="00954633" w:rsidP="00954633">
      <w:r>
        <w:t>AND</w:t>
      </w:r>
    </w:p>
    <w:p w:rsidR="00954633" w:rsidRPr="00954633" w:rsidRDefault="00954633" w:rsidP="00954633">
      <w:r w:rsidRPr="00954633">
        <w:t>. He was 86 years old. Click here to read his obituary.</w:t>
      </w:r>
    </w:p>
    <w:p w:rsidR="00954633" w:rsidRDefault="00954633" w:rsidP="00954633"/>
    <w:p w:rsidR="00954633" w:rsidRDefault="00954633" w:rsidP="00954633">
      <w:pPr>
        <w:pStyle w:val="Heading4"/>
      </w:pPr>
      <w:r>
        <w:t>The historical evidence is mixed though – he was also rejected for racist reasons.</w:t>
      </w:r>
    </w:p>
    <w:p w:rsidR="00954633" w:rsidRPr="00705F89" w:rsidRDefault="00954633" w:rsidP="00954633">
      <w:pPr>
        <w:rPr>
          <w:rStyle w:val="StyleStyleBold12pt"/>
        </w:rPr>
      </w:pPr>
      <w:r w:rsidRPr="00705F89">
        <w:rPr>
          <w:rStyle w:val="StyleStyleBold12pt"/>
        </w:rPr>
        <w:t>NNDB, No Date</w:t>
      </w:r>
    </w:p>
    <w:p w:rsidR="00954633" w:rsidRDefault="00954633" w:rsidP="00954633">
      <w:r>
        <w:t xml:space="preserve">[Notable Names Database, “Fred </w:t>
      </w:r>
      <w:proofErr w:type="spellStart"/>
      <w:r>
        <w:t>Korematsu</w:t>
      </w:r>
      <w:proofErr w:type="spellEnd"/>
      <w:r>
        <w:t xml:space="preserve">” </w:t>
      </w:r>
      <w:hyperlink r:id="rId12" w:history="1">
        <w:r w:rsidRPr="00D44CBD">
          <w:rPr>
            <w:rStyle w:val="Hyperlink"/>
          </w:rPr>
          <w:t>http://www.nndb.com/people/492/000282643/</w:t>
        </w:r>
      </w:hyperlink>
      <w:r>
        <w:t>, accessed 1-8-14, TAP]</w:t>
      </w:r>
    </w:p>
    <w:p w:rsidR="00954633" w:rsidRDefault="00954633" w:rsidP="00954633"/>
    <w:p w:rsidR="00954633" w:rsidRDefault="00954633" w:rsidP="00954633">
      <w:r w:rsidRPr="00954633">
        <w:t xml:space="preserve">After the 1941 Japanese attack on Pearl Harbor, Fred </w:t>
      </w:r>
      <w:proofErr w:type="spellStart"/>
      <w:r w:rsidRPr="00954633">
        <w:t>Korematsu</w:t>
      </w:r>
      <w:proofErr w:type="spellEnd"/>
      <w:r w:rsidRPr="00954633">
        <w:t xml:space="preserve"> tried to enlist with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hoping</w:t>
      </w:r>
      <w:proofErr w:type="gramEnd"/>
      <w:r w:rsidRPr="00954633">
        <w:t xml:space="preserve"> to conceal the "Asian" look of his eyes and nose.</w:t>
      </w:r>
    </w:p>
    <w:p w:rsidR="00954633" w:rsidRDefault="00954633" w:rsidP="00954633"/>
    <w:p w:rsidR="00954633" w:rsidRDefault="00954633" w:rsidP="00954633">
      <w:pPr>
        <w:pStyle w:val="Heading4"/>
      </w:pPr>
      <w:r>
        <w:t xml:space="preserve">He underwent plastic surgery to change his appearance – this demonstrates how </w:t>
      </w:r>
      <w:proofErr w:type="spellStart"/>
      <w:r>
        <w:t>Korematsu</w:t>
      </w:r>
      <w:proofErr w:type="spellEnd"/>
      <w:r>
        <w:t xml:space="preserve"> represents the intersection of disability and race.</w:t>
      </w:r>
    </w:p>
    <w:p w:rsidR="00954633" w:rsidRPr="00C27ED8" w:rsidRDefault="00954633" w:rsidP="00954633">
      <w:pPr>
        <w:rPr>
          <w:rStyle w:val="StyleStyleBold12pt"/>
        </w:rPr>
      </w:pPr>
      <w:r w:rsidRPr="00C27ED8">
        <w:rPr>
          <w:rStyle w:val="StyleStyleBold12pt"/>
        </w:rPr>
        <w:t>Goldstein, New York Times, 2005</w:t>
      </w:r>
    </w:p>
    <w:p w:rsidR="00954633" w:rsidRDefault="00954633" w:rsidP="00954633">
      <w:r>
        <w:t xml:space="preserve">[Richard, “Fred </w:t>
      </w:r>
      <w:proofErr w:type="spellStart"/>
      <w:r>
        <w:t>Korematsu</w:t>
      </w:r>
      <w:proofErr w:type="spellEnd"/>
      <w:r>
        <w:t xml:space="preserve">, 86, Dies; Lost Key Suit on Internment” </w:t>
      </w:r>
      <w:hyperlink r:id="rId13" w:history="1">
        <w:r w:rsidRPr="00D44CBD">
          <w:rPr>
            <w:rStyle w:val="Hyperlink"/>
          </w:rPr>
          <w:t>http://www.nytimes.com/2005/04/01/national/01korematsu.html?_r=0&amp;pagewanted=print&amp;position</w:t>
        </w:r>
      </w:hyperlink>
      <w:r>
        <w:t>=, accessed 1-8-14, TAP]</w:t>
      </w:r>
    </w:p>
    <w:p w:rsidR="00954633" w:rsidRDefault="00954633" w:rsidP="00954633"/>
    <w:p w:rsidR="00954633" w:rsidRDefault="00954633" w:rsidP="00954633">
      <w:r w:rsidRPr="00954633">
        <w:t xml:space="preserve">Fred T. </w:t>
      </w:r>
      <w:proofErr w:type="spellStart"/>
      <w:r w:rsidRPr="00954633">
        <w:t>Korematsu</w:t>
      </w:r>
      <w:proofErr w:type="spellEnd"/>
      <w:r w:rsidRPr="00954633">
        <w:t xml:space="preserve">, who lost a Supreme Court challenge in 1944 to the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or</w:t>
      </w:r>
      <w:proofErr w:type="gramEnd"/>
      <w:r w:rsidRPr="00954633">
        <w:t xml:space="preserve"> declared military necessity our institutions must be vigilant in protecting constitutional guarantees."</w:t>
      </w:r>
    </w:p>
    <w:p w:rsidR="00954633" w:rsidRDefault="00954633" w:rsidP="00954633"/>
    <w:p w:rsidR="00954633" w:rsidRDefault="00954633" w:rsidP="00954633">
      <w:pPr>
        <w:pStyle w:val="Heading3"/>
      </w:pPr>
      <w:r>
        <w:lastRenderedPageBreak/>
        <w:t>2AC – Framework</w:t>
      </w:r>
    </w:p>
    <w:p w:rsidR="00954633" w:rsidRDefault="00954633" w:rsidP="00954633"/>
    <w:p w:rsidR="00954633" w:rsidRPr="008E0BA9" w:rsidRDefault="00954633" w:rsidP="00954633">
      <w:pPr>
        <w:pStyle w:val="Heading4"/>
      </w:pPr>
      <w:r w:rsidRPr="008E0BA9">
        <w:t xml:space="preserve">C. </w:t>
      </w:r>
      <w:r>
        <w:t>Clash</w:t>
      </w:r>
      <w:r w:rsidRPr="008E0BA9">
        <w:t xml:space="preserve"> uniquely solves critical thinking through deliberation that solves oppression.</w:t>
      </w:r>
    </w:p>
    <w:p w:rsidR="00954633" w:rsidRPr="006D034F" w:rsidRDefault="00954633" w:rsidP="00954633">
      <w:pPr>
        <w:rPr>
          <w:rStyle w:val="StyleStyleBold12pt"/>
        </w:rPr>
      </w:pPr>
      <w:r w:rsidRPr="006D034F">
        <w:rPr>
          <w:rStyle w:val="StyleStyleBold12pt"/>
        </w:rPr>
        <w:t>Lundberg, University of North Carolina Chapel Hill communications professor, 2010</w:t>
      </w:r>
    </w:p>
    <w:p w:rsidR="00954633" w:rsidRDefault="00954633" w:rsidP="00954633">
      <w:r>
        <w:t xml:space="preserve">[Christian, Navigating Opportunity: Policy Debate in the 21st Century by Allan Louden, “Tradition of Debate in North Carolina” </w:t>
      </w:r>
      <w:hyperlink r:id="rId14" w:anchor="v=onepage&amp;q=complex%20world&amp;f=false" w:history="1">
        <w:r>
          <w:rPr>
            <w:rStyle w:val="Hyperlink"/>
          </w:rPr>
          <w:t>http://books.google.com/books?id=ntHxX_9J7gYC&amp;printsec=frontcover#v=onepage&amp;q=complex%20world&amp;f=false</w:t>
        </w:r>
      </w:hyperlink>
      <w:r>
        <w:t>, p.311-3, accessed 8-8-12, TAP]</w:t>
      </w:r>
    </w:p>
    <w:p w:rsidR="00954633" w:rsidRDefault="00954633" w:rsidP="00954633"/>
    <w:p w:rsidR="00954633" w:rsidRDefault="00954633" w:rsidP="00954633">
      <w:r w:rsidRPr="00954633">
        <w:t xml:space="preserve">The second major problem with the critique that identifies a naivety in articulating debate and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their</w:t>
      </w:r>
      <w:proofErr w:type="gramEnd"/>
      <w:r w:rsidRPr="00954633">
        <w:t xml:space="preserve"> time and political energies toward policies that matter the most to them.</w:t>
      </w:r>
    </w:p>
    <w:p w:rsidR="00954633" w:rsidRDefault="00954633" w:rsidP="00954633">
      <w:r w:rsidRPr="00954633">
        <w:t xml:space="preserve">The merits of debate as a tool for building democratic capacity-building take on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concrete</w:t>
      </w:r>
      <w:proofErr w:type="gramEnd"/>
      <w:r w:rsidRPr="00954633">
        <w:t xml:space="preserve"> work to realize and expanded commitment to debate at colleges and universities.</w:t>
      </w:r>
    </w:p>
    <w:p w:rsidR="00954633" w:rsidRDefault="00954633" w:rsidP="00954633"/>
    <w:p w:rsidR="00954633" w:rsidRPr="00A75656" w:rsidRDefault="00954633" w:rsidP="00954633">
      <w:pPr>
        <w:pStyle w:val="Heading4"/>
      </w:pPr>
      <w:r>
        <w:t>Their model for debate is problematic – b</w:t>
      </w:r>
      <w:r w:rsidRPr="00A75656">
        <w:t xml:space="preserve">asing arguments in personal </w:t>
      </w:r>
      <w:r>
        <w:t>experience</w:t>
      </w:r>
      <w:r w:rsidRPr="00A75656">
        <w:t xml:space="preserve"> means we have to debate against </w:t>
      </w:r>
      <w:r>
        <w:t xml:space="preserve">the person, not the </w:t>
      </w:r>
      <w:proofErr w:type="spellStart"/>
      <w:r>
        <w:t>args</w:t>
      </w:r>
      <w:proofErr w:type="spellEnd"/>
      <w:r w:rsidRPr="00A75656">
        <w:t xml:space="preserve"> – this guarantees comments that fractures community, creates shallow dialogue and hurts individuals</w:t>
      </w:r>
    </w:p>
    <w:p w:rsidR="00954633" w:rsidRPr="00BF0C1E" w:rsidRDefault="00954633" w:rsidP="00954633">
      <w:r w:rsidRPr="00511FDA">
        <w:rPr>
          <w:rFonts w:eastAsia="MS Mincho"/>
        </w:rPr>
        <w:t xml:space="preserve">Deborah </w:t>
      </w:r>
      <w:proofErr w:type="spellStart"/>
      <w:r w:rsidRPr="00A75656">
        <w:rPr>
          <w:rStyle w:val="StyleStyleBold12pt"/>
        </w:rPr>
        <w:t>Tannen</w:t>
      </w:r>
      <w:proofErr w:type="spellEnd"/>
      <w:r w:rsidRPr="00511FDA">
        <w:rPr>
          <w:rFonts w:eastAsia="MS Mincho"/>
        </w:rPr>
        <w:t>, Ph.D.</w:t>
      </w:r>
      <w:r w:rsidRPr="00BF0C1E">
        <w:rPr>
          <w:rFonts w:eastAsia="MS Mincho"/>
        </w:rPr>
        <w:t>,</w:t>
      </w:r>
      <w:r w:rsidRPr="00BF0C1E">
        <w:t xml:space="preserve"> </w:t>
      </w:r>
      <w:r w:rsidRPr="00A75656">
        <w:rPr>
          <w:rStyle w:val="StyleStyleBold12pt"/>
        </w:rPr>
        <w:t>Georgetown University linguistics professor</w:t>
      </w:r>
      <w:r>
        <w:t>, ‘</w:t>
      </w:r>
      <w:r w:rsidRPr="00A75656">
        <w:rPr>
          <w:rStyle w:val="StyleStyleBold12pt"/>
        </w:rPr>
        <w:t>98</w:t>
      </w:r>
      <w:r w:rsidRPr="00BF0C1E">
        <w:t xml:space="preserve">, </w:t>
      </w:r>
      <w:r w:rsidRPr="00511FDA">
        <w:rPr>
          <w:rFonts w:eastAsia="MS Mincho"/>
        </w:rPr>
        <w:t xml:space="preserve">“The Argument Culture,” </w:t>
      </w:r>
      <w:r w:rsidRPr="00BF0C1E">
        <w:t>p. 81-3</w:t>
      </w:r>
    </w:p>
    <w:p w:rsidR="00954633" w:rsidRPr="00BF0C1E" w:rsidRDefault="00954633" w:rsidP="00954633"/>
    <w:p w:rsidR="00954633" w:rsidRDefault="00954633" w:rsidP="00954633">
      <w:r w:rsidRPr="00954633">
        <w:t xml:space="preserve">In explaining his decision, Admiral Inman described his personal reaction to criticism he considered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everyone</w:t>
      </w:r>
      <w:proofErr w:type="gramEnd"/>
      <w:r w:rsidRPr="00954633">
        <w:t>: journalists, their subjects, and citizens watching from the sidelines.</w:t>
      </w:r>
    </w:p>
    <w:p w:rsidR="00954633" w:rsidRDefault="00954633" w:rsidP="00954633">
      <w:r w:rsidRPr="00954633">
        <w:t xml:space="preserve">The only way anyone could think attacks would not be taken personally is to ignore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sound-bitten</w:t>
      </w:r>
      <w:proofErr w:type="gramEnd"/>
      <w:r w:rsidRPr="00954633">
        <w:t xml:space="preserve"> to death by the phrase “quota queen.’”</w:t>
      </w:r>
    </w:p>
    <w:p w:rsidR="00954633" w:rsidRPr="007A2B86" w:rsidRDefault="00954633" w:rsidP="00954633"/>
    <w:p w:rsidR="00954633" w:rsidRPr="00025E9D" w:rsidRDefault="00954633" w:rsidP="00954633">
      <w:pPr>
        <w:pStyle w:val="Heading4"/>
      </w:pPr>
      <w:r>
        <w:t>Your silence is telling – the performance of the 1nc is faint damnation of internment – it doesn’t capture the full force of the 1ac criticism.</w:t>
      </w:r>
    </w:p>
    <w:p w:rsidR="00954633" w:rsidRPr="00025E9D" w:rsidRDefault="00954633" w:rsidP="00954633">
      <w:pPr>
        <w:rPr>
          <w:rStyle w:val="StyleStyleBold12pt"/>
        </w:rPr>
      </w:pPr>
      <w:r w:rsidRPr="00025E9D">
        <w:rPr>
          <w:rStyle w:val="StyleStyleBold12pt"/>
        </w:rPr>
        <w:t>Yen, Boston College law professor, 1998</w:t>
      </w:r>
    </w:p>
    <w:p w:rsidR="00954633" w:rsidRPr="004457A2" w:rsidRDefault="00954633" w:rsidP="00954633">
      <w:pPr>
        <w:rPr>
          <w:rFonts w:asciiTheme="minorHAnsi" w:hAnsiTheme="minorHAnsi"/>
        </w:rPr>
      </w:pPr>
      <w:r>
        <w:t xml:space="preserve">[Alfred, </w:t>
      </w:r>
      <w:r w:rsidRPr="004457A2">
        <w:rPr>
          <w:rFonts w:asciiTheme="minorHAnsi" w:hAnsiTheme="minorHAnsi"/>
        </w:rPr>
        <w:t>40 B.C. L. Rev 1</w:t>
      </w:r>
      <w:r>
        <w:rPr>
          <w:rFonts w:asciiTheme="minorHAnsi" w:hAnsiTheme="minorHAnsi"/>
        </w:rPr>
        <w:t xml:space="preserve">, </w:t>
      </w:r>
      <w:r>
        <w:t>“</w:t>
      </w:r>
      <w:r w:rsidRPr="004457A2">
        <w:rPr>
          <w:rFonts w:asciiTheme="minorHAnsi" w:hAnsiTheme="minorHAnsi"/>
        </w:rPr>
        <w:t xml:space="preserve">SYMPOSIUM: Introduction: Praising </w:t>
      </w:r>
      <w:proofErr w:type="gramStart"/>
      <w:r w:rsidRPr="004457A2">
        <w:rPr>
          <w:rFonts w:asciiTheme="minorHAnsi" w:hAnsiTheme="minorHAnsi"/>
        </w:rPr>
        <w:t>With</w:t>
      </w:r>
      <w:proofErr w:type="gramEnd"/>
      <w:r w:rsidRPr="004457A2">
        <w:rPr>
          <w:rFonts w:asciiTheme="minorHAnsi" w:hAnsiTheme="minorHAnsi"/>
        </w:rPr>
        <w:t xml:space="preserve"> Faint Damnation -- The Troubling Rehabilitation of </w:t>
      </w:r>
      <w:proofErr w:type="spellStart"/>
      <w:r w:rsidRPr="004457A2">
        <w:rPr>
          <w:rFonts w:asciiTheme="minorHAnsi" w:hAnsiTheme="minorHAnsi"/>
        </w:rPr>
        <w:t>Korematsu</w:t>
      </w:r>
      <w:proofErr w:type="spellEnd"/>
      <w:r>
        <w:rPr>
          <w:rFonts w:asciiTheme="minorHAnsi" w:hAnsiTheme="minorHAnsi"/>
        </w:rPr>
        <w:t>” Lexis, accessed 10-22-13, TAP]</w:t>
      </w:r>
    </w:p>
    <w:p w:rsidR="00954633" w:rsidRDefault="00954633" w:rsidP="00954633">
      <w:pPr>
        <w:rPr>
          <w:rFonts w:asciiTheme="minorHAnsi" w:hAnsiTheme="minorHAnsi"/>
        </w:rPr>
      </w:pPr>
    </w:p>
    <w:p w:rsidR="00954633" w:rsidRDefault="00954633" w:rsidP="00954633">
      <w:r w:rsidRPr="00954633">
        <w:t xml:space="preserve">A prime example of the way in which </w:t>
      </w:r>
      <w:proofErr w:type="spellStart"/>
      <w:r w:rsidRPr="00954633">
        <w:t>Korematsu</w:t>
      </w:r>
      <w:proofErr w:type="spellEnd"/>
      <w:r w:rsidRPr="00954633">
        <w:t xml:space="preserve"> may be "praised with faint </w:t>
      </w:r>
    </w:p>
    <w:p w:rsidR="00954633" w:rsidRDefault="00954633" w:rsidP="00954633">
      <w:r>
        <w:t>AND</w:t>
      </w:r>
    </w:p>
    <w:p w:rsidR="00954633" w:rsidRPr="004457A2" w:rsidRDefault="00954633" w:rsidP="00954633">
      <w:pPr>
        <w:rPr>
          <w:rFonts w:asciiTheme="minorHAnsi" w:hAnsiTheme="minorHAnsi"/>
        </w:rPr>
      </w:pPr>
      <w:proofErr w:type="gramStart"/>
      <w:r w:rsidRPr="00025E9D">
        <w:rPr>
          <w:rStyle w:val="StyleBoldUnderline"/>
        </w:rPr>
        <w:t>because</w:t>
      </w:r>
      <w:proofErr w:type="gramEnd"/>
      <w:r w:rsidRPr="00025E9D">
        <w:rPr>
          <w:rStyle w:val="StyleBoldUnderline"/>
        </w:rPr>
        <w:t xml:space="preserve"> he </w:t>
      </w:r>
      <w:r w:rsidRPr="00312349">
        <w:rPr>
          <w:rStyle w:val="StyleBoldUnderline"/>
          <w:highlight w:val="yellow"/>
        </w:rPr>
        <w:t xml:space="preserve">studiously avoids criticizing </w:t>
      </w:r>
      <w:r w:rsidRPr="00025E9D">
        <w:rPr>
          <w:rStyle w:val="StyleBoldUnderline"/>
        </w:rPr>
        <w:t xml:space="preserve">every arm of the government responsible for </w:t>
      </w:r>
      <w:r w:rsidRPr="00312349">
        <w:rPr>
          <w:rStyle w:val="StyleBoldUnderline"/>
          <w:highlight w:val="yellow"/>
        </w:rPr>
        <w:t>internment</w:t>
      </w:r>
      <w:r w:rsidRPr="004457A2">
        <w:rPr>
          <w:rFonts w:asciiTheme="minorHAnsi" w:hAnsiTheme="minorHAnsi"/>
        </w:rPr>
        <w:t>.</w:t>
      </w:r>
    </w:p>
    <w:p w:rsidR="00954633" w:rsidRDefault="00954633" w:rsidP="00954633">
      <w:pPr>
        <w:rPr>
          <w:rFonts w:asciiTheme="minorHAnsi" w:hAnsiTheme="minorHAnsi"/>
        </w:rPr>
      </w:pPr>
    </w:p>
    <w:p w:rsidR="00954633" w:rsidRDefault="00954633" w:rsidP="00954633">
      <w:pPr>
        <w:pStyle w:val="CardTagandCite"/>
        <w:rPr>
          <w:rFonts w:asciiTheme="majorHAnsi" w:hAnsiTheme="majorHAnsi"/>
          <w:sz w:val="24"/>
        </w:rPr>
      </w:pPr>
    </w:p>
    <w:p w:rsidR="00954633" w:rsidRPr="00D0535F" w:rsidRDefault="00954633" w:rsidP="00954633">
      <w:pPr>
        <w:pStyle w:val="CardTagandCite"/>
        <w:rPr>
          <w:rFonts w:asciiTheme="majorHAnsi" w:hAnsiTheme="majorHAnsi"/>
          <w:sz w:val="24"/>
        </w:rPr>
      </w:pPr>
      <w:r w:rsidRPr="00D0535F">
        <w:rPr>
          <w:rFonts w:asciiTheme="majorHAnsi" w:hAnsiTheme="majorHAnsi"/>
          <w:sz w:val="24"/>
        </w:rPr>
        <w:t>Changing representational practices won’t alter policy, looking to structures and politics is more vital</w:t>
      </w:r>
    </w:p>
    <w:p w:rsidR="00954633" w:rsidRPr="00D0535F" w:rsidRDefault="00954633" w:rsidP="00954633">
      <w:pPr>
        <w:pStyle w:val="Nothing"/>
        <w:rPr>
          <w:rFonts w:asciiTheme="majorHAnsi" w:hAnsiTheme="majorHAnsi"/>
        </w:rPr>
      </w:pPr>
      <w:proofErr w:type="spellStart"/>
      <w:r w:rsidRPr="00D0535F">
        <w:rPr>
          <w:rStyle w:val="Heading3Char"/>
          <w:rFonts w:asciiTheme="majorHAnsi" w:hAnsiTheme="majorHAnsi"/>
        </w:rPr>
        <w:lastRenderedPageBreak/>
        <w:t>Tuathail</w:t>
      </w:r>
      <w:proofErr w:type="spellEnd"/>
      <w:r w:rsidRPr="00D0535F">
        <w:rPr>
          <w:rFonts w:asciiTheme="majorHAnsi" w:hAnsiTheme="majorHAnsi"/>
        </w:rPr>
        <w:t>, Department of Geography at Virginia Polytechnic Institute, Political Geography,</w:t>
      </w:r>
      <w:r w:rsidRPr="00D0535F">
        <w:rPr>
          <w:rStyle w:val="Heading3Char"/>
          <w:rFonts w:asciiTheme="majorHAnsi" w:hAnsiTheme="majorHAnsi"/>
        </w:rPr>
        <w:t xml:space="preserve"> 96</w:t>
      </w:r>
      <w:r w:rsidRPr="00D0535F">
        <w:rPr>
          <w:rFonts w:asciiTheme="majorHAnsi" w:hAnsiTheme="majorHAnsi"/>
        </w:rPr>
        <w:t xml:space="preserve"> (</w:t>
      </w:r>
      <w:proofErr w:type="spellStart"/>
      <w:r w:rsidRPr="00D0535F">
        <w:rPr>
          <w:rFonts w:asciiTheme="majorHAnsi" w:hAnsiTheme="majorHAnsi"/>
        </w:rPr>
        <w:t>Gearoid</w:t>
      </w:r>
      <w:proofErr w:type="spellEnd"/>
      <w:r w:rsidRPr="00D0535F">
        <w:rPr>
          <w:rFonts w:asciiTheme="majorHAnsi" w:hAnsiTheme="majorHAnsi"/>
        </w:rPr>
        <w:t xml:space="preserve"> </w:t>
      </w:r>
      <w:proofErr w:type="spellStart"/>
      <w:r w:rsidRPr="00D0535F">
        <w:rPr>
          <w:rFonts w:asciiTheme="majorHAnsi" w:hAnsiTheme="majorHAnsi"/>
        </w:rPr>
        <w:t>Tuathail</w:t>
      </w:r>
      <w:proofErr w:type="spellEnd"/>
      <w:r w:rsidRPr="00D0535F">
        <w:rPr>
          <w:rFonts w:asciiTheme="majorHAnsi" w:hAnsiTheme="majorHAnsi"/>
        </w:rPr>
        <w:t xml:space="preserve">, Department of Geography at Virginia Polytechnic Institute, Political Geography, 15(6-7), </w:t>
      </w:r>
      <w:proofErr w:type="gramStart"/>
      <w:r w:rsidRPr="00D0535F">
        <w:rPr>
          <w:rFonts w:asciiTheme="majorHAnsi" w:hAnsiTheme="majorHAnsi"/>
        </w:rPr>
        <w:t>664 )</w:t>
      </w:r>
      <w:proofErr w:type="gramEnd"/>
    </w:p>
    <w:p w:rsidR="00954633" w:rsidRPr="00D0535F" w:rsidRDefault="00954633" w:rsidP="00954633">
      <w:pPr>
        <w:pStyle w:val="Nothing"/>
        <w:rPr>
          <w:rFonts w:asciiTheme="majorHAnsi" w:hAnsiTheme="majorHAnsi"/>
        </w:rPr>
      </w:pPr>
    </w:p>
    <w:p w:rsidR="00954633" w:rsidRDefault="00954633" w:rsidP="00954633">
      <w:r w:rsidRPr="00954633">
        <w:t xml:space="preserve">While theoretical debates at academic </w:t>
      </w:r>
      <w:proofErr w:type="gramStart"/>
      <w:r w:rsidRPr="00954633">
        <w:t>conferences  are</w:t>
      </w:r>
      <w:proofErr w:type="gramEnd"/>
      <w:r w:rsidRPr="00954633">
        <w:t xml:space="preserve"> important to academics, the discourse and concerns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needs</w:t>
      </w:r>
      <w:proofErr w:type="gramEnd"/>
      <w:r w:rsidRPr="00954633">
        <w:t xml:space="preserve"> to always be open to the patterned mess that is  human history.</w:t>
      </w:r>
    </w:p>
    <w:p w:rsidR="00954633" w:rsidRPr="00D0535F" w:rsidRDefault="00954633" w:rsidP="00954633">
      <w:pPr>
        <w:rPr>
          <w:rFonts w:asciiTheme="majorHAnsi" w:hAnsiTheme="majorHAnsi"/>
        </w:rPr>
      </w:pPr>
    </w:p>
    <w:p w:rsidR="00954633" w:rsidRDefault="00954633" w:rsidP="00954633"/>
    <w:p w:rsidR="00954633" w:rsidRDefault="00954633" w:rsidP="00954633">
      <w:pPr>
        <w:pStyle w:val="Heading3"/>
      </w:pPr>
      <w:r>
        <w:lastRenderedPageBreak/>
        <w:t>Ballot Currency Frontline</w:t>
      </w:r>
    </w:p>
    <w:p w:rsidR="00954633" w:rsidRDefault="00954633" w:rsidP="00954633">
      <w:pPr>
        <w:pStyle w:val="Heading4"/>
      </w:pPr>
      <w:r>
        <w:t>Uniqueness – problems with debate exist, but the ballot isn’t necessary to solve – multiple forums solve.</w:t>
      </w:r>
    </w:p>
    <w:p w:rsidR="00954633" w:rsidRPr="007758A5" w:rsidRDefault="00954633" w:rsidP="00954633">
      <w:pPr>
        <w:rPr>
          <w:rStyle w:val="StyleStyleBold12pt"/>
        </w:rPr>
      </w:pPr>
      <w:r w:rsidRPr="007758A5">
        <w:rPr>
          <w:rStyle w:val="StyleStyleBold12pt"/>
        </w:rPr>
        <w:t>Ritter ’13</w:t>
      </w:r>
    </w:p>
    <w:p w:rsidR="00954633" w:rsidRDefault="00954633" w:rsidP="00954633">
      <w:r>
        <w:t xml:space="preserve">MICHAEL J. </w:t>
      </w:r>
      <w:proofErr w:type="gramStart"/>
      <w:r>
        <w:t>RITTER ,</w:t>
      </w:r>
      <w:proofErr w:type="gramEnd"/>
      <w:r>
        <w:t xml:space="preserve"> J.D. – Mr. Ritter received his law degree (J.D.) from the University of Texas School of Law. He is a former debater and currently coordinates the NATIONAL JOURNAL OF SPEECH 26 DEBATE – NJSD – VOLUME II: ISSUE One – SEPTEMBER 2013 – </w:t>
      </w:r>
      <w:hyperlink r:id="rId15" w:history="1">
        <w:r w:rsidRPr="000450FD">
          <w:rPr>
            <w:rStyle w:val="Hyperlink"/>
          </w:rPr>
          <w:t>http://site.theforensicsfiles.com/NJSD.2-1.Final.pdf</w:t>
        </w:r>
      </w:hyperlink>
      <w:r>
        <w:t>, p.32-3, accessed 10-5-13, TAP</w:t>
      </w:r>
    </w:p>
    <w:p w:rsidR="00954633" w:rsidRDefault="00954633" w:rsidP="00954633"/>
    <w:p w:rsidR="00954633" w:rsidRDefault="00954633" w:rsidP="00954633">
      <w:r w:rsidRPr="00954633">
        <w:t xml:space="preserve">The preceding discussion demonstrates why arguments about social change—¶ even social change within the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use</w:t>
      </w:r>
      <w:proofErr w:type="gramEnd"/>
      <w:r w:rsidRPr="00954633">
        <w:t xml:space="preserve"> techniques and modes of persuasion discussed by ¶ academics and rhetorical theories. </w:t>
      </w:r>
    </w:p>
    <w:p w:rsidR="00954633" w:rsidRDefault="00954633" w:rsidP="00954633">
      <w:r w:rsidRPr="00954633">
        <w:t xml:space="preserve">Debate rounds, at the very most, operate as venue solely for raising awareness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of</w:t>
      </w:r>
      <w:proofErr w:type="gramEnd"/>
      <w:r w:rsidRPr="00954633">
        <w:t xml:space="preserve"> ¶ anything beyond the ultimate question of who did the better debating. </w:t>
      </w:r>
    </w:p>
    <w:p w:rsidR="00954633" w:rsidRDefault="00954633" w:rsidP="00954633"/>
    <w:p w:rsidR="00954633" w:rsidRDefault="00954633" w:rsidP="00954633">
      <w:pPr>
        <w:pStyle w:val="Heading4"/>
      </w:pPr>
      <w:r>
        <w:t>Turn – their method turns the ballot into a referendum on privilege within the debate community – that trades off with out-of-round community solutions that are necessary to solve.</w:t>
      </w:r>
    </w:p>
    <w:p w:rsidR="00954633" w:rsidRPr="007758A5" w:rsidRDefault="00954633" w:rsidP="00954633">
      <w:pPr>
        <w:rPr>
          <w:rStyle w:val="StyleStyleBold12pt"/>
        </w:rPr>
      </w:pPr>
      <w:r w:rsidRPr="007758A5">
        <w:rPr>
          <w:rStyle w:val="StyleStyleBold12pt"/>
        </w:rPr>
        <w:t>Ritter ’13</w:t>
      </w:r>
    </w:p>
    <w:p w:rsidR="00954633" w:rsidRDefault="00954633" w:rsidP="00954633">
      <w:r>
        <w:t xml:space="preserve">MICHAEL J. </w:t>
      </w:r>
      <w:proofErr w:type="gramStart"/>
      <w:r>
        <w:t>RITTER ,</w:t>
      </w:r>
      <w:proofErr w:type="gramEnd"/>
      <w:r>
        <w:t xml:space="preserve"> J.D. – Mr. Ritter received his law degree (J.D.) from the University of Texas School of Law. He is a former debater and currently coordinates the NATIONAL JOURNAL OF SPEECH 26 DEBATE – NJSD – VOLUME II: ISSUE One – SEPTEMBER 2013 – </w:t>
      </w:r>
      <w:hyperlink r:id="rId16" w:history="1">
        <w:r w:rsidRPr="000450FD">
          <w:rPr>
            <w:rStyle w:val="Hyperlink"/>
          </w:rPr>
          <w:t>http://site.theforensicsfiles.com/NJSD.2-1.Final.pdf</w:t>
        </w:r>
      </w:hyperlink>
      <w:r>
        <w:t>, p.37, accessed 10-5-13, TAP</w:t>
      </w:r>
    </w:p>
    <w:p w:rsidR="00954633" w:rsidRDefault="00954633" w:rsidP="00954633"/>
    <w:p w:rsidR="00954633" w:rsidRDefault="00954633" w:rsidP="00954633">
      <w:r w:rsidRPr="00954633">
        <w:t xml:space="preserve">The fiction of social change through debate abuses the win–loss structure of ¶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of</w:t>
      </w:r>
      <w:proofErr w:type="gramEnd"/>
      <w:r w:rsidRPr="00954633">
        <w:t xml:space="preserve"> social issues within and outside the debate ¶ community by prompting backlash. </w:t>
      </w:r>
    </w:p>
    <w:p w:rsidR="00954633" w:rsidRDefault="00954633" w:rsidP="00954633"/>
    <w:p w:rsidR="00954633" w:rsidRDefault="00954633" w:rsidP="00954633"/>
    <w:p w:rsidR="00954633" w:rsidRDefault="00954633" w:rsidP="00954633"/>
    <w:p w:rsidR="00954633" w:rsidRDefault="00954633" w:rsidP="00954633">
      <w:pPr>
        <w:pStyle w:val="Heading3"/>
      </w:pPr>
      <w:r>
        <w:lastRenderedPageBreak/>
        <w:t>2ac – K – Perm</w:t>
      </w:r>
    </w:p>
    <w:p w:rsidR="00954633" w:rsidRDefault="00954633" w:rsidP="00954633"/>
    <w:p w:rsidR="00954633" w:rsidRDefault="00954633" w:rsidP="00954633">
      <w:pPr>
        <w:pStyle w:val="Heading4"/>
      </w:pPr>
      <w:r>
        <w:t xml:space="preserve">The </w:t>
      </w:r>
      <w:proofErr w:type="spellStart"/>
      <w:r>
        <w:t>aff</w:t>
      </w:r>
      <w:proofErr w:type="spellEnd"/>
      <w:r>
        <w:t xml:space="preserve"> provides a window for intersectional struggle.</w:t>
      </w:r>
    </w:p>
    <w:p w:rsidR="00954633" w:rsidRPr="00025E9D" w:rsidRDefault="00954633" w:rsidP="00954633">
      <w:pPr>
        <w:rPr>
          <w:rStyle w:val="StyleStyleBold12pt"/>
        </w:rPr>
      </w:pPr>
      <w:r w:rsidRPr="00025E9D">
        <w:rPr>
          <w:rStyle w:val="StyleStyleBold12pt"/>
        </w:rPr>
        <w:t xml:space="preserve">Yamamoto, University of Hawai'i law professor, and </w:t>
      </w:r>
      <w:proofErr w:type="spellStart"/>
      <w:r w:rsidRPr="00025E9D">
        <w:rPr>
          <w:rStyle w:val="StyleStyleBold12pt"/>
        </w:rPr>
        <w:t>Obrey</w:t>
      </w:r>
      <w:proofErr w:type="spellEnd"/>
      <w:r w:rsidRPr="00025E9D">
        <w:rPr>
          <w:rStyle w:val="StyleStyleBold12pt"/>
        </w:rPr>
        <w:t xml:space="preserve">, University of </w:t>
      </w:r>
      <w:proofErr w:type="spellStart"/>
      <w:r w:rsidRPr="00025E9D">
        <w:rPr>
          <w:rStyle w:val="StyleStyleBold12pt"/>
        </w:rPr>
        <w:t>Hawai'I</w:t>
      </w:r>
      <w:proofErr w:type="spellEnd"/>
      <w:r w:rsidRPr="00025E9D">
        <w:rPr>
          <w:rStyle w:val="StyleStyleBold12pt"/>
        </w:rPr>
        <w:t xml:space="preserve"> JD candidate, 2009</w:t>
      </w:r>
    </w:p>
    <w:p w:rsidR="00954633" w:rsidRPr="004457A2" w:rsidRDefault="00954633" w:rsidP="0095463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[Eric and Ashley </w:t>
      </w:r>
      <w:proofErr w:type="spellStart"/>
      <w:r>
        <w:rPr>
          <w:rFonts w:asciiTheme="minorHAnsi" w:hAnsiTheme="minorHAnsi"/>
        </w:rPr>
        <w:t>Kaiao</w:t>
      </w:r>
      <w:proofErr w:type="spellEnd"/>
      <w:r>
        <w:rPr>
          <w:rFonts w:asciiTheme="minorHAnsi" w:hAnsiTheme="minorHAnsi"/>
        </w:rPr>
        <w:t xml:space="preserve">, </w:t>
      </w:r>
      <w:r w:rsidRPr="004457A2">
        <w:rPr>
          <w:rFonts w:asciiTheme="minorHAnsi" w:hAnsiTheme="minorHAnsi"/>
        </w:rPr>
        <w:t>16 Asian Am. L.J. 5</w:t>
      </w:r>
      <w:r>
        <w:rPr>
          <w:rFonts w:asciiTheme="minorHAnsi" w:hAnsiTheme="minorHAnsi"/>
        </w:rPr>
        <w:t>, “</w:t>
      </w:r>
      <w:r w:rsidRPr="004457A2">
        <w:rPr>
          <w:rFonts w:asciiTheme="minorHAnsi" w:hAnsiTheme="minorHAnsi"/>
        </w:rPr>
        <w:t>Article: Reframing Redress: A "Social Healing Through Justice" Approach to United States-Native Hawaiian and Japan-Ainu Reconciliation Initiatives</w:t>
      </w:r>
      <w:r>
        <w:rPr>
          <w:rFonts w:asciiTheme="minorHAnsi" w:hAnsiTheme="minorHAnsi"/>
        </w:rPr>
        <w:t>” Lexis, accessed 10-22-13, TAP]</w:t>
      </w:r>
    </w:p>
    <w:p w:rsidR="00954633" w:rsidRPr="004457A2" w:rsidRDefault="00954633" w:rsidP="00954633">
      <w:pPr>
        <w:rPr>
          <w:rFonts w:asciiTheme="minorHAnsi" w:hAnsiTheme="minorHAnsi"/>
        </w:rPr>
      </w:pPr>
    </w:p>
    <w:p w:rsidR="00954633" w:rsidRDefault="00954633" w:rsidP="00954633">
      <w:r w:rsidRPr="00954633">
        <w:t xml:space="preserve">With the Congressional Commission's Report, the </w:t>
      </w:r>
      <w:proofErr w:type="spellStart"/>
      <w:r w:rsidRPr="00954633">
        <w:t>coram</w:t>
      </w:r>
      <w:proofErr w:type="spellEnd"/>
      <w:r w:rsidRPr="00954633">
        <w:t xml:space="preserve"> </w:t>
      </w:r>
      <w:proofErr w:type="spellStart"/>
      <w:r w:rsidRPr="00954633">
        <w:t>nobis</w:t>
      </w:r>
      <w:proofErr w:type="spellEnd"/>
      <w:r w:rsidRPr="00954633">
        <w:t xml:space="preserve"> court victories, and the pending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of</w:t>
      </w:r>
      <w:proofErr w:type="gramEnd"/>
      <w:r w:rsidRPr="00954633">
        <w:t xml:space="preserve"> internment. </w:t>
      </w:r>
      <w:proofErr w:type="gramStart"/>
      <w:r w:rsidRPr="00954633">
        <w:t>n56</w:t>
      </w:r>
      <w:proofErr w:type="gramEnd"/>
      <w:r w:rsidRPr="00954633">
        <w:t xml:space="preserve"> It also established an internment fund for public education.</w:t>
      </w:r>
    </w:p>
    <w:p w:rsidR="00954633" w:rsidRDefault="00954633" w:rsidP="00954633"/>
    <w:p w:rsidR="00954633" w:rsidRPr="00651C12" w:rsidRDefault="00954633" w:rsidP="00954633">
      <w:pPr>
        <w:pStyle w:val="Heading4"/>
      </w:pPr>
      <w:r>
        <w:t>And the perm is best – it is the basis for intersectional analysis.</w:t>
      </w:r>
    </w:p>
    <w:p w:rsidR="00954633" w:rsidRPr="00CE38FC" w:rsidRDefault="00954633" w:rsidP="00954633">
      <w:pPr>
        <w:rPr>
          <w:rStyle w:val="StyleStyleBold12pt"/>
        </w:rPr>
      </w:pPr>
      <w:proofErr w:type="spellStart"/>
      <w:r w:rsidRPr="00312349">
        <w:rPr>
          <w:rStyle w:val="StyleStyleBold12pt"/>
          <w:highlight w:val="yellow"/>
        </w:rPr>
        <w:t>Razack</w:t>
      </w:r>
      <w:proofErr w:type="spellEnd"/>
      <w:r w:rsidRPr="00312349">
        <w:rPr>
          <w:rStyle w:val="StyleStyleBold12pt"/>
          <w:highlight w:val="yellow"/>
        </w:rPr>
        <w:t>,</w:t>
      </w:r>
      <w:r w:rsidRPr="00CE38FC">
        <w:rPr>
          <w:rStyle w:val="StyleStyleBold12pt"/>
        </w:rPr>
        <w:t xml:space="preserve"> University of Toronto sociology professor, 1998</w:t>
      </w:r>
    </w:p>
    <w:p w:rsidR="00954633" w:rsidRPr="00143639" w:rsidRDefault="00954633" w:rsidP="00954633">
      <w:r w:rsidRPr="00143639">
        <w:t xml:space="preserve">Sociology and Equity Studies in Education, the Ontario Institute for Studies in Education of the University of Toronto, </w:t>
      </w:r>
      <w:r w:rsidRPr="00312349">
        <w:rPr>
          <w:highlight w:val="yellow"/>
        </w:rPr>
        <w:t>98</w:t>
      </w:r>
      <w:r w:rsidRPr="00143639">
        <w:t xml:space="preserve"> [</w:t>
      </w:r>
      <w:proofErr w:type="spellStart"/>
      <w:r w:rsidRPr="00143639">
        <w:t>Sherene</w:t>
      </w:r>
      <w:proofErr w:type="spellEnd"/>
      <w:r w:rsidRPr="00143639">
        <w:t>, “Race, Space, and Prostitution: The Making of the Bourgeois Subject”, Canadian Journal of Women and the Law, 12/1, pg. Women’s Studies International]</w:t>
      </w:r>
    </w:p>
    <w:p w:rsidR="00954633" w:rsidRDefault="00954633" w:rsidP="00954633"/>
    <w:p w:rsidR="00954633" w:rsidRDefault="00954633" w:rsidP="00954633">
      <w:r w:rsidRPr="00954633">
        <w:t xml:space="preserve">To focus on one system of oppression has not sufficed to point the way to </w:t>
      </w:r>
    </w:p>
    <w:p w:rsidR="00954633" w:rsidRDefault="00954633" w:rsidP="00954633">
      <w:r>
        <w:t>AND</w:t>
      </w:r>
    </w:p>
    <w:p w:rsidR="00954633" w:rsidRPr="00954633" w:rsidRDefault="00954633" w:rsidP="00954633">
      <w:r w:rsidRPr="00954633">
        <w:t>, we over-simplify what can be achieved by regulation or deregulation.</w:t>
      </w:r>
    </w:p>
    <w:p w:rsidR="00954633" w:rsidRDefault="00954633" w:rsidP="00954633"/>
    <w:p w:rsidR="00954633" w:rsidRDefault="00954633" w:rsidP="00954633">
      <w:pPr>
        <w:pStyle w:val="Heading4"/>
      </w:pPr>
      <w:r>
        <w:t xml:space="preserve">Our strategy is </w:t>
      </w:r>
      <w:proofErr w:type="spellStart"/>
      <w:r>
        <w:t>compararively</w:t>
      </w:r>
      <w:proofErr w:type="spellEnd"/>
      <w:r>
        <w:t xml:space="preserve"> better at breaking down dominant narratives </w:t>
      </w:r>
    </w:p>
    <w:p w:rsidR="00954633" w:rsidRPr="00025E9D" w:rsidRDefault="00954633" w:rsidP="00954633">
      <w:pPr>
        <w:rPr>
          <w:rStyle w:val="StyleStyleBold12pt"/>
        </w:rPr>
      </w:pPr>
      <w:r w:rsidRPr="00025E9D">
        <w:rPr>
          <w:rStyle w:val="StyleStyleBold12pt"/>
        </w:rPr>
        <w:t xml:space="preserve">Chon, </w:t>
      </w:r>
      <w:r>
        <w:rPr>
          <w:rStyle w:val="StyleStyleBold12pt"/>
        </w:rPr>
        <w:t xml:space="preserve">Seattle University Law Research and Centers associate dean, </w:t>
      </w:r>
      <w:r w:rsidRPr="00025E9D">
        <w:rPr>
          <w:rStyle w:val="StyleStyleBold12pt"/>
        </w:rPr>
        <w:t>2010</w:t>
      </w:r>
    </w:p>
    <w:p w:rsidR="00954633" w:rsidRDefault="00954633" w:rsidP="0095463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[Margaret, Seattle University law professor, 8 Seattle J. Soc. Just. 643, “ACCESS TO JUSTICE: Remembering and Repairing: The Error </w:t>
      </w:r>
      <w:proofErr w:type="gramStart"/>
      <w:r>
        <w:rPr>
          <w:rFonts w:asciiTheme="minorHAnsi" w:hAnsiTheme="minorHAnsi"/>
        </w:rPr>
        <w:t>Before</w:t>
      </w:r>
      <w:proofErr w:type="gramEnd"/>
      <w:r>
        <w:rPr>
          <w:rFonts w:asciiTheme="minorHAnsi" w:hAnsiTheme="minorHAnsi"/>
        </w:rPr>
        <w:t xml:space="preserve"> Us, In Our Presence” Lexis, accessed 10-25-13, TAP]</w:t>
      </w:r>
    </w:p>
    <w:p w:rsidR="00954633" w:rsidRDefault="00954633" w:rsidP="00954633">
      <w:pPr>
        <w:rPr>
          <w:rFonts w:asciiTheme="minorHAnsi" w:hAnsiTheme="minorHAnsi"/>
        </w:rPr>
      </w:pPr>
    </w:p>
    <w:p w:rsidR="00954633" w:rsidRDefault="00954633" w:rsidP="00954633">
      <w:r w:rsidRPr="00954633">
        <w:t xml:space="preserve">In addressing inequality, we also need to be wary of unwarranted utopianism or premature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person</w:t>
      </w:r>
      <w:proofErr w:type="gramEnd"/>
      <w:r w:rsidRPr="00954633">
        <w:t xml:space="preserve"> can make a difference, even if it takes forty years. n52</w:t>
      </w:r>
    </w:p>
    <w:p w:rsidR="00954633" w:rsidRDefault="00954633" w:rsidP="00954633">
      <w:pPr>
        <w:rPr>
          <w:rFonts w:asciiTheme="minorHAnsi" w:hAnsiTheme="minorHAnsi"/>
        </w:rPr>
      </w:pPr>
    </w:p>
    <w:p w:rsidR="00954633" w:rsidRPr="009C5ECC" w:rsidRDefault="00954633" w:rsidP="00954633"/>
    <w:p w:rsidR="00954633" w:rsidRDefault="00954633" w:rsidP="00954633">
      <w:pPr>
        <w:pStyle w:val="Heading3"/>
      </w:pPr>
      <w:r>
        <w:lastRenderedPageBreak/>
        <w:t xml:space="preserve">2ac – </w:t>
      </w:r>
      <w:proofErr w:type="spellStart"/>
      <w:r>
        <w:t>Korematsu</w:t>
      </w:r>
      <w:proofErr w:type="spellEnd"/>
      <w:r>
        <w:t xml:space="preserve"> Education Good</w:t>
      </w:r>
    </w:p>
    <w:p w:rsidR="00954633" w:rsidRDefault="00954633" w:rsidP="00954633"/>
    <w:p w:rsidR="00954633" w:rsidRDefault="00954633" w:rsidP="00954633"/>
    <w:p w:rsidR="00954633" w:rsidRDefault="00954633" w:rsidP="00954633">
      <w:pPr>
        <w:pStyle w:val="Heading4"/>
      </w:pPr>
      <w:r>
        <w:t>Japanese internment is useful to any conversation about racial injustice.</w:t>
      </w:r>
    </w:p>
    <w:p w:rsidR="00954633" w:rsidRPr="00025E9D" w:rsidRDefault="00954633" w:rsidP="00954633">
      <w:pPr>
        <w:rPr>
          <w:rStyle w:val="StyleStyleBold12pt"/>
        </w:rPr>
      </w:pPr>
      <w:r w:rsidRPr="00025E9D">
        <w:rPr>
          <w:rStyle w:val="StyleStyleBold12pt"/>
        </w:rPr>
        <w:t xml:space="preserve">Chon, </w:t>
      </w:r>
      <w:r>
        <w:rPr>
          <w:rStyle w:val="StyleStyleBold12pt"/>
        </w:rPr>
        <w:t xml:space="preserve">Seattle University Law Research and Centers associate dean, </w:t>
      </w:r>
      <w:r w:rsidRPr="00025E9D">
        <w:rPr>
          <w:rStyle w:val="StyleStyleBold12pt"/>
        </w:rPr>
        <w:t>2010</w:t>
      </w:r>
    </w:p>
    <w:p w:rsidR="00954633" w:rsidRDefault="00954633" w:rsidP="0095463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[Margaret, Seattle University law professor, 8 Seattle J. Soc. Just. 643, “ACCESS TO JUSTICE: Remembering and Repairing: The Error </w:t>
      </w:r>
      <w:proofErr w:type="gramStart"/>
      <w:r>
        <w:rPr>
          <w:rFonts w:asciiTheme="minorHAnsi" w:hAnsiTheme="minorHAnsi"/>
        </w:rPr>
        <w:t>Before</w:t>
      </w:r>
      <w:proofErr w:type="gramEnd"/>
      <w:r>
        <w:rPr>
          <w:rFonts w:asciiTheme="minorHAnsi" w:hAnsiTheme="minorHAnsi"/>
        </w:rPr>
        <w:t xml:space="preserve"> Us, In Our Presence” Lexis, accessed 10-25-13, TAP]</w:t>
      </w:r>
    </w:p>
    <w:p w:rsidR="00954633" w:rsidRPr="004457A2" w:rsidRDefault="00954633" w:rsidP="00954633">
      <w:pPr>
        <w:rPr>
          <w:rFonts w:asciiTheme="minorHAnsi" w:hAnsiTheme="minorHAnsi"/>
        </w:rPr>
      </w:pPr>
    </w:p>
    <w:p w:rsidR="00954633" w:rsidRDefault="00954633" w:rsidP="00954633">
      <w:r w:rsidRPr="00954633">
        <w:t xml:space="preserve">Purely legal approaches toward reparations suffer from theoretical limitations, which range from the technical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through</w:t>
      </w:r>
      <w:proofErr w:type="gramEnd"/>
      <w:r w:rsidRPr="00954633">
        <w:t xml:space="preserve"> the law in conjunction with other sociocultural processes, such as education.</w:t>
      </w:r>
    </w:p>
    <w:p w:rsidR="00954633" w:rsidRDefault="00954633" w:rsidP="00954633">
      <w:pPr>
        <w:rPr>
          <w:rFonts w:asciiTheme="minorHAnsi" w:hAnsiTheme="minorHAnsi"/>
        </w:rPr>
      </w:pPr>
    </w:p>
    <w:p w:rsidR="00954633" w:rsidRDefault="00954633" w:rsidP="00954633">
      <w:pPr>
        <w:pStyle w:val="Heading4"/>
      </w:pPr>
      <w:proofErr w:type="spellStart"/>
      <w:r>
        <w:t>Korematsu</w:t>
      </w:r>
      <w:proofErr w:type="spellEnd"/>
      <w:r>
        <w:t xml:space="preserve"> is an important part of the curriculum.</w:t>
      </w:r>
    </w:p>
    <w:p w:rsidR="00954633" w:rsidRPr="00025E9D" w:rsidRDefault="00954633" w:rsidP="00954633">
      <w:pPr>
        <w:rPr>
          <w:rStyle w:val="StyleStyleBold12pt"/>
        </w:rPr>
      </w:pPr>
      <w:r w:rsidRPr="00025E9D">
        <w:rPr>
          <w:rStyle w:val="StyleStyleBold12pt"/>
        </w:rPr>
        <w:t xml:space="preserve">Chon, </w:t>
      </w:r>
      <w:r>
        <w:rPr>
          <w:rStyle w:val="StyleStyleBold12pt"/>
        </w:rPr>
        <w:t xml:space="preserve">Seattle University Law Research and Centers associate dean, </w:t>
      </w:r>
      <w:r w:rsidRPr="00025E9D">
        <w:rPr>
          <w:rStyle w:val="StyleStyleBold12pt"/>
        </w:rPr>
        <w:t>2010</w:t>
      </w:r>
    </w:p>
    <w:p w:rsidR="00954633" w:rsidRDefault="00954633" w:rsidP="0095463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[Margaret, Seattle University law professor, 8 Seattle J. Soc. Just. 643, “ACCESS TO JUSTICE: Remembering and Repairing: The Error </w:t>
      </w:r>
      <w:proofErr w:type="gramStart"/>
      <w:r>
        <w:rPr>
          <w:rFonts w:asciiTheme="minorHAnsi" w:hAnsiTheme="minorHAnsi"/>
        </w:rPr>
        <w:t>Before</w:t>
      </w:r>
      <w:proofErr w:type="gramEnd"/>
      <w:r>
        <w:rPr>
          <w:rFonts w:asciiTheme="minorHAnsi" w:hAnsiTheme="minorHAnsi"/>
        </w:rPr>
        <w:t xml:space="preserve"> Us, In Our Presence” Lexis, accessed 10-25-13, TAP]</w:t>
      </w:r>
    </w:p>
    <w:p w:rsidR="00954633" w:rsidRPr="004457A2" w:rsidRDefault="00954633" w:rsidP="00954633">
      <w:pPr>
        <w:rPr>
          <w:rFonts w:asciiTheme="minorHAnsi" w:hAnsiTheme="minorHAnsi"/>
        </w:rPr>
      </w:pPr>
    </w:p>
    <w:p w:rsidR="00954633" w:rsidRDefault="00954633" w:rsidP="00954633">
      <w:r w:rsidRPr="00954633">
        <w:t xml:space="preserve">Through the vehicle of </w:t>
      </w:r>
      <w:proofErr w:type="spellStart"/>
      <w:r w:rsidRPr="00954633">
        <w:t>coram</w:t>
      </w:r>
      <w:proofErr w:type="spellEnd"/>
      <w:r w:rsidRPr="00954633">
        <w:t xml:space="preserve"> </w:t>
      </w:r>
      <w:proofErr w:type="spellStart"/>
      <w:r w:rsidRPr="00954633">
        <w:t>nobis</w:t>
      </w:r>
      <w:proofErr w:type="spellEnd"/>
      <w:r w:rsidRPr="00954633">
        <w:t xml:space="preserve">, the original trial court can consider facts that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such</w:t>
      </w:r>
      <w:proofErr w:type="gramEnd"/>
      <w:r w:rsidRPr="00954633">
        <w:t xml:space="preserve"> harm into or the omission of important narratives from present everyday practices.</w:t>
      </w:r>
    </w:p>
    <w:p w:rsidR="00954633" w:rsidRDefault="00954633" w:rsidP="00954633">
      <w:pPr>
        <w:rPr>
          <w:rFonts w:asciiTheme="minorHAnsi" w:hAnsiTheme="minorHAnsi"/>
        </w:rPr>
      </w:pPr>
    </w:p>
    <w:p w:rsidR="00954633" w:rsidRDefault="00954633" w:rsidP="00954633">
      <w:pPr>
        <w:pStyle w:val="Heading4"/>
      </w:pPr>
      <w:proofErr w:type="spellStart"/>
      <w:r>
        <w:t>Korematsu</w:t>
      </w:r>
      <w:proofErr w:type="spellEnd"/>
      <w:r>
        <w:t xml:space="preserve"> provides important education about activism.</w:t>
      </w:r>
    </w:p>
    <w:p w:rsidR="00954633" w:rsidRPr="002A3B75" w:rsidRDefault="00954633" w:rsidP="00954633">
      <w:pPr>
        <w:rPr>
          <w:rStyle w:val="StyleStyleBold12pt"/>
        </w:rPr>
      </w:pPr>
      <w:r w:rsidRPr="002A3B75">
        <w:rPr>
          <w:rStyle w:val="StyleStyleBold12pt"/>
        </w:rPr>
        <w:t>Gruber, Florida International University associate law professor, 2006</w:t>
      </w:r>
    </w:p>
    <w:p w:rsidR="00954633" w:rsidRPr="004457A2" w:rsidRDefault="00954633" w:rsidP="00954633">
      <w:pPr>
        <w:rPr>
          <w:rFonts w:asciiTheme="minorHAnsi" w:hAnsiTheme="minorHAnsi"/>
        </w:rPr>
      </w:pPr>
      <w:r>
        <w:t>[</w:t>
      </w:r>
      <w:proofErr w:type="spellStart"/>
      <w:r>
        <w:t>Aya</w:t>
      </w:r>
      <w:proofErr w:type="spellEnd"/>
      <w:r>
        <w:t xml:space="preserve">, </w:t>
      </w:r>
      <w:r w:rsidRPr="004457A2">
        <w:rPr>
          <w:rFonts w:asciiTheme="minorHAnsi" w:hAnsiTheme="minorHAnsi"/>
        </w:rPr>
        <w:t>54 Kan. L. Rev. 307</w:t>
      </w:r>
      <w:r>
        <w:rPr>
          <w:rFonts w:asciiTheme="minorHAnsi" w:hAnsiTheme="minorHAnsi"/>
        </w:rPr>
        <w:t>, “</w:t>
      </w:r>
      <w:r w:rsidRPr="004457A2">
        <w:rPr>
          <w:rFonts w:asciiTheme="minorHAnsi" w:hAnsiTheme="minorHAnsi"/>
        </w:rPr>
        <w:t>ARTICLE: Raising the Red Flag: The Continued Relevance of the Japanese Internment in the Post-</w:t>
      </w:r>
      <w:proofErr w:type="spellStart"/>
      <w:r w:rsidRPr="004457A2">
        <w:rPr>
          <w:rFonts w:asciiTheme="minorHAnsi" w:hAnsiTheme="minorHAnsi"/>
        </w:rPr>
        <w:t>Hamdi</w:t>
      </w:r>
      <w:proofErr w:type="spellEnd"/>
      <w:r w:rsidRPr="004457A2">
        <w:rPr>
          <w:rFonts w:asciiTheme="minorHAnsi" w:hAnsiTheme="minorHAnsi"/>
        </w:rPr>
        <w:t xml:space="preserve"> World</w:t>
      </w:r>
      <w:r>
        <w:rPr>
          <w:rFonts w:asciiTheme="minorHAnsi" w:hAnsiTheme="minorHAnsi"/>
        </w:rPr>
        <w:t>” Lexis, accessed 11-2-13, TAP]</w:t>
      </w:r>
    </w:p>
    <w:p w:rsidR="00954633" w:rsidRPr="004457A2" w:rsidRDefault="00954633" w:rsidP="00954633">
      <w:pPr>
        <w:rPr>
          <w:rFonts w:asciiTheme="minorHAnsi" w:hAnsiTheme="minorHAnsi"/>
        </w:rPr>
      </w:pPr>
    </w:p>
    <w:p w:rsidR="00954633" w:rsidRDefault="00954633" w:rsidP="00954633">
      <w:r w:rsidRPr="00954633">
        <w:t xml:space="preserve">Examining the legal literature, there are two different but related areas in which the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is</w:t>
      </w:r>
      <w:proofErr w:type="gramEnd"/>
      <w:r w:rsidRPr="00954633">
        <w:t xml:space="preserve"> a necessity; it is a struggle we all must join. n80</w:t>
      </w:r>
    </w:p>
    <w:p w:rsidR="00954633" w:rsidRPr="00954633" w:rsidRDefault="00954633" w:rsidP="00954633">
      <w:r w:rsidRPr="004457A2">
        <w:rPr>
          <w:rFonts w:asciiTheme="minorHAnsi" w:hAnsiTheme="minorHAnsi"/>
        </w:rPr>
        <w:t xml:space="preserve"> </w:t>
      </w:r>
    </w:p>
    <w:p w:rsidR="00954633" w:rsidRDefault="00954633" w:rsidP="00954633">
      <w:pPr>
        <w:rPr>
          <w:rFonts w:asciiTheme="minorHAnsi" w:hAnsiTheme="minorHAnsi"/>
        </w:rPr>
      </w:pPr>
    </w:p>
    <w:p w:rsidR="00954633" w:rsidRDefault="00954633" w:rsidP="00954633">
      <w:pPr>
        <w:pStyle w:val="Heading3"/>
      </w:pPr>
      <w:r>
        <w:lastRenderedPageBreak/>
        <w:t>State Good – Frontline</w:t>
      </w:r>
    </w:p>
    <w:p w:rsidR="00954633" w:rsidRDefault="00954633" w:rsidP="00954633">
      <w:pPr>
        <w:pStyle w:val="Heading4"/>
      </w:pPr>
      <w:r>
        <w:t>Using the state doesn’t compromise ethics – using it strategically in the short term does not trade off with long term revolution.</w:t>
      </w:r>
    </w:p>
    <w:p w:rsidR="00954633" w:rsidRPr="00714594" w:rsidRDefault="00954633" w:rsidP="00954633">
      <w:pPr>
        <w:rPr>
          <w:rStyle w:val="StyleStyleBold12pt"/>
        </w:rPr>
      </w:pPr>
      <w:r w:rsidRPr="00B4475B">
        <w:rPr>
          <w:rStyle w:val="StyleStyleBold12pt"/>
          <w:highlight w:val="yellow"/>
        </w:rPr>
        <w:t>Smith</w:t>
      </w:r>
      <w:r w:rsidRPr="00714594">
        <w:rPr>
          <w:rStyle w:val="StyleStyleBold12pt"/>
        </w:rPr>
        <w:t xml:space="preserve">, Associate Professor of Media and Cultural Studies at UC Riverside, </w:t>
      </w:r>
      <w:r w:rsidRPr="00B4475B">
        <w:rPr>
          <w:rStyle w:val="StyleStyleBold12pt"/>
          <w:highlight w:val="yellow"/>
        </w:rPr>
        <w:t>12</w:t>
      </w:r>
    </w:p>
    <w:p w:rsidR="00954633" w:rsidRPr="00714594" w:rsidRDefault="00954633" w:rsidP="00954633">
      <w:r>
        <w:t xml:space="preserve"> (Andrea, “The Moral Limits of the Law: Settler Colonialism and the Anti-Violence Movement,” </w:t>
      </w:r>
      <w:r w:rsidRPr="00714594">
        <w:t xml:space="preserve">settler colonial studies 2, 2 (2012) Special Issue: </w:t>
      </w:r>
      <w:proofErr w:type="spellStart"/>
      <w:r w:rsidRPr="00714594">
        <w:t>Karangatia</w:t>
      </w:r>
      <w:proofErr w:type="spellEnd"/>
      <w:r w:rsidRPr="00714594">
        <w:t>: Calling Out Gender and Sexuality in Settler Societies</w:t>
      </w:r>
      <w:r>
        <w:t xml:space="preserve">, </w:t>
      </w:r>
      <w:r w:rsidRPr="00714594">
        <w:t>http://www.tandfonline.com/doi/pdf/10.1080/2201473X.2012.10648842</w:t>
      </w:r>
      <w:r>
        <w:t>, accessed 10-18-13, CMM)</w:t>
      </w:r>
    </w:p>
    <w:p w:rsidR="00954633" w:rsidRDefault="00954633" w:rsidP="00954633"/>
    <w:p w:rsidR="00954633" w:rsidRDefault="00954633" w:rsidP="00954633">
      <w:r w:rsidRPr="00954633">
        <w:t xml:space="preserve">In the debates prevalent within Native sovereignty and racial justice movements, we are often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Native women’s lives by buttressing the prison industrial complex and its violent logics.</w:t>
      </w:r>
      <w:proofErr w:type="gramEnd"/>
      <w:r w:rsidRPr="00954633">
        <w:t xml:space="preserve"> </w:t>
      </w:r>
    </w:p>
    <w:p w:rsidR="00954633" w:rsidRDefault="00954633" w:rsidP="00954633">
      <w:r w:rsidRPr="00954633">
        <w:t xml:space="preserve">While this reformist versus revolutionary dichotomy suggests two radically different positions, in reality they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would</w:t>
      </w:r>
      <w:proofErr w:type="gramEnd"/>
      <w:r w:rsidRPr="00954633">
        <w:t xml:space="preserve"> free us to change our strategies as we assess its strategic effects. </w:t>
      </w:r>
    </w:p>
    <w:p w:rsidR="00954633" w:rsidRDefault="00954633" w:rsidP="00954633">
      <w:r w:rsidRPr="00954633">
        <w:t xml:space="preserve">At the same time, by divesting from the morality of the law, we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an</w:t>
      </w:r>
      <w:proofErr w:type="gramEnd"/>
      <w:r w:rsidRPr="00954633">
        <w:t xml:space="preserve"> alternative system to the </w:t>
      </w:r>
      <w:proofErr w:type="spellStart"/>
      <w:r w:rsidRPr="00954633">
        <w:t>heteropatriarchal</w:t>
      </w:r>
      <w:proofErr w:type="spellEnd"/>
      <w:r w:rsidRPr="00954633">
        <w:t xml:space="preserve">, white supremacist, settler colonial state. </w:t>
      </w:r>
    </w:p>
    <w:p w:rsidR="00954633" w:rsidRPr="00714594" w:rsidRDefault="00954633" w:rsidP="00954633"/>
    <w:p w:rsidR="00954633" w:rsidRDefault="00954633" w:rsidP="00954633">
      <w:pPr>
        <w:pStyle w:val="Heading4"/>
      </w:pPr>
      <w:bookmarkStart w:id="0" w:name="_GoBack"/>
      <w:bookmarkEnd w:id="0"/>
      <w:r>
        <w:t>Totalizing opposition creates a culture of suspicion that fails to materialize change.</w:t>
      </w:r>
    </w:p>
    <w:p w:rsidR="00954633" w:rsidRPr="00C2002F" w:rsidRDefault="00954633" w:rsidP="00954633">
      <w:pPr>
        <w:rPr>
          <w:rStyle w:val="Heading4Char"/>
        </w:rPr>
      </w:pPr>
      <w:r w:rsidRPr="00C518E7">
        <w:rPr>
          <w:rStyle w:val="StyleStyleBold12pt"/>
        </w:rPr>
        <w:t>Berman</w:t>
      </w:r>
      <w:r w:rsidRPr="00731A2C">
        <w:t>,</w:t>
      </w:r>
      <w:r w:rsidRPr="000D1B9F">
        <w:t xml:space="preserve"> </w:t>
      </w:r>
      <w:r w:rsidRPr="00731A2C">
        <w:t>University of Connecticut Law School</w:t>
      </w:r>
      <w:r w:rsidRPr="000D1B9F">
        <w:t xml:space="preserve"> </w:t>
      </w:r>
      <w:r w:rsidRPr="00731A2C">
        <w:t>Associate Professor, 20</w:t>
      </w:r>
      <w:r w:rsidRPr="00C2002F">
        <w:t>0</w:t>
      </w:r>
      <w:r w:rsidRPr="00C518E7">
        <w:rPr>
          <w:rStyle w:val="StyleStyleBold12pt"/>
        </w:rPr>
        <w:t>1</w:t>
      </w:r>
    </w:p>
    <w:p w:rsidR="00954633" w:rsidRPr="0035190F" w:rsidRDefault="00954633" w:rsidP="00954633">
      <w:pPr>
        <w:rPr>
          <w:sz w:val="16"/>
        </w:rPr>
      </w:pPr>
      <w:r w:rsidRPr="0035190F">
        <w:rPr>
          <w:sz w:val="16"/>
        </w:rPr>
        <w:t>[Paul Schiff, “APPROACHES TO THE CULTURAL STUDY OF LAW: TELLING A LESS SUSPICIOUS STORY: NOTES TOWARD A NON-SKEPTICAL APPROACH TO LEGAL/CULTURAL ANALYSIS,” 13 Yale J.L. &amp; Human. 95, Lexis]</w:t>
      </w:r>
    </w:p>
    <w:p w:rsidR="00954633" w:rsidRDefault="00954633" w:rsidP="00954633">
      <w:pPr>
        <w:pStyle w:val="card"/>
        <w:rPr>
          <w:rStyle w:val="underline"/>
        </w:rPr>
      </w:pPr>
    </w:p>
    <w:p w:rsidR="00954633" w:rsidRDefault="00954633" w:rsidP="00954633">
      <w:r w:rsidRPr="00954633">
        <w:t xml:space="preserve">The second drawback of the hermeneutics of suspicion is perhaps even more important. As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normative</w:t>
      </w:r>
      <w:proofErr w:type="gramEnd"/>
      <w:r w:rsidRPr="00954633">
        <w:t xml:space="preserve"> scholarship cannot extricate scholars from the fundamental questions that I am discussing.</w:t>
      </w:r>
    </w:p>
    <w:p w:rsidR="00954633" w:rsidRDefault="00954633" w:rsidP="00954633"/>
    <w:p w:rsidR="00954633" w:rsidRPr="001F6B67" w:rsidRDefault="00954633" w:rsidP="00954633">
      <w:pPr>
        <w:pStyle w:val="Heading4"/>
      </w:pPr>
      <w:r w:rsidRPr="001F6B67">
        <w:t>It is necessary to learn the language of the state- their form of opposition will always be transitory, getting co-opted by the government or society. It may be necessary but is not sufficient</w:t>
      </w:r>
    </w:p>
    <w:p w:rsidR="00954633" w:rsidRPr="00B4475B" w:rsidRDefault="00954633" w:rsidP="00954633">
      <w:r w:rsidRPr="00B4475B">
        <w:rPr>
          <w:rStyle w:val="StyleStyleBold12pt"/>
        </w:rPr>
        <w:t>Sullivan</w:t>
      </w:r>
      <w:r w:rsidRPr="00B4475B">
        <w:t xml:space="preserve">, the New Republic – editor, </w:t>
      </w:r>
      <w:r w:rsidRPr="00B4475B">
        <w:rPr>
          <w:rStyle w:val="StyleStyleBold12pt"/>
        </w:rPr>
        <w:t>1995</w:t>
      </w:r>
      <w:r w:rsidRPr="00B4475B">
        <w:t xml:space="preserve"> (Andrew, Virtually Normal, pg. 91-93)</w:t>
      </w:r>
    </w:p>
    <w:p w:rsidR="00954633" w:rsidRPr="0029304B" w:rsidRDefault="00954633" w:rsidP="00954633">
      <w:pPr>
        <w:rPr>
          <w:sz w:val="16"/>
        </w:rPr>
      </w:pPr>
    </w:p>
    <w:p w:rsidR="00954633" w:rsidRDefault="00954633" w:rsidP="00954633">
      <w:r w:rsidRPr="00954633">
        <w:t xml:space="preserve">Moreover, mere cultural redeployment in a free society is always subject to a cultural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be</w:t>
      </w:r>
      <w:proofErr w:type="gramEnd"/>
      <w:r w:rsidRPr="00954633">
        <w:t xml:space="preserve"> necessary, but it is not sufficient. To achieve actual results,</w:t>
      </w:r>
    </w:p>
    <w:p w:rsidR="00954633" w:rsidRDefault="00954633" w:rsidP="00954633">
      <w:pPr>
        <w:rPr>
          <w:sz w:val="16"/>
        </w:rPr>
      </w:pPr>
    </w:p>
    <w:p w:rsidR="00954633" w:rsidRDefault="00954633" w:rsidP="00954633">
      <w:pPr>
        <w:rPr>
          <w:sz w:val="16"/>
        </w:rPr>
      </w:pPr>
    </w:p>
    <w:p w:rsidR="00954633" w:rsidRDefault="00954633" w:rsidP="00954633">
      <w:r w:rsidRPr="00954633">
        <w:t xml:space="preserve"> </w:t>
      </w:r>
      <w:proofErr w:type="gramStart"/>
      <w:r w:rsidRPr="00954633">
        <w:t>to</w:t>
      </w:r>
      <w:proofErr w:type="gramEnd"/>
      <w:r w:rsidRPr="00954633">
        <w:t xml:space="preserve"> end persecution of homosexuals in the military, to allow gay parents to </w:t>
      </w:r>
    </w:p>
    <w:p w:rsidR="00954633" w:rsidRDefault="00954633" w:rsidP="00954633">
      <w:r>
        <w:t>AND</w:t>
      </w:r>
    </w:p>
    <w:p w:rsidR="00954633" w:rsidRPr="00954633" w:rsidRDefault="00954633" w:rsidP="00954633">
      <w:proofErr w:type="gramStart"/>
      <w:r w:rsidRPr="00954633">
        <w:t>or</w:t>
      </w:r>
      <w:proofErr w:type="gramEnd"/>
      <w:r w:rsidRPr="00954633">
        <w:t xml:space="preserve"> projects for turning the cage into something more like a human home.” </w:t>
      </w:r>
    </w:p>
    <w:p w:rsidR="00954633" w:rsidRDefault="00954633" w:rsidP="00954633"/>
    <w:p w:rsidR="00954633" w:rsidRDefault="00954633" w:rsidP="00954633"/>
    <w:p w:rsidR="00954633" w:rsidRDefault="00954633" w:rsidP="00954633"/>
    <w:p w:rsidR="00954633" w:rsidRDefault="00954633" w:rsidP="00954633"/>
    <w:p w:rsidR="00954633" w:rsidRPr="00D17C4E" w:rsidRDefault="00954633" w:rsidP="00954633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273" w:rsidRDefault="00E15273" w:rsidP="005F5576">
      <w:r>
        <w:separator/>
      </w:r>
    </w:p>
  </w:endnote>
  <w:endnote w:type="continuationSeparator" w:id="0">
    <w:p w:rsidR="00E15273" w:rsidRDefault="00E15273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273" w:rsidRDefault="00E15273" w:rsidP="005F5576">
      <w:r>
        <w:separator/>
      </w:r>
    </w:p>
  </w:footnote>
  <w:footnote w:type="continuationSeparator" w:id="0">
    <w:p w:rsidR="00E15273" w:rsidRDefault="00E15273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F091E"/>
    <w:multiLevelType w:val="hybridMultilevel"/>
    <w:tmpl w:val="41049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633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54633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071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3CB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5273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 Char,Char Char Char Char Char Char Char, Char,Char,Char Char Char,Heading 3 Char Char, Char Char Char Char Char Char Char,Heading 3 Char1,No Underline,Text 7,3: Cite,Index Headers,Bold Cite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Normal Tag,body,no read,heading 2,Heading 2 Char2 Char,Heading 2 Char1 Char Char,Heading 2 Char Char Char Char,TAG, Ch,Ch,No Spacing211,No Spacing12,No Spacing2111,No Spacing111111,No Spacing4,No Spacing11111,ta,Tags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,normal card text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 Char,Char Char Char Char Char Char Char Char1, Char Char,Char Char,Char Char Char Char,Heading 3 Char Char Char, Char Char Char Char Char Char Char Char,Heading 3 Char1 Char,Text 7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Normal Tag Char,body Char,no read Char,heading 2 Char,Heading 2 Char2 Char Char,Heading 2 Char1 Char Char Char,Heading 2 Char Char Char Char Char,TAG Char, Ch Char,Ch Char,No Spacing211 Char,ta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styleId="ListParagraph">
    <w:name w:val="List Paragraph"/>
    <w:basedOn w:val="Normal"/>
    <w:uiPriority w:val="34"/>
    <w:semiHidden/>
    <w:rsid w:val="00954633"/>
    <w:pPr>
      <w:ind w:left="720"/>
      <w:contextualSpacing/>
    </w:pPr>
  </w:style>
  <w:style w:type="character" w:customStyle="1" w:styleId="underline">
    <w:name w:val="underline"/>
    <w:link w:val="textbold"/>
    <w:qFormat/>
    <w:rsid w:val="00954633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954633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954633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954633"/>
    <w:rPr>
      <w:rFonts w:ascii="Times New Roman" w:eastAsia="Times New Roman" w:hAnsi="Times New Roman" w:cs="Times New Roman"/>
      <w:sz w:val="20"/>
      <w:szCs w:val="20"/>
    </w:rPr>
  </w:style>
  <w:style w:type="paragraph" w:customStyle="1" w:styleId="Nothing">
    <w:name w:val="Nothing"/>
    <w:link w:val="NothingChar"/>
    <w:rsid w:val="0095463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DebateUnderline">
    <w:name w:val="Debate Underline"/>
    <w:qFormat/>
    <w:rsid w:val="00954633"/>
    <w:rPr>
      <w:rFonts w:ascii="Times New Roman" w:hAnsi="Times New Roman"/>
      <w:sz w:val="24"/>
      <w:u w:val="thick"/>
    </w:rPr>
  </w:style>
  <w:style w:type="character" w:customStyle="1" w:styleId="NothingChar">
    <w:name w:val="Nothing Char"/>
    <w:basedOn w:val="DefaultParagraphFont"/>
    <w:link w:val="Nothing"/>
    <w:rsid w:val="00954633"/>
    <w:rPr>
      <w:rFonts w:ascii="Times New Roman" w:eastAsia="Times New Roman" w:hAnsi="Times New Roman" w:cs="Times New Roman"/>
      <w:sz w:val="20"/>
      <w:szCs w:val="24"/>
    </w:rPr>
  </w:style>
  <w:style w:type="character" w:customStyle="1" w:styleId="CardTagandCiteChar">
    <w:name w:val="Card Tag and Cite Char"/>
    <w:link w:val="CardTagandCite"/>
    <w:rsid w:val="00954633"/>
    <w:rPr>
      <w:rFonts w:ascii="Arial Narrow" w:hAnsi="Arial Narrow"/>
      <w:b/>
      <w:sz w:val="26"/>
    </w:rPr>
  </w:style>
  <w:style w:type="paragraph" w:customStyle="1" w:styleId="CardTagandCite">
    <w:name w:val="Card Tag and Cite"/>
    <w:basedOn w:val="Normal"/>
    <w:next w:val="Normal"/>
    <w:link w:val="CardTagandCiteChar"/>
    <w:rsid w:val="00954633"/>
    <w:pPr>
      <w:widowControl w:val="0"/>
      <w:autoSpaceDE w:val="0"/>
      <w:autoSpaceDN w:val="0"/>
      <w:adjustRightInd w:val="0"/>
    </w:pPr>
    <w:rPr>
      <w:rFonts w:ascii="Arial Narrow" w:hAnsi="Arial Narrow" w:cstheme="minorBidi"/>
      <w:b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 Char,Char Char Char Char Char Char Char, Char,Char,Char Char Char,Heading 3 Char Char, Char Char Char Char Char Char Char,Heading 3 Char1,No Underline,Text 7,3: Cite,Index Headers,Bold Cite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Normal Tag,body,no read,heading 2,Heading 2 Char2 Char,Heading 2 Char1 Char Char,Heading 2 Char Char Char Char,TAG, Ch,Ch,No Spacing211,No Spacing12,No Spacing2111,No Spacing111111,No Spacing4,No Spacing11111,ta,Tags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,normal card text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 Char,Char Char Char Char Char Char Char Char1, Char Char,Char Char,Char Char Char Char,Heading 3 Char Char Char, Char Char Char Char Char Char Char Char,Heading 3 Char1 Char,Text 7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Normal Tag Char,body Char,no read Char,heading 2 Char,Heading 2 Char2 Char Char,Heading 2 Char1 Char Char Char,Heading 2 Char Char Char Char Char,TAG Char, Ch Char,Ch Char,No Spacing211 Char,ta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styleId="ListParagraph">
    <w:name w:val="List Paragraph"/>
    <w:basedOn w:val="Normal"/>
    <w:uiPriority w:val="34"/>
    <w:semiHidden/>
    <w:rsid w:val="00954633"/>
    <w:pPr>
      <w:ind w:left="720"/>
      <w:contextualSpacing/>
    </w:pPr>
  </w:style>
  <w:style w:type="character" w:customStyle="1" w:styleId="underline">
    <w:name w:val="underline"/>
    <w:link w:val="textbold"/>
    <w:qFormat/>
    <w:rsid w:val="00954633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954633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954633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954633"/>
    <w:rPr>
      <w:rFonts w:ascii="Times New Roman" w:eastAsia="Times New Roman" w:hAnsi="Times New Roman" w:cs="Times New Roman"/>
      <w:sz w:val="20"/>
      <w:szCs w:val="20"/>
    </w:rPr>
  </w:style>
  <w:style w:type="paragraph" w:customStyle="1" w:styleId="Nothing">
    <w:name w:val="Nothing"/>
    <w:link w:val="NothingChar"/>
    <w:rsid w:val="0095463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DebateUnderline">
    <w:name w:val="Debate Underline"/>
    <w:qFormat/>
    <w:rsid w:val="00954633"/>
    <w:rPr>
      <w:rFonts w:ascii="Times New Roman" w:hAnsi="Times New Roman"/>
      <w:sz w:val="24"/>
      <w:u w:val="thick"/>
    </w:rPr>
  </w:style>
  <w:style w:type="character" w:customStyle="1" w:styleId="NothingChar">
    <w:name w:val="Nothing Char"/>
    <w:basedOn w:val="DefaultParagraphFont"/>
    <w:link w:val="Nothing"/>
    <w:rsid w:val="00954633"/>
    <w:rPr>
      <w:rFonts w:ascii="Times New Roman" w:eastAsia="Times New Roman" w:hAnsi="Times New Roman" w:cs="Times New Roman"/>
      <w:sz w:val="20"/>
      <w:szCs w:val="24"/>
    </w:rPr>
  </w:style>
  <w:style w:type="character" w:customStyle="1" w:styleId="CardTagandCiteChar">
    <w:name w:val="Card Tag and Cite Char"/>
    <w:link w:val="CardTagandCite"/>
    <w:rsid w:val="00954633"/>
    <w:rPr>
      <w:rFonts w:ascii="Arial Narrow" w:hAnsi="Arial Narrow"/>
      <w:b/>
      <w:sz w:val="26"/>
    </w:rPr>
  </w:style>
  <w:style w:type="paragraph" w:customStyle="1" w:styleId="CardTagandCite">
    <w:name w:val="Card Tag and Cite"/>
    <w:basedOn w:val="Normal"/>
    <w:next w:val="Normal"/>
    <w:link w:val="CardTagandCiteChar"/>
    <w:rsid w:val="00954633"/>
    <w:pPr>
      <w:widowControl w:val="0"/>
      <w:autoSpaceDE w:val="0"/>
      <w:autoSpaceDN w:val="0"/>
      <w:adjustRightInd w:val="0"/>
    </w:pPr>
    <w:rPr>
      <w:rFonts w:ascii="Arial Narrow" w:hAnsi="Arial Narrow" w:cstheme="minorBidi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nytimes.com/2005/04/01/national/01korematsu.html?_r=0&amp;pagewanted=print&amp;positio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nndb.com/people/492/000282643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site.theforensicsfiles.com/NJSD.2-1.Final.pdf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roberthjackson.org/the-man/speeches-articles/articles/remembering-korematsu/fred-korematsu/" TargetMode="External"/><Relationship Id="rId5" Type="http://schemas.openxmlformats.org/officeDocument/2006/relationships/styles" Target="styles.xml"/><Relationship Id="rId15" Type="http://schemas.openxmlformats.org/officeDocument/2006/relationships/hyperlink" Target="http://site.theforensicsfiles.com/NJSD.2-1.Final.pdf" TargetMode="Externa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books.google.com/books?id=ntHxX_9J7gYC&amp;printsec=frontcov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Pachec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8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11186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Tom Pacheco</dc:creator>
  <cp:keywords>Verbatim</cp:keywords>
  <dc:description>Verbatim 4.6</dc:description>
  <cp:lastModifiedBy>Tom Pacheco</cp:lastModifiedBy>
  <cp:revision>1</cp:revision>
  <dcterms:created xsi:type="dcterms:W3CDTF">2014-01-09T02:51:00Z</dcterms:created>
  <dcterms:modified xsi:type="dcterms:W3CDTF">2014-01-09T02:53:00Z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