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473" w:rsidRDefault="009E4473" w:rsidP="009E4473">
      <w:pPr>
        <w:pStyle w:val="Heading2"/>
        <w:rPr>
          <w:rFonts w:eastAsia="Calibri"/>
        </w:rPr>
      </w:pPr>
      <w:bookmarkStart w:id="0" w:name="_Toc313116093"/>
      <w:r>
        <w:rPr>
          <w:rFonts w:eastAsia="Calibri"/>
        </w:rPr>
        <w:t xml:space="preserve">2ac </w:t>
      </w:r>
    </w:p>
    <w:p w:rsidR="009E4473" w:rsidRPr="009E4473" w:rsidRDefault="009E4473" w:rsidP="009E4473">
      <w:bookmarkStart w:id="1" w:name="_GoBack"/>
      <w:bookmarkEnd w:id="1"/>
    </w:p>
    <w:p w:rsidR="009E4473" w:rsidRPr="00D0535F" w:rsidRDefault="009E4473" w:rsidP="009E4473">
      <w:pPr>
        <w:pStyle w:val="Heading3"/>
        <w:rPr>
          <w:rFonts w:asciiTheme="majorHAnsi" w:eastAsia="Calibri" w:hAnsiTheme="majorHAnsi"/>
        </w:rPr>
      </w:pPr>
      <w:r w:rsidRPr="00D0535F">
        <w:rPr>
          <w:rFonts w:asciiTheme="majorHAnsi" w:eastAsia="Calibri" w:hAnsiTheme="majorHAnsi"/>
        </w:rPr>
        <w:lastRenderedPageBreak/>
        <w:t>AT: Video Game Mentality</w:t>
      </w:r>
    </w:p>
    <w:p w:rsidR="009E4473" w:rsidRPr="00D0535F" w:rsidRDefault="009E4473" w:rsidP="009E4473">
      <w:pPr>
        <w:pStyle w:val="Heading4"/>
        <w:rPr>
          <w:rFonts w:asciiTheme="majorHAnsi" w:hAnsiTheme="majorHAnsi"/>
        </w:rPr>
      </w:pPr>
      <w:r w:rsidRPr="00D0535F">
        <w:rPr>
          <w:rFonts w:asciiTheme="majorHAnsi" w:hAnsiTheme="majorHAnsi"/>
        </w:rPr>
        <w:t>Drones don’t create a video game mentality</w:t>
      </w:r>
    </w:p>
    <w:p w:rsidR="009E4473" w:rsidRPr="00D0535F" w:rsidRDefault="009E4473" w:rsidP="009E4473">
      <w:pPr>
        <w:rPr>
          <w:rStyle w:val="StyleStyleBold12pt"/>
          <w:rFonts w:asciiTheme="majorHAnsi" w:hAnsiTheme="majorHAnsi"/>
        </w:rPr>
      </w:pPr>
      <w:r w:rsidRPr="00D0535F">
        <w:rPr>
          <w:rStyle w:val="StyleStyleBold12pt"/>
          <w:rFonts w:asciiTheme="majorHAnsi" w:hAnsiTheme="majorHAnsi"/>
        </w:rPr>
        <w:t>Brooks, Professor of Law, Georgetown University Law Center, 13</w:t>
      </w:r>
    </w:p>
    <w:p w:rsidR="009E4473" w:rsidRPr="00D0535F" w:rsidRDefault="009E4473" w:rsidP="009E4473">
      <w:pPr>
        <w:rPr>
          <w:rFonts w:asciiTheme="majorHAnsi" w:hAnsiTheme="majorHAnsi"/>
        </w:rPr>
      </w:pPr>
      <w:r w:rsidRPr="00D0535F">
        <w:rPr>
          <w:rFonts w:asciiTheme="majorHAnsi" w:hAnsiTheme="majorHAnsi"/>
        </w:rPr>
        <w:t>(Rosa, “The Constitutional and Counterterrorism Implications of Targeted Killing,” Testimony Before the Senate Judiciary Subcommittee on the Constitution, Civil Rights, and Human Rights, April 23, 2013, http://www.judiciary.senate.gov/pdf/04-23-13BrooksTestimony.pdf, accessed 9-28-13, CMM)</w:t>
      </w:r>
    </w:p>
    <w:p w:rsidR="009E4473" w:rsidRPr="00D0535F" w:rsidRDefault="009E4473" w:rsidP="009E4473">
      <w:pPr>
        <w:rPr>
          <w:rFonts w:asciiTheme="majorHAnsi" w:hAnsiTheme="majorHAnsi"/>
        </w:rPr>
      </w:pPr>
    </w:p>
    <w:p w:rsidR="009E4473" w:rsidRDefault="009E4473" w:rsidP="009E4473">
      <w:r w:rsidRPr="009E4473">
        <w:t xml:space="preserve">Other critics have decried what they called "the PlayStation mentality" created by drone </w:t>
      </w:r>
    </w:p>
    <w:p w:rsidR="009E4473" w:rsidRDefault="009E4473" w:rsidP="009E4473">
      <w:r>
        <w:t>AND</w:t>
      </w:r>
    </w:p>
    <w:p w:rsidR="009E4473" w:rsidRPr="009E4473" w:rsidRDefault="009E4473" w:rsidP="009E4473">
      <w:proofErr w:type="gramStart"/>
      <w:r w:rsidRPr="009E4473">
        <w:t>pilots</w:t>
      </w:r>
      <w:proofErr w:type="gramEnd"/>
      <w:r w:rsidRPr="009E4473">
        <w:t xml:space="preserve"> suffered from "burnout," with 17 percent "clinically distressed."12</w:t>
      </w:r>
    </w:p>
    <w:p w:rsidR="009E4473" w:rsidRPr="00D0535F" w:rsidRDefault="009E4473" w:rsidP="009E4473">
      <w:pPr>
        <w:rPr>
          <w:rFonts w:asciiTheme="majorHAnsi" w:hAnsiTheme="majorHAnsi"/>
        </w:rPr>
      </w:pPr>
    </w:p>
    <w:p w:rsidR="009E4473" w:rsidRDefault="009E4473" w:rsidP="009E4473">
      <w:pPr>
        <w:pStyle w:val="Heading3"/>
      </w:pPr>
      <w:r>
        <w:lastRenderedPageBreak/>
        <w:t>2ac – Solvency – AT: Circumvention</w:t>
      </w:r>
    </w:p>
    <w:p w:rsidR="009E4473" w:rsidRDefault="009E4473" w:rsidP="009E4473"/>
    <w:p w:rsidR="009E4473" w:rsidRPr="00341F4E" w:rsidRDefault="009E4473" w:rsidP="009E4473">
      <w:pPr>
        <w:pStyle w:val="Heading4"/>
      </w:pPr>
      <w:r>
        <w:t>Obama would comply with the court</w:t>
      </w:r>
    </w:p>
    <w:p w:rsidR="009E4473" w:rsidRPr="00B266BB" w:rsidRDefault="009E4473" w:rsidP="009E4473">
      <w:pPr>
        <w:rPr>
          <w:rStyle w:val="StyleStyleBold12pt"/>
        </w:rPr>
      </w:pPr>
      <w:proofErr w:type="spellStart"/>
      <w:r w:rsidRPr="00B266BB">
        <w:rPr>
          <w:rStyle w:val="StyleStyleBold12pt"/>
        </w:rPr>
        <w:t>Vladeck</w:t>
      </w:r>
      <w:proofErr w:type="spellEnd"/>
      <w:r w:rsidRPr="00B266BB">
        <w:rPr>
          <w:rStyle w:val="StyleStyleBold12pt"/>
        </w:rPr>
        <w:t>, American University law professor, 2009</w:t>
      </w:r>
    </w:p>
    <w:p w:rsidR="009E4473" w:rsidRDefault="009E4473" w:rsidP="009E4473">
      <w:r>
        <w:t xml:space="preserve">[Stephen, “The Long War, the Federal Courts, and the Necessity / Legality Paradox” </w:t>
      </w:r>
      <w:hyperlink r:id="rId11" w:history="1">
        <w:r w:rsidRPr="000450FD">
          <w:rPr>
            <w:rStyle w:val="Hyperlink"/>
          </w:rPr>
          <w:t>http://digitalcommons.wcl.american.edu/cgi/viewcontent.cgi?article=1002&amp;context=facsch_bkrev</w:t>
        </w:r>
      </w:hyperlink>
      <w:r>
        <w:t xml:space="preserve">, p.922-3, accessed 10-5-13, TAP] </w:t>
      </w:r>
    </w:p>
    <w:p w:rsidR="009E4473" w:rsidRDefault="009E4473" w:rsidP="009E4473"/>
    <w:p w:rsidR="009E4473" w:rsidRDefault="009E4473" w:rsidP="009E4473">
      <w:r w:rsidRPr="009E4473">
        <w:t xml:space="preserve">Moreover, even if one believes that suspensions are unreviewable, there is a critical </w:t>
      </w:r>
    </w:p>
    <w:p w:rsidR="009E4473" w:rsidRDefault="009E4473" w:rsidP="009E4473">
      <w:r>
        <w:t>AND</w:t>
      </w:r>
    </w:p>
    <w:p w:rsidR="009E4473" w:rsidRPr="009E4473" w:rsidRDefault="009E4473" w:rsidP="009E4473">
      <w:proofErr w:type="gramStart"/>
      <w:r w:rsidRPr="009E4473">
        <w:t>comply</w:t>
      </w:r>
      <w:proofErr w:type="gramEnd"/>
      <w:r w:rsidRPr="009E4473">
        <w:t xml:space="preserve"> with a Supreme Court decision. But perhaps I am naïve.184</w:t>
      </w:r>
    </w:p>
    <w:p w:rsidR="009E4473" w:rsidRPr="006735A1" w:rsidRDefault="009E4473" w:rsidP="009E4473"/>
    <w:p w:rsidR="009E4473" w:rsidRDefault="009E4473" w:rsidP="009E4473">
      <w:pPr>
        <w:pStyle w:val="Heading4"/>
      </w:pPr>
      <w:r>
        <w:t>Plan still solves.</w:t>
      </w:r>
    </w:p>
    <w:p w:rsidR="009E4473" w:rsidRPr="00FF117F" w:rsidRDefault="009E4473" w:rsidP="009E4473">
      <w:pPr>
        <w:rPr>
          <w:rStyle w:val="StyleStyleBold12pt"/>
        </w:rPr>
      </w:pPr>
      <w:proofErr w:type="spellStart"/>
      <w:r w:rsidRPr="00FF117F">
        <w:rPr>
          <w:rStyle w:val="StyleStyleBold12pt"/>
        </w:rPr>
        <w:t>Daskal</w:t>
      </w:r>
      <w:proofErr w:type="spellEnd"/>
      <w:r w:rsidRPr="00FF117F">
        <w:rPr>
          <w:rStyle w:val="StyleStyleBold12pt"/>
        </w:rPr>
        <w:t>, Georgetown Center on national security and the law professor, 2013</w:t>
      </w:r>
    </w:p>
    <w:p w:rsidR="009E4473" w:rsidRDefault="009E4473" w:rsidP="009E4473">
      <w:r>
        <w:t>[Jennifer, 161 U. Pa. L. Rev. 1165, “The Geography of the Battlefield: A Framework for Detention and Targeting Outside the 'Hot' Conflict” http://digitalcommons.wcl.american.edu/cgi/viewcontent.cgi?article=1252&amp;context=facsch_lawrev</w:t>
      </w:r>
    </w:p>
    <w:p w:rsidR="009E4473" w:rsidRDefault="009E4473" w:rsidP="009E4473">
      <w:r>
        <w:t>Zone, p.1222, accessed 12-16-13, TAP]</w:t>
      </w:r>
    </w:p>
    <w:p w:rsidR="009E4473" w:rsidRDefault="009E4473" w:rsidP="009E4473"/>
    <w:p w:rsidR="009E4473" w:rsidRDefault="009E4473" w:rsidP="009E4473">
      <w:r w:rsidRPr="009E4473">
        <w:t>That said, there is a reasonable fear that any such court or review board</w:t>
      </w:r>
    </w:p>
    <w:p w:rsidR="009E4473" w:rsidRDefault="009E4473" w:rsidP="009E4473">
      <w:r>
        <w:t>AND</w:t>
      </w:r>
    </w:p>
    <w:p w:rsidR="009E4473" w:rsidRDefault="009E4473" w:rsidP="009E4473">
      <w:r>
        <w:t>Article III courts</w:t>
      </w:r>
      <w:proofErr w:type="gramStart"/>
      <w:r>
        <w:t>,182</w:t>
      </w:r>
      <w:proofErr w:type="gramEnd"/>
      <w:r>
        <w:t xml:space="preserve"> are also needed to help further</w:t>
      </w:r>
      <w:r w:rsidRPr="00DB1455">
        <w:rPr>
          <w:sz w:val="12"/>
        </w:rPr>
        <w:t xml:space="preserve">¶ </w:t>
      </w:r>
      <w:r>
        <w:t>minimize abuse.</w:t>
      </w:r>
    </w:p>
    <w:p w:rsidR="009E4473" w:rsidRPr="00350509" w:rsidRDefault="009E4473" w:rsidP="009E4473"/>
    <w:p w:rsidR="009E4473" w:rsidRDefault="009E4473" w:rsidP="009E4473"/>
    <w:p w:rsidR="009E4473" w:rsidRPr="003909DA" w:rsidRDefault="009E4473" w:rsidP="009E4473"/>
    <w:p w:rsidR="009E4473" w:rsidRDefault="009E4473" w:rsidP="009E4473">
      <w:pPr>
        <w:pStyle w:val="Heading3"/>
      </w:pPr>
      <w:r>
        <w:lastRenderedPageBreak/>
        <w:t xml:space="preserve">2ac – </w:t>
      </w:r>
      <w:proofErr w:type="spellStart"/>
      <w:r>
        <w:t>Heg</w:t>
      </w:r>
      <w:proofErr w:type="spellEnd"/>
      <w:r>
        <w:t xml:space="preserve"> – Historically Proven</w:t>
      </w:r>
    </w:p>
    <w:p w:rsidR="009E4473" w:rsidRDefault="009E4473" w:rsidP="009E4473">
      <w:pPr>
        <w:pStyle w:val="Heading4"/>
      </w:pPr>
      <w:proofErr w:type="spellStart"/>
      <w:r>
        <w:t>Unipolarity</w:t>
      </w:r>
      <w:proofErr w:type="spellEnd"/>
      <w:r>
        <w:t xml:space="preserve"> empirically reduces the likelihood of conflict</w:t>
      </w:r>
    </w:p>
    <w:p w:rsidR="009E4473" w:rsidRPr="00077E0A" w:rsidRDefault="009E4473" w:rsidP="009E4473">
      <w:pPr>
        <w:rPr>
          <w:rStyle w:val="StyleStyleBold12pt"/>
        </w:rPr>
      </w:pPr>
      <w:proofErr w:type="spellStart"/>
      <w:r w:rsidRPr="00077E0A">
        <w:rPr>
          <w:rStyle w:val="StyleStyleBold12pt"/>
        </w:rPr>
        <w:t>Drezner</w:t>
      </w:r>
      <w:proofErr w:type="spellEnd"/>
      <w:r w:rsidRPr="00077E0A">
        <w:rPr>
          <w:rStyle w:val="StyleStyleBold12pt"/>
        </w:rPr>
        <w:t>, Professor of International Politics at the Fletcher School of Law and Diplomacy at Tufts University, 13</w:t>
      </w:r>
    </w:p>
    <w:p w:rsidR="009E4473" w:rsidRDefault="009E4473" w:rsidP="009E4473">
      <w:r>
        <w:t>(Daniel, “</w:t>
      </w:r>
      <w:r w:rsidRPr="00077E0A">
        <w:t>Military Primacy Doesn’t P</w:t>
      </w:r>
      <w:r>
        <w:t>ay (Nearly As Much As You Think),” International Security, Volume 38, Number 1, Summer 2013, project muse, accessed 7-14-13, CMM)</w:t>
      </w:r>
    </w:p>
    <w:p w:rsidR="009E4473" w:rsidRDefault="009E4473" w:rsidP="009E4473"/>
    <w:p w:rsidR="009E4473" w:rsidRDefault="009E4473" w:rsidP="009E4473">
      <w:r w:rsidRPr="009E4473">
        <w:t xml:space="preserve">The historical evidence further suggests that global and regional systems with a sole superpower have </w:t>
      </w:r>
    </w:p>
    <w:p w:rsidR="009E4473" w:rsidRDefault="009E4473" w:rsidP="009E4473">
      <w:r>
        <w:t>AND</w:t>
      </w:r>
    </w:p>
    <w:p w:rsidR="009E4473" w:rsidRPr="009E4473" w:rsidRDefault="009E4473" w:rsidP="009E4473">
      <w:proofErr w:type="gramStart"/>
      <w:r w:rsidRPr="009E4473">
        <w:t>the</w:t>
      </w:r>
      <w:proofErr w:type="gramEnd"/>
      <w:r w:rsidRPr="009E4473">
        <w:t xml:space="preserve"> bipolar one where two superpowers fueled rival armies around the world.”94</w:t>
      </w:r>
    </w:p>
    <w:p w:rsidR="009E4473" w:rsidRDefault="009E4473" w:rsidP="009E4473"/>
    <w:p w:rsidR="009E4473" w:rsidRPr="00D0535F" w:rsidRDefault="009E4473" w:rsidP="009E4473">
      <w:pPr>
        <w:pStyle w:val="Heading3"/>
        <w:rPr>
          <w:rFonts w:asciiTheme="majorHAnsi" w:hAnsiTheme="majorHAnsi"/>
        </w:rPr>
      </w:pPr>
      <w:r w:rsidRPr="00D0535F">
        <w:rPr>
          <w:rFonts w:asciiTheme="majorHAnsi" w:hAnsiTheme="majorHAnsi"/>
        </w:rPr>
        <w:lastRenderedPageBreak/>
        <w:t>2ac – Security K – AT: China Reps</w:t>
      </w:r>
    </w:p>
    <w:p w:rsidR="009E4473" w:rsidRPr="00D0535F" w:rsidRDefault="009E4473" w:rsidP="009E4473">
      <w:pPr>
        <w:pStyle w:val="Heading4"/>
        <w:rPr>
          <w:rFonts w:asciiTheme="majorHAnsi" w:hAnsiTheme="majorHAnsi"/>
        </w:rPr>
      </w:pPr>
      <w:r w:rsidRPr="00D0535F">
        <w:rPr>
          <w:rFonts w:asciiTheme="majorHAnsi" w:hAnsiTheme="majorHAnsi"/>
        </w:rPr>
        <w:t>Perm solves – rigid rejection of “China threat” gets warped into a new orthodoxy and fuels extremism. Recognizing plural interpretations and linkages is more productive.</w:t>
      </w:r>
    </w:p>
    <w:p w:rsidR="009E4473" w:rsidRPr="00D0535F" w:rsidRDefault="009E4473" w:rsidP="009E4473">
      <w:pPr>
        <w:rPr>
          <w:rStyle w:val="StyleStyleBold12pt"/>
          <w:rFonts w:asciiTheme="majorHAnsi" w:hAnsiTheme="majorHAnsi"/>
        </w:rPr>
      </w:pPr>
      <w:r w:rsidRPr="00D0535F">
        <w:rPr>
          <w:rStyle w:val="StyleStyleBold12pt"/>
          <w:rFonts w:asciiTheme="majorHAnsi" w:hAnsiTheme="majorHAnsi"/>
        </w:rPr>
        <w:t>Callahan, University of Manchester politics professor, 2005</w:t>
      </w:r>
    </w:p>
    <w:p w:rsidR="009E4473" w:rsidRPr="00D0535F" w:rsidRDefault="009E4473" w:rsidP="009E4473">
      <w:pPr>
        <w:rPr>
          <w:rFonts w:asciiTheme="majorHAnsi" w:hAnsiTheme="majorHAnsi"/>
        </w:rPr>
      </w:pPr>
      <w:r w:rsidRPr="00D0535F">
        <w:rPr>
          <w:rFonts w:asciiTheme="majorHAnsi" w:hAnsiTheme="majorHAnsi"/>
        </w:rPr>
        <w:t>[William, Review of International Studies / Volume 31 / Issue 04 / October 2005, “How to understand China: the dangers and opportunities of being a rising power” Cambridge Journals Online, p.711-2, accessed 9-30-13, TAP]</w:t>
      </w:r>
    </w:p>
    <w:p w:rsidR="009E4473" w:rsidRPr="00D0535F" w:rsidRDefault="009E4473" w:rsidP="009E4473">
      <w:pPr>
        <w:rPr>
          <w:rFonts w:asciiTheme="majorHAnsi" w:hAnsiTheme="majorHAnsi"/>
        </w:rPr>
      </w:pPr>
    </w:p>
    <w:p w:rsidR="009E4473" w:rsidRDefault="009E4473" w:rsidP="009E4473">
      <w:r w:rsidRPr="009E4473">
        <w:t xml:space="preserve">Although ‘China threat theory’ is ascribed to the Cold War thinking of foreigners who </w:t>
      </w:r>
    </w:p>
    <w:p w:rsidR="009E4473" w:rsidRDefault="009E4473" w:rsidP="009E4473">
      <w:r>
        <w:t>AND</w:t>
      </w:r>
    </w:p>
    <w:p w:rsidR="009E4473" w:rsidRPr="009E4473" w:rsidRDefault="009E4473" w:rsidP="009E4473">
      <w:proofErr w:type="gramStart"/>
      <w:r w:rsidRPr="009E4473">
        <w:t>more</w:t>
      </w:r>
      <w:proofErr w:type="gramEnd"/>
      <w:r w:rsidRPr="009E4473">
        <w:t xml:space="preserve"> interesting to examine the debates that produced the threat/opportunity dynamic.</w:t>
      </w:r>
    </w:p>
    <w:p w:rsidR="009E4473" w:rsidRPr="00D0535F" w:rsidRDefault="009E4473" w:rsidP="009E4473">
      <w:pPr>
        <w:rPr>
          <w:rFonts w:asciiTheme="majorHAnsi" w:hAnsiTheme="majorHAnsi"/>
        </w:rPr>
      </w:pPr>
    </w:p>
    <w:p w:rsidR="009E4473" w:rsidRPr="00D0535F" w:rsidRDefault="009E4473" w:rsidP="009E4473">
      <w:pPr>
        <w:pStyle w:val="Heading4"/>
        <w:rPr>
          <w:rFonts w:asciiTheme="majorHAnsi" w:hAnsiTheme="majorHAnsi"/>
        </w:rPr>
      </w:pPr>
      <w:r w:rsidRPr="00D0535F">
        <w:rPr>
          <w:rFonts w:asciiTheme="majorHAnsi" w:hAnsiTheme="majorHAnsi"/>
        </w:rPr>
        <w:t>No self-fulfilling prophecy</w:t>
      </w:r>
    </w:p>
    <w:p w:rsidR="009E4473" w:rsidRPr="00D0535F" w:rsidRDefault="009E4473" w:rsidP="009E4473">
      <w:pPr>
        <w:rPr>
          <w:rStyle w:val="StyleStyleBold12pt"/>
          <w:rFonts w:asciiTheme="majorHAnsi" w:hAnsiTheme="majorHAnsi"/>
        </w:rPr>
      </w:pPr>
      <w:r w:rsidRPr="00D0535F">
        <w:rPr>
          <w:rStyle w:val="StyleStyleBold12pt"/>
          <w:rFonts w:asciiTheme="majorHAnsi" w:hAnsiTheme="majorHAnsi"/>
        </w:rPr>
        <w:t>Blumenthal, current commissioner and former vice chairman of the U.S.-China Economic and Security Review Commission, 10-3-11</w:t>
      </w:r>
    </w:p>
    <w:p w:rsidR="009E4473" w:rsidRPr="00D0535F" w:rsidRDefault="009E4473" w:rsidP="009E4473">
      <w:pPr>
        <w:rPr>
          <w:rFonts w:asciiTheme="majorHAnsi" w:hAnsiTheme="majorHAnsi"/>
        </w:rPr>
      </w:pPr>
      <w:r w:rsidRPr="00D0535F">
        <w:rPr>
          <w:rFonts w:asciiTheme="majorHAnsi" w:hAnsiTheme="majorHAnsi"/>
        </w:rPr>
        <w:t>(Dan, “The Top 10 Unicorns of China Policy,” http://www.foreignpolicy.com/articles/2011/10/03/the_top_ten_unicorns_of_china_policy?page=full, accessed 10-5-11, CMM)</w:t>
      </w:r>
    </w:p>
    <w:p w:rsidR="009E4473" w:rsidRPr="00D0535F" w:rsidRDefault="009E4473" w:rsidP="009E4473">
      <w:pPr>
        <w:rPr>
          <w:rFonts w:asciiTheme="majorHAnsi" w:hAnsiTheme="majorHAnsi"/>
        </w:rPr>
      </w:pPr>
    </w:p>
    <w:p w:rsidR="009E4473" w:rsidRDefault="009E4473" w:rsidP="009E4473">
      <w:r w:rsidRPr="009E4473">
        <w:t xml:space="preserve">Here are my own top 10 China-policy unicorns:  The self-fulfilling </w:t>
      </w:r>
    </w:p>
    <w:p w:rsidR="009E4473" w:rsidRDefault="009E4473" w:rsidP="009E4473">
      <w:r>
        <w:t>AND</w:t>
      </w:r>
    </w:p>
    <w:p w:rsidR="009E4473" w:rsidRPr="009E4473" w:rsidRDefault="009E4473" w:rsidP="009E4473">
      <w:proofErr w:type="gramStart"/>
      <w:r w:rsidRPr="009E4473">
        <w:t>most</w:t>
      </w:r>
      <w:proofErr w:type="gramEnd"/>
      <w:r w:rsidRPr="009E4473">
        <w:t xml:space="preserve"> fantastical claim about China policy and thus the No. 1 unicorn. </w:t>
      </w:r>
    </w:p>
    <w:p w:rsidR="009E4473" w:rsidRPr="00D0535F" w:rsidRDefault="009E4473" w:rsidP="009E4473">
      <w:pPr>
        <w:rPr>
          <w:rFonts w:asciiTheme="majorHAnsi" w:hAnsiTheme="majorHAnsi"/>
        </w:rPr>
      </w:pPr>
    </w:p>
    <w:p w:rsidR="009E4473" w:rsidRDefault="009E4473" w:rsidP="009E4473"/>
    <w:p w:rsidR="009E4473" w:rsidRDefault="009E4473" w:rsidP="009E4473">
      <w:pPr>
        <w:pStyle w:val="Heading3"/>
      </w:pPr>
      <w:r>
        <w:lastRenderedPageBreak/>
        <w:t>2ac – Framework</w:t>
      </w:r>
    </w:p>
    <w:p w:rsidR="009E4473" w:rsidRPr="005336DB" w:rsidRDefault="009E4473" w:rsidP="009E4473"/>
    <w:p w:rsidR="009E4473" w:rsidRDefault="009E4473" w:rsidP="009E4473">
      <w:pPr>
        <w:pStyle w:val="Heading4"/>
      </w:pPr>
      <w:r>
        <w:t>6. The absolutism of their alternative results in tunnel vision – evaluate consequences.</w:t>
      </w:r>
    </w:p>
    <w:p w:rsidR="009E4473" w:rsidRPr="003D5572" w:rsidRDefault="009E4473" w:rsidP="009E4473">
      <w:r w:rsidRPr="003D5572">
        <w:rPr>
          <w:rStyle w:val="Heading3Char"/>
        </w:rPr>
        <w:t>Isaac</w:t>
      </w:r>
      <w:r w:rsidRPr="003D5572">
        <w:t>, Indiana University James H. Rudy Professor of Political Science and Center for the Study of Democracy and Public Life director, Spring 200</w:t>
      </w:r>
      <w:r w:rsidRPr="003D5572">
        <w:rPr>
          <w:rStyle w:val="Heading3Char"/>
        </w:rPr>
        <w:t>2</w:t>
      </w:r>
      <w:r w:rsidRPr="003D5572">
        <w:t xml:space="preserve"> </w:t>
      </w:r>
    </w:p>
    <w:p w:rsidR="009E4473" w:rsidRPr="004F6133" w:rsidRDefault="009E4473" w:rsidP="009E4473">
      <w:r w:rsidRPr="004F6133">
        <w:t xml:space="preserve">(Jeffrey C. “Ends, Means, and Politics,” Dissent Magazine </w:t>
      </w:r>
      <w:r w:rsidRPr="00A52C35">
        <w:t>Vol. 49 Issue 2, p32</w:t>
      </w:r>
      <w:r w:rsidRPr="004F6133">
        <w:t>)</w:t>
      </w:r>
    </w:p>
    <w:p w:rsidR="009E4473" w:rsidRPr="004F6133" w:rsidRDefault="009E4473" w:rsidP="009E4473"/>
    <w:p w:rsidR="009E4473" w:rsidRDefault="009E4473" w:rsidP="009E4473">
      <w:r w:rsidRPr="009E4473">
        <w:t xml:space="preserve">Power is not a dirty word or an unfortunate feature of the world. It </w:t>
      </w:r>
    </w:p>
    <w:p w:rsidR="009E4473" w:rsidRDefault="009E4473" w:rsidP="009E4473">
      <w:r>
        <w:t>AND</w:t>
      </w:r>
    </w:p>
    <w:p w:rsidR="009E4473" w:rsidRPr="009E4473" w:rsidRDefault="009E4473" w:rsidP="009E4473">
      <w:proofErr w:type="gramStart"/>
      <w:r w:rsidRPr="009E4473">
        <w:t>not</w:t>
      </w:r>
      <w:proofErr w:type="gramEnd"/>
      <w:r w:rsidRPr="009E4473">
        <w:t xml:space="preserve"> true believers. It promotes arrogance. And it undermines political effectiveness. </w:t>
      </w:r>
    </w:p>
    <w:p w:rsidR="009E4473" w:rsidRDefault="009E4473" w:rsidP="009E4473"/>
    <w:p w:rsidR="009E4473" w:rsidRPr="00D0535F" w:rsidRDefault="009E4473" w:rsidP="009E4473">
      <w:pPr>
        <w:pStyle w:val="Heading4"/>
        <w:rPr>
          <w:rFonts w:asciiTheme="majorHAnsi" w:hAnsiTheme="majorHAnsi"/>
        </w:rPr>
      </w:pPr>
      <w:r w:rsidRPr="00D0535F">
        <w:rPr>
          <w:rFonts w:asciiTheme="majorHAnsi" w:hAnsiTheme="majorHAnsi"/>
        </w:rPr>
        <w:t xml:space="preserve">Constructing prior questions doesn’t disprove the </w:t>
      </w:r>
      <w:proofErr w:type="spellStart"/>
      <w:r w:rsidRPr="00D0535F">
        <w:rPr>
          <w:rFonts w:asciiTheme="majorHAnsi" w:hAnsiTheme="majorHAnsi"/>
        </w:rPr>
        <w:t>aff</w:t>
      </w:r>
      <w:proofErr w:type="spellEnd"/>
      <w:r w:rsidRPr="00D0535F">
        <w:rPr>
          <w:rFonts w:asciiTheme="majorHAnsi" w:hAnsiTheme="majorHAnsi"/>
        </w:rPr>
        <w:t xml:space="preserve"> – it results in generalizations and inaction.</w:t>
      </w:r>
    </w:p>
    <w:p w:rsidR="009E4473" w:rsidRPr="00D0535F" w:rsidRDefault="009E4473" w:rsidP="009E4473">
      <w:pPr>
        <w:rPr>
          <w:rStyle w:val="StyleStyleBold12pt"/>
          <w:rFonts w:asciiTheme="majorHAnsi" w:hAnsiTheme="majorHAnsi"/>
        </w:rPr>
      </w:pPr>
      <w:r w:rsidRPr="00D0535F">
        <w:rPr>
          <w:rStyle w:val="StyleStyleBold12pt"/>
          <w:rFonts w:asciiTheme="majorHAnsi" w:hAnsiTheme="majorHAnsi"/>
        </w:rPr>
        <w:t>Owen, University of Southampton political theory professor, 2002</w:t>
      </w:r>
    </w:p>
    <w:p w:rsidR="009E4473" w:rsidRPr="00D0535F" w:rsidRDefault="009E4473" w:rsidP="009E4473">
      <w:pPr>
        <w:rPr>
          <w:rFonts w:asciiTheme="majorHAnsi" w:hAnsiTheme="majorHAnsi"/>
        </w:rPr>
      </w:pPr>
      <w:r w:rsidRPr="00D0535F">
        <w:rPr>
          <w:rFonts w:asciiTheme="majorHAnsi" w:hAnsiTheme="majorHAnsi"/>
        </w:rPr>
        <w:t xml:space="preserve">[David, Millennium Journal of International Studies, </w:t>
      </w:r>
      <w:proofErr w:type="spellStart"/>
      <w:r w:rsidRPr="00D0535F">
        <w:rPr>
          <w:rFonts w:asciiTheme="majorHAnsi" w:hAnsiTheme="majorHAnsi"/>
        </w:rPr>
        <w:t>Vol</w:t>
      </w:r>
      <w:proofErr w:type="spellEnd"/>
      <w:r w:rsidRPr="00D0535F">
        <w:rPr>
          <w:rFonts w:asciiTheme="majorHAnsi" w:hAnsiTheme="majorHAnsi"/>
        </w:rPr>
        <w:t xml:space="preserve"> 31 No 3, “Re-orienting International Relations: On Pragmatism, Pluralism, and Practical Reason” </w:t>
      </w:r>
      <w:proofErr w:type="spellStart"/>
      <w:r w:rsidRPr="00D0535F">
        <w:rPr>
          <w:rFonts w:asciiTheme="majorHAnsi" w:hAnsiTheme="majorHAnsi"/>
        </w:rPr>
        <w:t>Sagepub</w:t>
      </w:r>
      <w:proofErr w:type="spellEnd"/>
      <w:r w:rsidRPr="00D0535F">
        <w:rPr>
          <w:rFonts w:asciiTheme="majorHAnsi" w:hAnsiTheme="majorHAnsi"/>
        </w:rPr>
        <w:t>, accessed 9-30-13, TAP]</w:t>
      </w:r>
    </w:p>
    <w:p w:rsidR="009E4473" w:rsidRPr="00D0535F" w:rsidRDefault="009E4473" w:rsidP="009E4473">
      <w:pPr>
        <w:rPr>
          <w:rFonts w:asciiTheme="majorHAnsi" w:hAnsiTheme="majorHAnsi"/>
        </w:rPr>
      </w:pPr>
    </w:p>
    <w:p w:rsidR="009E4473" w:rsidRDefault="009E4473" w:rsidP="009E4473">
      <w:r w:rsidRPr="009E4473">
        <w:t xml:space="preserve">Commenting on the ‘philosophical turn’ in IR, </w:t>
      </w:r>
      <w:proofErr w:type="spellStart"/>
      <w:r w:rsidRPr="009E4473">
        <w:t>Wæver</w:t>
      </w:r>
      <w:proofErr w:type="spellEnd"/>
      <w:r w:rsidRPr="009E4473">
        <w:t xml:space="preserve"> remarks that ‘[a</w:t>
      </w:r>
      <w:proofErr w:type="gramStart"/>
      <w:r w:rsidRPr="009E4473">
        <w:t>]¶</w:t>
      </w:r>
      <w:proofErr w:type="gramEnd"/>
      <w:r w:rsidRPr="009E4473">
        <w:t xml:space="preserve"> </w:t>
      </w:r>
    </w:p>
    <w:p w:rsidR="009E4473" w:rsidRDefault="009E4473" w:rsidP="009E4473">
      <w:r>
        <w:t>AND</w:t>
      </w:r>
    </w:p>
    <w:p w:rsidR="009E4473" w:rsidRPr="009E4473" w:rsidRDefault="009E4473" w:rsidP="009E4473">
      <w:proofErr w:type="gramStart"/>
      <w:r w:rsidRPr="009E4473">
        <w:t>first</w:t>
      </w:r>
      <w:proofErr w:type="gramEnd"/>
      <w:r w:rsidRPr="009E4473">
        <w:t>¶ and second dangers, and so a potentially vicious circle arises.</w:t>
      </w:r>
    </w:p>
    <w:p w:rsidR="009E4473" w:rsidRDefault="009E4473" w:rsidP="009E4473">
      <w:pPr>
        <w:rPr>
          <w:rFonts w:asciiTheme="majorHAnsi" w:hAnsiTheme="majorHAnsi"/>
          <w:b/>
          <w:sz w:val="24"/>
        </w:rPr>
      </w:pPr>
    </w:p>
    <w:p w:rsidR="009E4473" w:rsidRPr="00C42A13" w:rsidRDefault="009E4473" w:rsidP="009E4473">
      <w:pPr>
        <w:pStyle w:val="Heading4"/>
        <w:rPr>
          <w:rFonts w:asciiTheme="minorHAnsi" w:hAnsiTheme="minorHAnsi"/>
        </w:rPr>
      </w:pPr>
      <w:r w:rsidRPr="00C42A13">
        <w:rPr>
          <w:rFonts w:asciiTheme="minorHAnsi" w:hAnsiTheme="minorHAnsi"/>
        </w:rPr>
        <w:t xml:space="preserve">The impact is the exception not the rule </w:t>
      </w:r>
    </w:p>
    <w:p w:rsidR="009E4473" w:rsidRPr="00C42A13" w:rsidRDefault="009E4473" w:rsidP="009E4473">
      <w:pPr>
        <w:rPr>
          <w:rStyle w:val="StyleStyleBold12pt"/>
          <w:rFonts w:asciiTheme="minorHAnsi" w:hAnsiTheme="minorHAnsi"/>
        </w:rPr>
      </w:pPr>
      <w:r w:rsidRPr="00C42A13">
        <w:rPr>
          <w:rStyle w:val="StyleStyleBold12pt"/>
          <w:rFonts w:asciiTheme="minorHAnsi" w:hAnsiTheme="minorHAnsi"/>
        </w:rPr>
        <w:t xml:space="preserve">Abrahamsen, </w:t>
      </w:r>
      <w:proofErr w:type="gramStart"/>
      <w:r w:rsidRPr="00C42A13">
        <w:rPr>
          <w:rStyle w:val="StyleStyleBold12pt"/>
          <w:rFonts w:asciiTheme="minorHAnsi" w:hAnsiTheme="minorHAnsi"/>
        </w:rPr>
        <w:t>University of Wales</w:t>
      </w:r>
      <w:proofErr w:type="gramEnd"/>
      <w:r w:rsidRPr="00C42A13">
        <w:rPr>
          <w:rStyle w:val="StyleStyleBold12pt"/>
          <w:rFonts w:asciiTheme="minorHAnsi" w:hAnsiTheme="minorHAnsi"/>
        </w:rPr>
        <w:t xml:space="preserve"> </w:t>
      </w:r>
      <w:proofErr w:type="spellStart"/>
      <w:r w:rsidRPr="00C42A13">
        <w:rPr>
          <w:rStyle w:val="StyleStyleBold12pt"/>
          <w:rFonts w:asciiTheme="minorHAnsi" w:hAnsiTheme="minorHAnsi"/>
        </w:rPr>
        <w:t>ir</w:t>
      </w:r>
      <w:proofErr w:type="spellEnd"/>
      <w:r w:rsidRPr="00C42A13">
        <w:rPr>
          <w:rStyle w:val="StyleStyleBold12pt"/>
          <w:rFonts w:asciiTheme="minorHAnsi" w:hAnsiTheme="minorHAnsi"/>
        </w:rPr>
        <w:t xml:space="preserve"> professor, 2005</w:t>
      </w:r>
    </w:p>
    <w:p w:rsidR="009E4473" w:rsidRPr="00C42A13" w:rsidRDefault="009E4473" w:rsidP="009E4473">
      <w:pPr>
        <w:rPr>
          <w:rFonts w:asciiTheme="minorHAnsi" w:hAnsiTheme="minorHAnsi"/>
        </w:rPr>
      </w:pPr>
      <w:r w:rsidRPr="00C42A13">
        <w:rPr>
          <w:rFonts w:asciiTheme="minorHAnsi" w:hAnsiTheme="minorHAnsi"/>
        </w:rPr>
        <w:t>[Rita, Alternatives: Global, Local, Political, 30.1, “Blair's Africa: The Politics of Securitization and Fear” EBSCO, p.71, accessed 10-7-13, TAP]</w:t>
      </w:r>
    </w:p>
    <w:p w:rsidR="009E4473" w:rsidRPr="00C42A13" w:rsidRDefault="009E4473" w:rsidP="009E4473">
      <w:pPr>
        <w:rPr>
          <w:rFonts w:asciiTheme="minorHAnsi" w:hAnsiTheme="minorHAnsi"/>
        </w:rPr>
      </w:pPr>
    </w:p>
    <w:p w:rsidR="009E4473" w:rsidRDefault="009E4473" w:rsidP="009E4473">
      <w:r w:rsidRPr="009E4473">
        <w:t xml:space="preserve">The war on Iraq can be seen to demonstrate the willingness of the British government </w:t>
      </w:r>
    </w:p>
    <w:p w:rsidR="009E4473" w:rsidRDefault="009E4473" w:rsidP="009E4473">
      <w:r>
        <w:t>AND</w:t>
      </w:r>
    </w:p>
    <w:p w:rsidR="009E4473" w:rsidRPr="009E4473" w:rsidRDefault="009E4473" w:rsidP="009E4473">
      <w:proofErr w:type="gramStart"/>
      <w:r w:rsidRPr="009E4473">
        <w:t>securitization</w:t>
      </w:r>
      <w:proofErr w:type="gramEnd"/>
      <w:r w:rsidRPr="009E4473">
        <w:t xml:space="preserve"> is more likely to give rise to policies of containment or policing. </w:t>
      </w:r>
    </w:p>
    <w:p w:rsidR="009E4473" w:rsidRPr="00C42A13" w:rsidRDefault="009E4473" w:rsidP="009E4473">
      <w:pPr>
        <w:rPr>
          <w:rFonts w:asciiTheme="minorHAnsi" w:hAnsiTheme="minorHAnsi"/>
        </w:rPr>
      </w:pPr>
    </w:p>
    <w:p w:rsidR="009E4473" w:rsidRPr="00C42A13" w:rsidRDefault="009E4473" w:rsidP="009E4473">
      <w:pPr>
        <w:pStyle w:val="Heading4"/>
        <w:rPr>
          <w:rFonts w:asciiTheme="minorHAnsi" w:hAnsiTheme="minorHAnsi"/>
        </w:rPr>
      </w:pPr>
      <w:r w:rsidRPr="00C42A13">
        <w:rPr>
          <w:rFonts w:asciiTheme="minorHAnsi" w:hAnsiTheme="minorHAnsi"/>
        </w:rPr>
        <w:t>Framing is irrelevant.</w:t>
      </w:r>
    </w:p>
    <w:p w:rsidR="009E4473" w:rsidRPr="00C42A13" w:rsidRDefault="009E4473" w:rsidP="009E4473">
      <w:pPr>
        <w:rPr>
          <w:rStyle w:val="StyleStyleBold12pt"/>
          <w:rFonts w:asciiTheme="minorHAnsi" w:hAnsiTheme="minorHAnsi"/>
        </w:rPr>
      </w:pPr>
      <w:r w:rsidRPr="00C42A13">
        <w:rPr>
          <w:rStyle w:val="StyleStyleBold12pt"/>
          <w:rFonts w:asciiTheme="minorHAnsi" w:hAnsiTheme="minorHAnsi"/>
        </w:rPr>
        <w:t>Reiter, Emory University political science professor, 1995</w:t>
      </w:r>
    </w:p>
    <w:p w:rsidR="009E4473" w:rsidRPr="00C42A13" w:rsidRDefault="009E4473" w:rsidP="009E4473">
      <w:pPr>
        <w:rPr>
          <w:rFonts w:asciiTheme="minorHAnsi" w:hAnsiTheme="minorHAnsi"/>
        </w:rPr>
      </w:pPr>
      <w:r w:rsidRPr="00C42A13">
        <w:rPr>
          <w:rFonts w:asciiTheme="minorHAnsi" w:hAnsiTheme="minorHAnsi"/>
        </w:rPr>
        <w:t>[Dan, International Security, Vol. 20, No. 2, “Exploding the Powder Keg Myth: Preemptive Wars Almost Never Happen” JSTOR, p.15-16, accessed 10-7-13, TAP]</w:t>
      </w:r>
    </w:p>
    <w:p w:rsidR="009E4473" w:rsidRPr="00C42A13" w:rsidRDefault="009E4473" w:rsidP="009E4473">
      <w:pPr>
        <w:rPr>
          <w:rFonts w:asciiTheme="minorHAnsi" w:hAnsiTheme="minorHAnsi"/>
        </w:rPr>
      </w:pPr>
    </w:p>
    <w:p w:rsidR="009E4473" w:rsidRDefault="009E4473" w:rsidP="009E4473">
      <w:r w:rsidRPr="009E4473">
        <w:t xml:space="preserve">A criticism of assessing the frequency of preemptive wars by looking only at wars themselves </w:t>
      </w:r>
    </w:p>
    <w:p w:rsidR="009E4473" w:rsidRDefault="009E4473" w:rsidP="009E4473">
      <w:r>
        <w:t>AND</w:t>
      </w:r>
    </w:p>
    <w:p w:rsidR="009E4473" w:rsidRPr="009E4473" w:rsidRDefault="009E4473" w:rsidP="009E4473">
      <w:proofErr w:type="gramStart"/>
      <w:r w:rsidRPr="009E4473">
        <w:t>cancer</w:t>
      </w:r>
      <w:proofErr w:type="gramEnd"/>
      <w:r w:rsidRPr="009E4473">
        <w:t>, this is not demonstrated by the results of such a test.</w:t>
      </w:r>
    </w:p>
    <w:p w:rsidR="009E4473" w:rsidRPr="00C42A13" w:rsidRDefault="009E4473" w:rsidP="009E4473">
      <w:pPr>
        <w:rPr>
          <w:rFonts w:asciiTheme="minorHAnsi" w:hAnsiTheme="minorHAnsi"/>
        </w:rPr>
      </w:pPr>
    </w:p>
    <w:p w:rsidR="009E4473" w:rsidRPr="00D0535F" w:rsidRDefault="009E4473" w:rsidP="009E4473">
      <w:pPr>
        <w:rPr>
          <w:rFonts w:asciiTheme="majorHAnsi" w:hAnsiTheme="majorHAnsi"/>
        </w:rPr>
      </w:pPr>
    </w:p>
    <w:p w:rsidR="009E4473" w:rsidRDefault="009E4473" w:rsidP="009E4473"/>
    <w:p w:rsidR="009E4473" w:rsidRDefault="009E4473" w:rsidP="009E4473"/>
    <w:p w:rsidR="009E4473" w:rsidRDefault="009E4473" w:rsidP="009E4473">
      <w:pPr>
        <w:pStyle w:val="Heading3"/>
      </w:pPr>
      <w:r>
        <w:lastRenderedPageBreak/>
        <w:t>2ac – K – Perm</w:t>
      </w:r>
    </w:p>
    <w:p w:rsidR="009E4473" w:rsidRDefault="009E4473" w:rsidP="009E4473"/>
    <w:p w:rsidR="009E4473" w:rsidRPr="00D05CD3" w:rsidRDefault="009E4473" w:rsidP="009E4473"/>
    <w:p w:rsidR="009E4473" w:rsidRPr="008B0034" w:rsidRDefault="009E4473" w:rsidP="009E4473">
      <w:pPr>
        <w:pStyle w:val="Heading4"/>
      </w:pPr>
      <w:r>
        <w:t xml:space="preserve">Even if they win a link – the perm is life-affirming – embrace the excess of the </w:t>
      </w:r>
      <w:proofErr w:type="spellStart"/>
      <w:r>
        <w:t>aff</w:t>
      </w:r>
      <w:proofErr w:type="spellEnd"/>
      <w:r>
        <w:t>.</w:t>
      </w:r>
    </w:p>
    <w:p w:rsidR="009E4473" w:rsidRPr="008B0034" w:rsidRDefault="009E4473" w:rsidP="009E4473">
      <w:pPr>
        <w:rPr>
          <w:rStyle w:val="StyleStyleBold12pt"/>
        </w:rPr>
      </w:pPr>
      <w:r w:rsidRPr="008B0034">
        <w:rPr>
          <w:rStyle w:val="StyleStyleBold12pt"/>
        </w:rPr>
        <w:t>White, Williams College philosophy professor, 1990</w:t>
      </w:r>
    </w:p>
    <w:p w:rsidR="009E4473" w:rsidRDefault="009E4473" w:rsidP="009E4473">
      <w:r>
        <w:t xml:space="preserve">[Alan, “Within Nietzsche’s Labyrinth” </w:t>
      </w:r>
      <w:hyperlink r:id="rId12" w:history="1">
        <w:r w:rsidRPr="00F14E7F">
          <w:rPr>
            <w:rStyle w:val="Hyperlink"/>
          </w:rPr>
          <w:t>http://sites.williams.edu/awhite/files/2013/01/White-1990-Within-Nietzsches-Labyrinth.pdf</w:t>
        </w:r>
      </w:hyperlink>
      <w:r>
        <w:t>, p.140, accessed 11-11-13, TAP]</w:t>
      </w:r>
    </w:p>
    <w:p w:rsidR="009E4473" w:rsidRDefault="009E4473" w:rsidP="009E4473"/>
    <w:p w:rsidR="009E4473" w:rsidRDefault="009E4473" w:rsidP="009E4473">
      <w:r w:rsidRPr="009E4473">
        <w:t xml:space="preserve">That there is shit in the world – in all worlds, on our earth </w:t>
      </w:r>
    </w:p>
    <w:p w:rsidR="009E4473" w:rsidRDefault="009E4473" w:rsidP="009E4473">
      <w:r>
        <w:t>AND</w:t>
      </w:r>
    </w:p>
    <w:p w:rsidR="009E4473" w:rsidRPr="009E4473" w:rsidRDefault="009E4473" w:rsidP="009E4473">
      <w:proofErr w:type="gramStart"/>
      <w:r w:rsidRPr="009E4473">
        <w:t>is</w:t>
      </w:r>
      <w:proofErr w:type="gramEnd"/>
      <w:r w:rsidRPr="009E4473">
        <w:t xml:space="preserve"> of gold.” Does he thereby acknowledge a categorical agreement with being?</w:t>
      </w:r>
    </w:p>
    <w:p w:rsidR="009E4473" w:rsidRDefault="009E4473" w:rsidP="009E4473"/>
    <w:p w:rsidR="009E4473" w:rsidRPr="00D0535F" w:rsidRDefault="009E4473" w:rsidP="009E4473">
      <w:pPr>
        <w:pStyle w:val="Heading4"/>
        <w:rPr>
          <w:rFonts w:asciiTheme="majorHAnsi" w:hAnsiTheme="majorHAnsi"/>
        </w:rPr>
      </w:pPr>
      <w:r>
        <w:rPr>
          <w:rFonts w:asciiTheme="majorHAnsi" w:hAnsiTheme="majorHAnsi"/>
        </w:rPr>
        <w:t>Alt never results in action – method focus bad</w:t>
      </w:r>
      <w:proofErr w:type="gramStart"/>
      <w:r>
        <w:rPr>
          <w:rFonts w:asciiTheme="majorHAnsi" w:hAnsiTheme="majorHAnsi"/>
        </w:rPr>
        <w:t>..</w:t>
      </w:r>
      <w:proofErr w:type="gramEnd"/>
    </w:p>
    <w:p w:rsidR="009E4473" w:rsidRPr="00D0535F" w:rsidRDefault="009E4473" w:rsidP="009E4473">
      <w:pPr>
        <w:rPr>
          <w:rFonts w:asciiTheme="majorHAnsi" w:hAnsiTheme="majorHAnsi"/>
        </w:rPr>
      </w:pPr>
      <w:proofErr w:type="spellStart"/>
      <w:r w:rsidRPr="00D0535F">
        <w:rPr>
          <w:rStyle w:val="StyleStyleBold12pt"/>
          <w:rFonts w:asciiTheme="majorHAnsi" w:hAnsiTheme="majorHAnsi"/>
        </w:rPr>
        <w:t>Fearon</w:t>
      </w:r>
      <w:proofErr w:type="spellEnd"/>
      <w:r w:rsidRPr="00D0535F">
        <w:rPr>
          <w:rFonts w:asciiTheme="majorHAnsi" w:hAnsiTheme="majorHAnsi"/>
        </w:rPr>
        <w:t xml:space="preserve">, Stanford Political Science Professor, </w:t>
      </w:r>
      <w:r w:rsidRPr="00D0535F">
        <w:rPr>
          <w:rStyle w:val="StyleStyleBold12pt"/>
          <w:rFonts w:asciiTheme="majorHAnsi" w:hAnsiTheme="majorHAnsi"/>
        </w:rPr>
        <w:t>and Wendt</w:t>
      </w:r>
      <w:r w:rsidRPr="00D0535F">
        <w:rPr>
          <w:rFonts w:asciiTheme="majorHAnsi" w:hAnsiTheme="majorHAnsi"/>
        </w:rPr>
        <w:t xml:space="preserve">, Ohio </w:t>
      </w:r>
      <w:proofErr w:type="gramStart"/>
      <w:r w:rsidRPr="00D0535F">
        <w:rPr>
          <w:rFonts w:asciiTheme="majorHAnsi" w:hAnsiTheme="majorHAnsi"/>
        </w:rPr>
        <w:t>State  IR</w:t>
      </w:r>
      <w:proofErr w:type="gramEnd"/>
      <w:r w:rsidRPr="00D0535F">
        <w:rPr>
          <w:rFonts w:asciiTheme="majorHAnsi" w:hAnsiTheme="majorHAnsi"/>
        </w:rPr>
        <w:t xml:space="preserve"> Professor, 200</w:t>
      </w:r>
      <w:r w:rsidRPr="00D0535F">
        <w:rPr>
          <w:rStyle w:val="StyleStyleBold12pt"/>
          <w:rFonts w:asciiTheme="majorHAnsi" w:hAnsiTheme="majorHAnsi"/>
        </w:rPr>
        <w:t>2</w:t>
      </w:r>
    </w:p>
    <w:p w:rsidR="009E4473" w:rsidRPr="00D0535F" w:rsidRDefault="009E4473" w:rsidP="009E4473">
      <w:pPr>
        <w:rPr>
          <w:rFonts w:asciiTheme="majorHAnsi" w:hAnsiTheme="majorHAnsi"/>
        </w:rPr>
      </w:pPr>
      <w:r w:rsidRPr="00D0535F">
        <w:rPr>
          <w:rFonts w:asciiTheme="majorHAnsi" w:hAnsiTheme="majorHAnsi"/>
        </w:rPr>
        <w:t>[James and Alexander, Handbook of International Relations, p. 68]</w:t>
      </w:r>
    </w:p>
    <w:p w:rsidR="009E4473" w:rsidRPr="00D0535F" w:rsidRDefault="009E4473" w:rsidP="009E4473">
      <w:pPr>
        <w:rPr>
          <w:rFonts w:asciiTheme="majorHAnsi" w:hAnsiTheme="majorHAnsi"/>
        </w:rPr>
      </w:pPr>
    </w:p>
    <w:p w:rsidR="009E4473" w:rsidRDefault="009E4473" w:rsidP="009E4473">
      <w:r w:rsidRPr="009E4473">
        <w:t>It should be stressed that in advocating a pragmatic view we are not endorsing method</w:t>
      </w:r>
    </w:p>
    <w:p w:rsidR="009E4473" w:rsidRDefault="009E4473" w:rsidP="009E4473">
      <w:r>
        <w:t>AND</w:t>
      </w:r>
    </w:p>
    <w:p w:rsidR="009E4473" w:rsidRPr="009E4473" w:rsidRDefault="009E4473" w:rsidP="009E4473">
      <w:r w:rsidRPr="009E4473">
        <w:t>, but we certainly believe a conversation should continue on all three levels.</w:t>
      </w:r>
    </w:p>
    <w:p w:rsidR="009E4473" w:rsidRPr="009C5ECC" w:rsidRDefault="009E4473" w:rsidP="009E4473"/>
    <w:p w:rsidR="009E4473" w:rsidRPr="00C42A13" w:rsidRDefault="009E4473" w:rsidP="009E4473">
      <w:pPr>
        <w:pStyle w:val="Heading3"/>
        <w:rPr>
          <w:rFonts w:asciiTheme="minorHAnsi" w:hAnsiTheme="minorHAnsi"/>
        </w:rPr>
      </w:pPr>
      <w:r>
        <w:rPr>
          <w:rFonts w:asciiTheme="minorHAnsi" w:hAnsiTheme="minorHAnsi"/>
        </w:rPr>
        <w:lastRenderedPageBreak/>
        <w:t>AT: State/Civil Society</w:t>
      </w:r>
    </w:p>
    <w:p w:rsidR="009E4473" w:rsidRPr="00C42A13" w:rsidRDefault="009E4473" w:rsidP="009E4473">
      <w:pPr>
        <w:pStyle w:val="Heading4"/>
        <w:rPr>
          <w:rFonts w:asciiTheme="minorHAnsi" w:hAnsiTheme="minorHAnsi"/>
        </w:rPr>
      </w:pPr>
      <w:r w:rsidRPr="00C42A13">
        <w:rPr>
          <w:rFonts w:asciiTheme="minorHAnsi" w:hAnsiTheme="minorHAnsi"/>
        </w:rPr>
        <w:t>Using the state doesn’t compromise ethics – using it strategically in the short term does not trade off with long term revolution.</w:t>
      </w:r>
    </w:p>
    <w:p w:rsidR="009E4473" w:rsidRPr="00C42A13" w:rsidRDefault="009E4473" w:rsidP="009E4473">
      <w:pPr>
        <w:rPr>
          <w:rStyle w:val="StyleStyleBold12pt"/>
          <w:rFonts w:asciiTheme="minorHAnsi" w:hAnsiTheme="minorHAnsi"/>
        </w:rPr>
      </w:pPr>
      <w:r w:rsidRPr="00C42A13">
        <w:rPr>
          <w:rStyle w:val="StyleStyleBold12pt"/>
          <w:rFonts w:asciiTheme="minorHAnsi" w:hAnsiTheme="minorHAnsi"/>
          <w:highlight w:val="yellow"/>
        </w:rPr>
        <w:t>Smith</w:t>
      </w:r>
      <w:r w:rsidRPr="00C42A13">
        <w:rPr>
          <w:rStyle w:val="StyleStyleBold12pt"/>
          <w:rFonts w:asciiTheme="minorHAnsi" w:hAnsiTheme="minorHAnsi"/>
        </w:rPr>
        <w:t xml:space="preserve">, Associate Professor of Media and Cultural Studies at UC Riverside, </w:t>
      </w:r>
      <w:r w:rsidRPr="00C42A13">
        <w:rPr>
          <w:rStyle w:val="StyleStyleBold12pt"/>
          <w:rFonts w:asciiTheme="minorHAnsi" w:hAnsiTheme="minorHAnsi"/>
          <w:highlight w:val="yellow"/>
        </w:rPr>
        <w:t>12</w:t>
      </w:r>
    </w:p>
    <w:p w:rsidR="009E4473" w:rsidRPr="00C42A13" w:rsidRDefault="009E4473" w:rsidP="009E4473">
      <w:pPr>
        <w:rPr>
          <w:rFonts w:asciiTheme="minorHAnsi" w:hAnsiTheme="minorHAnsi"/>
        </w:rPr>
      </w:pPr>
      <w:r w:rsidRPr="00C42A13">
        <w:rPr>
          <w:rFonts w:asciiTheme="minorHAnsi" w:hAnsiTheme="minorHAnsi"/>
        </w:rPr>
        <w:t xml:space="preserve"> (Andrea, “The Moral Limits of the Law: Settler Colonialism and the Anti-Violence Movement,” settler colonial studies 2, 2 (2012) Special Issue: </w:t>
      </w:r>
      <w:proofErr w:type="spellStart"/>
      <w:r w:rsidRPr="00C42A13">
        <w:rPr>
          <w:rFonts w:asciiTheme="minorHAnsi" w:hAnsiTheme="minorHAnsi"/>
        </w:rPr>
        <w:t>Karangatia</w:t>
      </w:r>
      <w:proofErr w:type="spellEnd"/>
      <w:r w:rsidRPr="00C42A13">
        <w:rPr>
          <w:rFonts w:asciiTheme="minorHAnsi" w:hAnsiTheme="minorHAnsi"/>
        </w:rPr>
        <w:t>: Calling Out Gender and Sexuality in Settler Societies, http://www.tandfonline.com/doi/pdf/10.1080/2201473X.2012.10648842, accessed 10-18-13, CMM)</w:t>
      </w:r>
    </w:p>
    <w:p w:rsidR="009E4473" w:rsidRPr="00C42A13" w:rsidRDefault="009E4473" w:rsidP="009E4473">
      <w:pPr>
        <w:rPr>
          <w:rFonts w:asciiTheme="minorHAnsi" w:hAnsiTheme="minorHAnsi"/>
        </w:rPr>
      </w:pPr>
    </w:p>
    <w:p w:rsidR="009E4473" w:rsidRDefault="009E4473" w:rsidP="009E4473">
      <w:r w:rsidRPr="009E4473">
        <w:t xml:space="preserve">In the debates prevalent within Native sovereignty and racial justice movements, we are often </w:t>
      </w:r>
    </w:p>
    <w:p w:rsidR="009E4473" w:rsidRDefault="009E4473" w:rsidP="009E4473">
      <w:r>
        <w:t>AND</w:t>
      </w:r>
    </w:p>
    <w:p w:rsidR="009E4473" w:rsidRPr="009E4473" w:rsidRDefault="009E4473" w:rsidP="009E4473">
      <w:proofErr w:type="gramStart"/>
      <w:r w:rsidRPr="009E4473">
        <w:t>Native women’s lives by buttressing the prison industrial complex and its violent logics.</w:t>
      </w:r>
      <w:proofErr w:type="gramEnd"/>
      <w:r w:rsidRPr="009E4473">
        <w:t xml:space="preserve"> </w:t>
      </w:r>
    </w:p>
    <w:p w:rsidR="009E4473" w:rsidRDefault="009E4473" w:rsidP="009E4473">
      <w:r w:rsidRPr="009E4473">
        <w:t xml:space="preserve">While this reformist versus revolutionary dichotomy suggests two radically different positions, in reality they </w:t>
      </w:r>
    </w:p>
    <w:p w:rsidR="009E4473" w:rsidRDefault="009E4473" w:rsidP="009E4473">
      <w:r>
        <w:t>AND</w:t>
      </w:r>
    </w:p>
    <w:p w:rsidR="009E4473" w:rsidRPr="009E4473" w:rsidRDefault="009E4473" w:rsidP="009E4473">
      <w:proofErr w:type="gramStart"/>
      <w:r w:rsidRPr="009E4473">
        <w:t>would</w:t>
      </w:r>
      <w:proofErr w:type="gramEnd"/>
      <w:r w:rsidRPr="009E4473">
        <w:t xml:space="preserve"> free us to change our strategies as we assess its strategic effects. </w:t>
      </w:r>
    </w:p>
    <w:p w:rsidR="009E4473" w:rsidRDefault="009E4473" w:rsidP="009E4473">
      <w:r w:rsidRPr="009E4473">
        <w:t xml:space="preserve">At the same time, by divesting from the morality of the law, we </w:t>
      </w:r>
    </w:p>
    <w:p w:rsidR="009E4473" w:rsidRDefault="009E4473" w:rsidP="009E4473">
      <w:r>
        <w:t>AND</w:t>
      </w:r>
    </w:p>
    <w:p w:rsidR="009E4473" w:rsidRPr="009E4473" w:rsidRDefault="009E4473" w:rsidP="009E4473">
      <w:proofErr w:type="gramStart"/>
      <w:r w:rsidRPr="009E4473">
        <w:t>an</w:t>
      </w:r>
      <w:proofErr w:type="gramEnd"/>
      <w:r w:rsidRPr="009E4473">
        <w:t xml:space="preserve"> alternative system to the </w:t>
      </w:r>
      <w:proofErr w:type="spellStart"/>
      <w:r w:rsidRPr="009E4473">
        <w:t>heteropatriarchal</w:t>
      </w:r>
      <w:proofErr w:type="spellEnd"/>
      <w:r w:rsidRPr="009E4473">
        <w:t xml:space="preserve">, white supremacist, settler colonial state. </w:t>
      </w:r>
    </w:p>
    <w:p w:rsidR="009E4473" w:rsidRPr="00C42A13" w:rsidRDefault="009E4473" w:rsidP="009E4473">
      <w:pPr>
        <w:rPr>
          <w:rFonts w:asciiTheme="minorHAnsi" w:hAnsiTheme="minorHAnsi"/>
        </w:rPr>
      </w:pPr>
    </w:p>
    <w:p w:rsidR="009E4473" w:rsidRPr="00C42A13" w:rsidRDefault="009E4473" w:rsidP="009E4473">
      <w:pPr>
        <w:rPr>
          <w:rFonts w:asciiTheme="minorHAnsi" w:hAnsiTheme="minorHAnsi"/>
        </w:rPr>
      </w:pPr>
    </w:p>
    <w:p w:rsidR="009E4473" w:rsidRPr="00C42A13" w:rsidRDefault="009E4473" w:rsidP="009E4473">
      <w:pPr>
        <w:pStyle w:val="Heading4"/>
        <w:rPr>
          <w:rFonts w:asciiTheme="minorHAnsi" w:hAnsiTheme="minorHAnsi"/>
        </w:rPr>
      </w:pPr>
      <w:r w:rsidRPr="00C42A13">
        <w:rPr>
          <w:rFonts w:asciiTheme="minorHAnsi" w:hAnsiTheme="minorHAnsi"/>
        </w:rPr>
        <w:t>Totalizing opposition creates a culture of suspicion that fails to materialize change.</w:t>
      </w:r>
    </w:p>
    <w:p w:rsidR="009E4473" w:rsidRPr="00C42A13" w:rsidRDefault="009E4473" w:rsidP="009E4473">
      <w:pPr>
        <w:rPr>
          <w:rStyle w:val="Heading4Char"/>
          <w:rFonts w:asciiTheme="minorHAnsi" w:hAnsiTheme="minorHAnsi"/>
        </w:rPr>
      </w:pPr>
      <w:r w:rsidRPr="00C42A13">
        <w:rPr>
          <w:rStyle w:val="StyleStyleBold12pt"/>
          <w:rFonts w:asciiTheme="minorHAnsi" w:hAnsiTheme="minorHAnsi"/>
        </w:rPr>
        <w:t>Berman</w:t>
      </w:r>
      <w:r w:rsidRPr="00C42A13">
        <w:rPr>
          <w:rFonts w:asciiTheme="minorHAnsi" w:hAnsiTheme="minorHAnsi"/>
        </w:rPr>
        <w:t>, University of Connecticut Law School Associate Professor, 200</w:t>
      </w:r>
      <w:r w:rsidRPr="00C42A13">
        <w:rPr>
          <w:rStyle w:val="StyleStyleBold12pt"/>
          <w:rFonts w:asciiTheme="minorHAnsi" w:hAnsiTheme="minorHAnsi"/>
        </w:rPr>
        <w:t>1</w:t>
      </w:r>
    </w:p>
    <w:p w:rsidR="009E4473" w:rsidRPr="00C42A13" w:rsidRDefault="009E4473" w:rsidP="009E4473">
      <w:pPr>
        <w:rPr>
          <w:rFonts w:asciiTheme="minorHAnsi" w:hAnsiTheme="minorHAnsi"/>
          <w:sz w:val="16"/>
        </w:rPr>
      </w:pPr>
      <w:r w:rsidRPr="00C42A13">
        <w:rPr>
          <w:rFonts w:asciiTheme="minorHAnsi" w:hAnsiTheme="minorHAnsi"/>
          <w:sz w:val="16"/>
        </w:rPr>
        <w:t>[Paul Schiff, “APPROACHES TO THE CULTURAL STUDY OF LAW: TELLING A LESS SUSPICIOUS STORY: NOTES TOWARD A NON-SKEPTICAL APPROACH TO LEGAL/CULTURAL ANALYSIS,” 13 Yale J.L. &amp; Human. 95, Lexis]</w:t>
      </w:r>
    </w:p>
    <w:p w:rsidR="009E4473" w:rsidRPr="00C42A13" w:rsidRDefault="009E4473" w:rsidP="009E4473">
      <w:pPr>
        <w:pStyle w:val="card"/>
        <w:rPr>
          <w:rStyle w:val="underline"/>
          <w:rFonts w:asciiTheme="minorHAnsi" w:eastAsiaTheme="majorEastAsia" w:hAnsiTheme="minorHAnsi"/>
        </w:rPr>
      </w:pPr>
    </w:p>
    <w:p w:rsidR="009E4473" w:rsidRDefault="009E4473" w:rsidP="009E4473">
      <w:r w:rsidRPr="009E4473">
        <w:t xml:space="preserve">The second drawback of the hermeneutics of suspicion is perhaps even more important. As </w:t>
      </w:r>
    </w:p>
    <w:p w:rsidR="009E4473" w:rsidRDefault="009E4473" w:rsidP="009E4473">
      <w:r>
        <w:t>AND</w:t>
      </w:r>
    </w:p>
    <w:p w:rsidR="009E4473" w:rsidRPr="009E4473" w:rsidRDefault="009E4473" w:rsidP="009E4473">
      <w:proofErr w:type="gramStart"/>
      <w:r w:rsidRPr="009E4473">
        <w:t>agents</w:t>
      </w:r>
      <w:proofErr w:type="gramEnd"/>
      <w:r w:rsidRPr="009E4473">
        <w:t xml:space="preserve"> who need to act in the world cannot afford to maintain. 1</w:t>
      </w:r>
    </w:p>
    <w:p w:rsidR="009E4473" w:rsidRDefault="009E4473" w:rsidP="009E4473">
      <w:pPr>
        <w:pStyle w:val="card"/>
        <w:ind w:left="0"/>
        <w:rPr>
          <w:rFonts w:asciiTheme="minorHAnsi" w:hAnsiTheme="minorHAnsi"/>
          <w:sz w:val="13"/>
        </w:rPr>
      </w:pPr>
    </w:p>
    <w:p w:rsidR="009E4473" w:rsidRDefault="009E4473" w:rsidP="009E4473">
      <w:pPr>
        <w:pStyle w:val="card"/>
        <w:ind w:left="0"/>
        <w:rPr>
          <w:rFonts w:asciiTheme="minorHAnsi" w:hAnsiTheme="minorHAnsi"/>
          <w:sz w:val="13"/>
        </w:rPr>
      </w:pPr>
    </w:p>
    <w:p w:rsidR="009E4473" w:rsidRDefault="009E4473" w:rsidP="009E4473">
      <w:pPr>
        <w:pStyle w:val="card"/>
        <w:ind w:left="0"/>
        <w:rPr>
          <w:rFonts w:asciiTheme="minorHAnsi" w:hAnsiTheme="minorHAnsi"/>
          <w:sz w:val="13"/>
        </w:rPr>
      </w:pPr>
    </w:p>
    <w:p w:rsidR="009E4473" w:rsidRDefault="009E4473" w:rsidP="009E4473">
      <w:r w:rsidRPr="009E4473">
        <w:t xml:space="preserve">13Paul Kahn, in his recent book, The Cultural Study of Law, indirectly </w:t>
      </w:r>
    </w:p>
    <w:p w:rsidR="009E4473" w:rsidRDefault="009E4473" w:rsidP="009E4473">
      <w:r>
        <w:t>AND</w:t>
      </w:r>
    </w:p>
    <w:p w:rsidR="009E4473" w:rsidRPr="009E4473" w:rsidRDefault="009E4473" w:rsidP="009E4473">
      <w:proofErr w:type="gramStart"/>
      <w:r w:rsidRPr="009E4473">
        <w:t>normative</w:t>
      </w:r>
      <w:proofErr w:type="gramEnd"/>
      <w:r w:rsidRPr="009E4473">
        <w:t xml:space="preserve"> scholarship cannot extricate scholars from the fundamental questions that I am discussing.</w:t>
      </w:r>
    </w:p>
    <w:p w:rsidR="009E4473" w:rsidRPr="00C42A13" w:rsidRDefault="009E4473" w:rsidP="009E4473">
      <w:pPr>
        <w:rPr>
          <w:rFonts w:asciiTheme="minorHAnsi" w:hAnsiTheme="minorHAnsi"/>
        </w:rPr>
      </w:pPr>
    </w:p>
    <w:p w:rsidR="009E4473" w:rsidRPr="00C42A13" w:rsidRDefault="009E4473" w:rsidP="009E4473">
      <w:pPr>
        <w:rPr>
          <w:rFonts w:asciiTheme="minorHAnsi" w:hAnsiTheme="minorHAnsi"/>
        </w:rPr>
      </w:pPr>
    </w:p>
    <w:p w:rsidR="009E4473" w:rsidRDefault="009E4473" w:rsidP="009E4473"/>
    <w:p w:rsidR="009E4473" w:rsidRPr="00D0535F" w:rsidRDefault="009E4473" w:rsidP="009E4473">
      <w:pPr>
        <w:rPr>
          <w:rFonts w:asciiTheme="majorHAnsi" w:hAnsiTheme="majorHAnsi"/>
        </w:rPr>
      </w:pPr>
    </w:p>
    <w:p w:rsidR="009E4473" w:rsidRDefault="009E4473" w:rsidP="009E4473"/>
    <w:p w:rsidR="009E4473" w:rsidRDefault="009E4473" w:rsidP="009E4473">
      <w:pPr>
        <w:pStyle w:val="Heading3"/>
      </w:pPr>
      <w:r>
        <w:lastRenderedPageBreak/>
        <w:t>2ac – Queer Futurism</w:t>
      </w:r>
    </w:p>
    <w:p w:rsidR="009E4473" w:rsidRPr="001607E0" w:rsidRDefault="009E4473" w:rsidP="009E4473">
      <w:pPr>
        <w:pStyle w:val="Heading4"/>
      </w:pPr>
      <w:r>
        <w:t xml:space="preserve">Alt doesn’t solve – can think of the future without </w:t>
      </w:r>
      <w:proofErr w:type="spellStart"/>
      <w:r>
        <w:t>heteronomativity</w:t>
      </w:r>
      <w:proofErr w:type="spellEnd"/>
      <w:r>
        <w:t xml:space="preserve"> – the K is an overgeneralization and the alt is a bad strategy.</w:t>
      </w:r>
    </w:p>
    <w:p w:rsidR="009E4473" w:rsidRPr="001607E0" w:rsidRDefault="009E4473" w:rsidP="009E4473">
      <w:pPr>
        <w:rPr>
          <w:rStyle w:val="StyleStyleBold12pt"/>
        </w:rPr>
      </w:pPr>
      <w:proofErr w:type="spellStart"/>
      <w:r w:rsidRPr="001607E0">
        <w:rPr>
          <w:rStyle w:val="StyleStyleBold12pt"/>
        </w:rPr>
        <w:t>Feit</w:t>
      </w:r>
      <w:proofErr w:type="spellEnd"/>
      <w:r w:rsidRPr="001607E0">
        <w:rPr>
          <w:rStyle w:val="StyleStyleBold12pt"/>
        </w:rPr>
        <w:t>, Georgia State University political science professor, 2005</w:t>
      </w:r>
    </w:p>
    <w:p w:rsidR="009E4473" w:rsidRDefault="009E4473" w:rsidP="009E4473">
      <w:r>
        <w:t xml:space="preserve">[Mario, Theory and Event, </w:t>
      </w:r>
      <w:proofErr w:type="spellStart"/>
      <w:r>
        <w:t>Vol</w:t>
      </w:r>
      <w:proofErr w:type="spellEnd"/>
      <w:r>
        <w:t xml:space="preserve"> 8 No 3, “</w:t>
      </w:r>
      <w:r w:rsidRPr="00CA5B62">
        <w:t>Extinction anxieties: same-sex marriage and modes of citizenship</w:t>
      </w:r>
      <w:r>
        <w:t>” Project Muse, accessed 9-30-13, TAP]</w:t>
      </w:r>
    </w:p>
    <w:p w:rsidR="009E4473" w:rsidRDefault="009E4473" w:rsidP="009E4473"/>
    <w:p w:rsidR="009E4473" w:rsidRDefault="009E4473" w:rsidP="009E4473">
      <w:r w:rsidRPr="009E4473">
        <w:t xml:space="preserve">Warner is thus concerned with the purity of the queer alternative, which he sees </w:t>
      </w:r>
    </w:p>
    <w:p w:rsidR="009E4473" w:rsidRDefault="009E4473" w:rsidP="009E4473">
      <w:r>
        <w:t>AND</w:t>
      </w:r>
    </w:p>
    <w:p w:rsidR="009E4473" w:rsidRPr="009E4473" w:rsidRDefault="009E4473" w:rsidP="009E4473">
      <w:proofErr w:type="gramStart"/>
      <w:r w:rsidRPr="009E4473">
        <w:t>more</w:t>
      </w:r>
      <w:proofErr w:type="gramEnd"/>
      <w:r w:rsidRPr="009E4473">
        <w:t xml:space="preserve"> complex awareness of the challenges of political strategies for plural queer communities.</w:t>
      </w:r>
    </w:p>
    <w:p w:rsidR="009E4473" w:rsidRPr="00D17C4E" w:rsidRDefault="009E4473" w:rsidP="009E4473"/>
    <w:p w:rsidR="009E4473" w:rsidRPr="00D27BD7" w:rsidRDefault="009E4473" w:rsidP="009E4473"/>
    <w:p w:rsidR="009E4473" w:rsidRDefault="009E4473" w:rsidP="009E4473"/>
    <w:p w:rsidR="009E4473" w:rsidRDefault="009E4473" w:rsidP="009E4473">
      <w:pPr>
        <w:pStyle w:val="Heading3"/>
      </w:pPr>
      <w:r>
        <w:lastRenderedPageBreak/>
        <w:t>2ac – Death Drive</w:t>
      </w:r>
    </w:p>
    <w:p w:rsidR="009E4473" w:rsidRPr="005B15A4" w:rsidRDefault="009E4473" w:rsidP="009E4473">
      <w:pPr>
        <w:pStyle w:val="Heading4"/>
      </w:pPr>
      <w:r>
        <w:t>Drives don’t match reality – no impact.</w:t>
      </w:r>
    </w:p>
    <w:p w:rsidR="009E4473" w:rsidRPr="005B15A4" w:rsidRDefault="009E4473" w:rsidP="009E4473">
      <w:pPr>
        <w:rPr>
          <w:rStyle w:val="StyleStyleBold12pt"/>
        </w:rPr>
      </w:pPr>
      <w:proofErr w:type="spellStart"/>
      <w:r w:rsidRPr="005B15A4">
        <w:rPr>
          <w:rStyle w:val="StyleStyleBold12pt"/>
        </w:rPr>
        <w:t>Carel</w:t>
      </w:r>
      <w:proofErr w:type="spellEnd"/>
      <w:r w:rsidRPr="005B15A4">
        <w:rPr>
          <w:rStyle w:val="StyleStyleBold12pt"/>
        </w:rPr>
        <w:t>, University of the West of England philosophy senior lecturer, 2006</w:t>
      </w:r>
    </w:p>
    <w:p w:rsidR="009E4473" w:rsidRDefault="009E4473" w:rsidP="009E4473">
      <w:r>
        <w:t>[</w:t>
      </w:r>
      <w:proofErr w:type="spellStart"/>
      <w:r w:rsidRPr="000028F9">
        <w:t>Havi</w:t>
      </w:r>
      <w:proofErr w:type="spellEnd"/>
      <w:r>
        <w:t>,</w:t>
      </w:r>
      <w:r w:rsidRPr="000028F9">
        <w:t xml:space="preserve"> </w:t>
      </w:r>
      <w:r>
        <w:t xml:space="preserve">“Life and Death in Freud and Heidegger” </w:t>
      </w:r>
      <w:hyperlink r:id="rId13" w:history="1">
        <w:r w:rsidRPr="009F7C7B">
          <w:rPr>
            <w:rStyle w:val="Hyperlink"/>
          </w:rPr>
          <w:t>http://books.google.com/books/about/Life_and_Death_in_Freud_and_Heidegger.html?id=Z3Q-HdiGYTEC</w:t>
        </w:r>
      </w:hyperlink>
      <w:r>
        <w:t>, p.39-40, accessed 1-19-13, TAP]</w:t>
      </w:r>
    </w:p>
    <w:p w:rsidR="009E4473" w:rsidRDefault="009E4473" w:rsidP="009E4473"/>
    <w:p w:rsidR="009E4473" w:rsidRDefault="009E4473" w:rsidP="009E4473">
      <w:r w:rsidRPr="009E4473">
        <w:t xml:space="preserve">Secondly, the constancy principle on which these ideas are based is incompatible with observational </w:t>
      </w:r>
    </w:p>
    <w:p w:rsidR="009E4473" w:rsidRDefault="009E4473" w:rsidP="009E4473">
      <w:r>
        <w:t>AND</w:t>
      </w:r>
    </w:p>
    <w:p w:rsidR="009E4473" w:rsidRPr="009E4473" w:rsidRDefault="009E4473" w:rsidP="009E4473">
      <w:proofErr w:type="gramStart"/>
      <w:r w:rsidRPr="009E4473">
        <w:t>from</w:t>
      </w:r>
      <w:proofErr w:type="gramEnd"/>
      <w:r w:rsidRPr="009E4473">
        <w:t xml:space="preserve"> the environment, and it shows no tendency to discharge its impulses.</w:t>
      </w:r>
    </w:p>
    <w:p w:rsidR="009E4473" w:rsidRDefault="009E4473" w:rsidP="009E4473">
      <w:pPr>
        <w:rPr>
          <w:sz w:val="16"/>
          <w:highlight w:val="yellow"/>
        </w:rPr>
      </w:pPr>
    </w:p>
    <w:p w:rsidR="009E4473" w:rsidRDefault="009E4473" w:rsidP="009E4473">
      <w:pPr>
        <w:rPr>
          <w:sz w:val="16"/>
          <w:highlight w:val="yellow"/>
        </w:rPr>
      </w:pPr>
    </w:p>
    <w:p w:rsidR="009E4473" w:rsidRDefault="009E4473" w:rsidP="009E4473">
      <w:r w:rsidRPr="009E4473">
        <w:t xml:space="preserve"> 'The principle of constancy is quite without any biological basis" (1965, </w:t>
      </w:r>
    </w:p>
    <w:p w:rsidR="009E4473" w:rsidRDefault="009E4473" w:rsidP="009E4473">
      <w:r>
        <w:t>AND</w:t>
      </w:r>
    </w:p>
    <w:p w:rsidR="009E4473" w:rsidRPr="009E4473" w:rsidRDefault="009E4473" w:rsidP="009E4473">
      <w:proofErr w:type="gramStart"/>
      <w:r w:rsidRPr="009E4473">
        <w:t>support</w:t>
      </w:r>
      <w:proofErr w:type="gramEnd"/>
      <w:r w:rsidRPr="009E4473">
        <w:t xml:space="preserve"> for discarding the Nirvana principle and reconstructing the death drive as aggression.</w:t>
      </w:r>
    </w:p>
    <w:p w:rsidR="009E4473" w:rsidRDefault="009E4473" w:rsidP="009E4473"/>
    <w:p w:rsidR="009E4473" w:rsidRDefault="009E4473" w:rsidP="009E4473"/>
    <w:p w:rsidR="009E4473" w:rsidRDefault="009E4473" w:rsidP="009E4473"/>
    <w:bookmarkEnd w:id="0"/>
    <w:p w:rsidR="009E4473" w:rsidRDefault="009E4473" w:rsidP="009E4473">
      <w:pPr>
        <w:pStyle w:val="Heading3"/>
      </w:pPr>
      <w:r>
        <w:lastRenderedPageBreak/>
        <w:t>2ac – Predictions Good</w:t>
      </w:r>
    </w:p>
    <w:p w:rsidR="009E4473" w:rsidRPr="00D0535F" w:rsidRDefault="009E4473" w:rsidP="009E4473">
      <w:pPr>
        <w:pStyle w:val="Heading4"/>
        <w:rPr>
          <w:rFonts w:asciiTheme="majorHAnsi" w:hAnsiTheme="majorHAnsi"/>
        </w:rPr>
      </w:pPr>
      <w:r w:rsidRPr="00D0535F">
        <w:rPr>
          <w:rFonts w:asciiTheme="majorHAnsi" w:hAnsiTheme="majorHAnsi"/>
        </w:rPr>
        <w:t>Future oriented politics are critical to end oppressive policies and create a better future</w:t>
      </w:r>
    </w:p>
    <w:p w:rsidR="009E4473" w:rsidRPr="00D0535F" w:rsidRDefault="009E4473" w:rsidP="009E4473">
      <w:pPr>
        <w:rPr>
          <w:rFonts w:asciiTheme="majorHAnsi" w:hAnsiTheme="majorHAnsi"/>
        </w:rPr>
      </w:pPr>
      <w:proofErr w:type="spellStart"/>
      <w:r w:rsidRPr="00D0535F">
        <w:rPr>
          <w:rStyle w:val="StyleStyleBold12pt"/>
          <w:rFonts w:asciiTheme="majorHAnsi" w:hAnsiTheme="majorHAnsi"/>
        </w:rPr>
        <w:t>Kurasawa</w:t>
      </w:r>
      <w:proofErr w:type="spellEnd"/>
      <w:r w:rsidRPr="00D0535F">
        <w:rPr>
          <w:rFonts w:asciiTheme="majorHAnsi" w:hAnsiTheme="majorHAnsi"/>
        </w:rPr>
        <w:t>, York University Assistant Sociology Professor and Yale University Cultural Sociology Center Associate Faculty, December 200</w:t>
      </w:r>
      <w:r w:rsidRPr="00D0535F">
        <w:rPr>
          <w:rStyle w:val="StyleStyleBold12pt"/>
          <w:rFonts w:asciiTheme="majorHAnsi" w:hAnsiTheme="majorHAnsi"/>
        </w:rPr>
        <w:t>4</w:t>
      </w:r>
      <w:r w:rsidRPr="00D0535F">
        <w:rPr>
          <w:rFonts w:asciiTheme="majorHAnsi" w:hAnsiTheme="majorHAnsi"/>
        </w:rPr>
        <w:t xml:space="preserve">, </w:t>
      </w:r>
    </w:p>
    <w:p w:rsidR="009E4473" w:rsidRPr="00D0535F" w:rsidRDefault="009E4473" w:rsidP="009E4473">
      <w:pPr>
        <w:rPr>
          <w:rStyle w:val="firstlast"/>
          <w:rFonts w:asciiTheme="majorHAnsi" w:hAnsiTheme="majorHAnsi"/>
        </w:rPr>
      </w:pPr>
      <w:r w:rsidRPr="00D0535F">
        <w:rPr>
          <w:rFonts w:asciiTheme="majorHAnsi" w:hAnsiTheme="majorHAnsi"/>
        </w:rPr>
        <w:t>(Fuyuki, “Cautionary Tales: The Global Culture of Prevention and the Work of Foresight,” Volume 11 Issue 4 Page 453-475)</w:t>
      </w:r>
    </w:p>
    <w:p w:rsidR="009E4473" w:rsidRPr="00D0535F" w:rsidRDefault="009E4473" w:rsidP="009E4473">
      <w:pPr>
        <w:rPr>
          <w:rFonts w:asciiTheme="majorHAnsi" w:hAnsiTheme="majorHAnsi"/>
        </w:rPr>
      </w:pPr>
    </w:p>
    <w:p w:rsidR="009E4473" w:rsidRDefault="009E4473" w:rsidP="009E4473">
      <w:r w:rsidRPr="009E4473">
        <w:t xml:space="preserve">None of this is to disavow the international community’s rather patchy record of avoiding foreseeable </w:t>
      </w:r>
    </w:p>
    <w:p w:rsidR="009E4473" w:rsidRDefault="009E4473" w:rsidP="009E4473">
      <w:r>
        <w:t>AND</w:t>
      </w:r>
    </w:p>
    <w:p w:rsidR="009E4473" w:rsidRPr="009E4473" w:rsidRDefault="009E4473" w:rsidP="009E4473">
      <w:proofErr w:type="gramStart"/>
      <w:r w:rsidRPr="009E4473">
        <w:t>public</w:t>
      </w:r>
      <w:proofErr w:type="gramEnd"/>
      <w:r w:rsidRPr="009E4473">
        <w:t xml:space="preserve"> spaces; prevention is a public practice, and a public responsibility.</w:t>
      </w:r>
    </w:p>
    <w:p w:rsidR="009E4473" w:rsidRDefault="009E4473" w:rsidP="009E4473">
      <w:r w:rsidRPr="009E4473">
        <w:t xml:space="preserve">To believe otherwise is, I would argue, to leave the path clear for </w:t>
      </w:r>
    </w:p>
    <w:p w:rsidR="009E4473" w:rsidRDefault="009E4473" w:rsidP="009E4473">
      <w:r>
        <w:t>AND</w:t>
      </w:r>
    </w:p>
    <w:p w:rsidR="009E4473" w:rsidRPr="009E4473" w:rsidRDefault="009E4473" w:rsidP="009E4473">
      <w:r w:rsidRPr="009E4473">
        <w:t xml:space="preserve">. Engaging in autonomous preventive struggles, then, remains our best hope. </w:t>
      </w:r>
    </w:p>
    <w:p w:rsidR="009E4473" w:rsidRDefault="009E4473" w:rsidP="009E4473">
      <w:pPr>
        <w:pStyle w:val="card"/>
        <w:rPr>
          <w:rStyle w:val="underline"/>
          <w:rFonts w:asciiTheme="majorHAnsi" w:hAnsiTheme="majorHAnsi"/>
        </w:rPr>
      </w:pPr>
    </w:p>
    <w:p w:rsidR="009E4473" w:rsidRDefault="009E4473" w:rsidP="009E4473">
      <w:pPr>
        <w:pStyle w:val="card"/>
        <w:rPr>
          <w:rStyle w:val="underline"/>
          <w:rFonts w:asciiTheme="majorHAnsi" w:hAnsiTheme="majorHAnsi"/>
        </w:rPr>
      </w:pPr>
    </w:p>
    <w:p w:rsidR="009E4473" w:rsidRPr="00D0535F" w:rsidRDefault="009E4473" w:rsidP="009E4473">
      <w:pPr>
        <w:pStyle w:val="card"/>
        <w:rPr>
          <w:rFonts w:asciiTheme="majorHAnsi" w:hAnsiTheme="majorHAnsi"/>
        </w:rPr>
      </w:pPr>
      <w:r w:rsidRPr="00D0535F">
        <w:rPr>
          <w:rStyle w:val="underline"/>
          <w:rFonts w:asciiTheme="majorHAnsi" w:hAnsiTheme="majorHAnsi"/>
        </w:rPr>
        <w:t xml:space="preserve">A </w:t>
      </w:r>
      <w:r w:rsidRPr="00D0535F">
        <w:rPr>
          <w:rStyle w:val="underline"/>
          <w:rFonts w:asciiTheme="majorHAnsi" w:hAnsiTheme="majorHAnsi"/>
          <w:highlight w:val="cyan"/>
        </w:rPr>
        <w:t>farsighted cosmopolitanism that aims to avert crises while working toward the realization of precaution</w:t>
      </w:r>
      <w:r w:rsidRPr="00D0535F">
        <w:rPr>
          <w:rStyle w:val="underline"/>
          <w:rFonts w:asciiTheme="majorHAnsi" w:hAnsiTheme="majorHAnsi"/>
        </w:rPr>
        <w:t xml:space="preserve"> and global justice </w:t>
      </w:r>
      <w:r w:rsidRPr="00D0535F">
        <w:rPr>
          <w:rStyle w:val="underline"/>
          <w:rFonts w:asciiTheme="majorHAnsi" w:hAnsiTheme="majorHAnsi"/>
          <w:highlight w:val="cyan"/>
        </w:rPr>
        <w:t xml:space="preserve">represents a compelling </w:t>
      </w:r>
      <w:proofErr w:type="spellStart"/>
      <w:r w:rsidRPr="00D0535F">
        <w:rPr>
          <w:rStyle w:val="underline"/>
          <w:rFonts w:asciiTheme="majorHAnsi" w:hAnsiTheme="majorHAnsi"/>
          <w:highlight w:val="cyan"/>
        </w:rPr>
        <w:t>ethico</w:t>
      </w:r>
      <w:proofErr w:type="spellEnd"/>
      <w:r w:rsidRPr="00D0535F">
        <w:rPr>
          <w:rStyle w:val="underline"/>
          <w:rFonts w:asciiTheme="majorHAnsi" w:hAnsiTheme="majorHAnsi"/>
          <w:highlight w:val="cyan"/>
        </w:rPr>
        <w:t xml:space="preserve">-political project, </w:t>
      </w:r>
      <w:r w:rsidRPr="00D0535F">
        <w:rPr>
          <w:rStyle w:val="underline"/>
          <w:rFonts w:asciiTheme="majorHAnsi" w:hAnsiTheme="majorHAnsi"/>
        </w:rPr>
        <w:t xml:space="preserve">for </w:t>
      </w:r>
      <w:r w:rsidRPr="00D0535F">
        <w:rPr>
          <w:rStyle w:val="underline"/>
          <w:rFonts w:asciiTheme="majorHAnsi" w:hAnsiTheme="majorHAnsi"/>
          <w:highlight w:val="cyan"/>
        </w:rPr>
        <w:t>we will not inherit a better future. It must be made</w:t>
      </w:r>
      <w:r w:rsidRPr="00D0535F">
        <w:rPr>
          <w:rStyle w:val="underline"/>
          <w:rFonts w:asciiTheme="majorHAnsi" w:hAnsiTheme="majorHAnsi"/>
        </w:rPr>
        <w:t>, starting with us, in the here and now</w:t>
      </w:r>
      <w:r w:rsidRPr="00D0535F">
        <w:rPr>
          <w:rFonts w:asciiTheme="majorHAnsi" w:hAnsiTheme="majorHAnsi"/>
        </w:rPr>
        <w:t>.</w:t>
      </w:r>
    </w:p>
    <w:p w:rsidR="009E4473" w:rsidRPr="008D3DEE" w:rsidRDefault="009E4473" w:rsidP="009E4473"/>
    <w:p w:rsidR="009E4473" w:rsidRDefault="009E4473" w:rsidP="009E4473">
      <w:pPr>
        <w:pStyle w:val="Heading3"/>
      </w:pPr>
      <w:r>
        <w:lastRenderedPageBreak/>
        <w:t>AT: Complexity Theory</w:t>
      </w:r>
    </w:p>
    <w:p w:rsidR="009E4473" w:rsidRDefault="009E4473" w:rsidP="009E4473">
      <w:pPr>
        <w:pStyle w:val="Heading4"/>
      </w:pPr>
      <w:r>
        <w:t>Complexity theory has little predictive value which makes it useless for politics and its assumptions are too sweeping – some uncertainty is inevitable but predictions are possible.</w:t>
      </w:r>
    </w:p>
    <w:p w:rsidR="009E4473" w:rsidRPr="00F67097" w:rsidRDefault="009E4473" w:rsidP="009E4473">
      <w:pPr>
        <w:rPr>
          <w:rStyle w:val="StyleStyleBold12pt"/>
        </w:rPr>
      </w:pPr>
      <w:r w:rsidRPr="00F67097">
        <w:rPr>
          <w:rStyle w:val="StyleStyleBold12pt"/>
        </w:rPr>
        <w:t>Keating, Foreign Policy associate editor, 5-23-13</w:t>
      </w:r>
    </w:p>
    <w:p w:rsidR="009E4473" w:rsidRDefault="009E4473" w:rsidP="009E4473">
      <w:r>
        <w:t xml:space="preserve">[Joshua, “Can chaos theory teach us anything about international relations?” </w:t>
      </w:r>
      <w:hyperlink r:id="rId14" w:history="1">
        <w:r w:rsidRPr="00004289">
          <w:rPr>
            <w:rStyle w:val="Hyperlink"/>
          </w:rPr>
          <w:t>http://ideas.foreignpolicy.com/posts/2013/05/23/can_chaos_theory_teach_us_anything_about_international_relations</w:t>
        </w:r>
      </w:hyperlink>
      <w:r>
        <w:rPr>
          <w:rStyle w:val="Hyperlink"/>
        </w:rPr>
        <w:t>, accessed 8-4-13, TAP]</w:t>
      </w:r>
    </w:p>
    <w:p w:rsidR="009E4473" w:rsidRPr="00C47B02" w:rsidRDefault="009E4473" w:rsidP="009E4473"/>
    <w:p w:rsidR="009E4473" w:rsidRDefault="009E4473" w:rsidP="009E4473">
      <w:r w:rsidRPr="009E4473">
        <w:t xml:space="preserve">In more recent times, ideas from chaos and its related subfield complexity theory influenced </w:t>
      </w:r>
    </w:p>
    <w:p w:rsidR="009E4473" w:rsidRDefault="009E4473" w:rsidP="009E4473">
      <w:r>
        <w:t>AND</w:t>
      </w:r>
    </w:p>
    <w:p w:rsidR="009E4473" w:rsidRPr="009E4473" w:rsidRDefault="009E4473" w:rsidP="009E4473">
      <w:proofErr w:type="gramStart"/>
      <w:r w:rsidRPr="009E4473">
        <w:t>way</w:t>
      </w:r>
      <w:proofErr w:type="gramEnd"/>
      <w:r w:rsidRPr="009E4473">
        <w:t xml:space="preserve"> Lorenz did in the months and years following his fateful coffee break.  </w:t>
      </w:r>
    </w:p>
    <w:p w:rsidR="009E4473" w:rsidRPr="00D17C4E" w:rsidRDefault="009E4473" w:rsidP="009E4473"/>
    <w:p w:rsidR="009E4473" w:rsidRPr="000D4EF1" w:rsidRDefault="009E4473" w:rsidP="009E4473">
      <w:pPr>
        <w:pStyle w:val="Heading4"/>
      </w:pPr>
      <w:r w:rsidRPr="000D4EF1">
        <w:t>Linear predictions are feasible</w:t>
      </w:r>
      <w:r>
        <w:t xml:space="preserve"> – empirically evidence proves</w:t>
      </w:r>
    </w:p>
    <w:p w:rsidR="009E4473" w:rsidRPr="000D4EF1" w:rsidRDefault="009E4473" w:rsidP="009E4473">
      <w:pPr>
        <w:rPr>
          <w:rStyle w:val="StyleStyleBold12pt"/>
        </w:rPr>
      </w:pPr>
      <w:proofErr w:type="spellStart"/>
      <w:r w:rsidRPr="000D4EF1">
        <w:rPr>
          <w:rStyle w:val="StyleStyleBold12pt"/>
        </w:rPr>
        <w:t>Chernoff</w:t>
      </w:r>
      <w:proofErr w:type="spellEnd"/>
      <w:r w:rsidRPr="000D4EF1">
        <w:rPr>
          <w:rStyle w:val="StyleStyleBold12pt"/>
        </w:rPr>
        <w:t xml:space="preserve">, Prof. IR and Dir. IR – Colgate U, 9  </w:t>
      </w:r>
    </w:p>
    <w:p w:rsidR="009E4473" w:rsidRPr="00B54FC7" w:rsidRDefault="009E4473" w:rsidP="009E4473">
      <w:pPr>
        <w:rPr>
          <w:rFonts w:eastAsia="Times New Roman"/>
        </w:rPr>
      </w:pPr>
      <w:r w:rsidRPr="00B54FC7">
        <w:rPr>
          <w:rFonts w:eastAsia="Times New Roman"/>
        </w:rPr>
        <w:t>(Fred</w:t>
      </w:r>
      <w:proofErr w:type="gramStart"/>
      <w:r w:rsidRPr="00B54FC7">
        <w:rPr>
          <w:rFonts w:eastAsia="Times New Roman"/>
        </w:rPr>
        <w:t>,.,</w:t>
      </w:r>
      <w:proofErr w:type="gramEnd"/>
      <w:r w:rsidRPr="00B54FC7">
        <w:rPr>
          <w:rFonts w:eastAsia="Times New Roman"/>
        </w:rPr>
        <w:t xml:space="preserve"> European Journal of International Relations, “Conventionalism as an Adequate Basis for Policy-</w:t>
      </w:r>
      <w:r>
        <w:rPr>
          <w:rFonts w:eastAsia="Times New Roman"/>
        </w:rPr>
        <w:t>Relevant IR Theory”, 15:1, Sage, accessed 10-22-12, CMM)</w:t>
      </w:r>
    </w:p>
    <w:p w:rsidR="009E4473" w:rsidRDefault="009E4473" w:rsidP="009E4473">
      <w:pPr>
        <w:rPr>
          <w:rFonts w:eastAsia="Times New Roman"/>
        </w:rPr>
      </w:pPr>
    </w:p>
    <w:p w:rsidR="009E4473" w:rsidRDefault="009E4473" w:rsidP="009E4473">
      <w:r w:rsidRPr="009E4473">
        <w:t xml:space="preserve">For these and other reasons, many social theorists and social scientists have come to </w:t>
      </w:r>
    </w:p>
    <w:p w:rsidR="009E4473" w:rsidRDefault="009E4473" w:rsidP="009E4473">
      <w:r>
        <w:t>AND</w:t>
      </w:r>
    </w:p>
    <w:p w:rsidR="009E4473" w:rsidRPr="009E4473" w:rsidRDefault="009E4473" w:rsidP="009E4473">
      <w:proofErr w:type="gramStart"/>
      <w:r w:rsidRPr="009E4473">
        <w:t>and</w:t>
      </w:r>
      <w:proofErr w:type="gramEnd"/>
      <w:r w:rsidRPr="009E4473">
        <w:t xml:space="preserve"> the social sciences, leaders are able to choose the courses of action</w:t>
      </w:r>
    </w:p>
    <w:p w:rsidR="009E4473" w:rsidRDefault="009E4473" w:rsidP="009E4473">
      <w:pPr>
        <w:rPr>
          <w:rStyle w:val="StyleBoldUnderline"/>
        </w:rPr>
      </w:pPr>
    </w:p>
    <w:p w:rsidR="009E4473" w:rsidRDefault="009E4473" w:rsidP="009E4473">
      <w:pPr>
        <w:rPr>
          <w:rStyle w:val="StyleBoldUnderline"/>
        </w:rPr>
      </w:pPr>
    </w:p>
    <w:p w:rsidR="009E4473" w:rsidRDefault="009E4473" w:rsidP="009E4473">
      <w:pPr>
        <w:rPr>
          <w:rStyle w:val="StyleBoldUnderline"/>
        </w:rPr>
      </w:pPr>
    </w:p>
    <w:p w:rsidR="009E4473" w:rsidRDefault="009E4473" w:rsidP="009E4473">
      <w:r w:rsidRPr="009E4473">
        <w:t xml:space="preserve"> (</w:t>
      </w:r>
      <w:proofErr w:type="gramStart"/>
      <w:r w:rsidRPr="009E4473">
        <w:t>e.g</w:t>
      </w:r>
      <w:proofErr w:type="gramEnd"/>
      <w:r w:rsidRPr="009E4473">
        <w:t xml:space="preserve">. more stringent earthquake-safety building codes, or </w:t>
      </w:r>
    </w:p>
    <w:p w:rsidR="009E4473" w:rsidRDefault="009E4473" w:rsidP="009E4473">
      <w:r>
        <w:t>AND</w:t>
      </w:r>
    </w:p>
    <w:p w:rsidR="009E4473" w:rsidRPr="009E4473" w:rsidRDefault="009E4473" w:rsidP="009E4473">
      <w:r w:rsidRPr="009E4473">
        <w:t xml:space="preserve">(3) </w:t>
      </w:r>
      <w:proofErr w:type="gramStart"/>
      <w:r w:rsidRPr="009E4473">
        <w:t>that</w:t>
      </w:r>
      <w:proofErr w:type="gramEnd"/>
      <w:r w:rsidRPr="009E4473">
        <w:t xml:space="preserve"> are not possible even in some natural sciences.15 </w:t>
      </w:r>
    </w:p>
    <w:p w:rsidR="009E4473" w:rsidRPr="00191792" w:rsidRDefault="009E4473" w:rsidP="009E4473">
      <w:pPr>
        <w:rPr>
          <w:highlight w:val="cyan"/>
        </w:rPr>
      </w:pPr>
    </w:p>
    <w:p w:rsidR="009E4473" w:rsidRPr="00C42A13" w:rsidRDefault="009E4473" w:rsidP="009E4473">
      <w:pPr>
        <w:pStyle w:val="Heading3"/>
        <w:rPr>
          <w:rFonts w:asciiTheme="minorHAnsi" w:hAnsiTheme="minorHAnsi"/>
        </w:rPr>
      </w:pPr>
      <w:r w:rsidRPr="00C42A13">
        <w:rPr>
          <w:rFonts w:asciiTheme="minorHAnsi" w:hAnsiTheme="minorHAnsi"/>
        </w:rPr>
        <w:lastRenderedPageBreak/>
        <w:t xml:space="preserve">AT: </w:t>
      </w:r>
      <w:r>
        <w:rPr>
          <w:rFonts w:asciiTheme="minorHAnsi" w:hAnsiTheme="minorHAnsi"/>
        </w:rPr>
        <w:t>Impact</w:t>
      </w:r>
    </w:p>
    <w:p w:rsidR="009E4473" w:rsidRPr="00C42A13" w:rsidRDefault="009E4473" w:rsidP="009E4473">
      <w:pPr>
        <w:rPr>
          <w:rFonts w:asciiTheme="minorHAnsi" w:hAnsiTheme="minorHAnsi"/>
        </w:rPr>
      </w:pPr>
    </w:p>
    <w:p w:rsidR="009E4473" w:rsidRPr="00C42A13" w:rsidRDefault="009E4473" w:rsidP="009E4473">
      <w:pPr>
        <w:pStyle w:val="Heading4"/>
        <w:rPr>
          <w:rFonts w:asciiTheme="minorHAnsi" w:hAnsiTheme="minorHAnsi"/>
        </w:rPr>
      </w:pPr>
      <w:r w:rsidRPr="00C42A13">
        <w:rPr>
          <w:rFonts w:asciiTheme="minorHAnsi" w:hAnsiTheme="minorHAnsi"/>
        </w:rPr>
        <w:t>5. Their violence impacts don’t escalate.</w:t>
      </w:r>
    </w:p>
    <w:p w:rsidR="009E4473" w:rsidRPr="00C42A13" w:rsidRDefault="009E4473" w:rsidP="009E4473">
      <w:pPr>
        <w:pStyle w:val="NormalWeb"/>
        <w:spacing w:before="0" w:beforeAutospacing="0" w:after="0" w:afterAutospacing="0"/>
        <w:rPr>
          <w:rFonts w:asciiTheme="minorHAnsi" w:hAnsiTheme="minorHAnsi"/>
          <w:bCs/>
          <w:szCs w:val="22"/>
        </w:rPr>
      </w:pPr>
      <w:proofErr w:type="spellStart"/>
      <w:r w:rsidRPr="00C42A13">
        <w:rPr>
          <w:rStyle w:val="Heading3Char"/>
          <w:rFonts w:asciiTheme="minorHAnsi" w:hAnsiTheme="minorHAnsi"/>
        </w:rPr>
        <w:t>Hinde</w:t>
      </w:r>
      <w:proofErr w:type="spellEnd"/>
      <w:r w:rsidRPr="00C42A13">
        <w:rPr>
          <w:rStyle w:val="Heading3Char"/>
          <w:rFonts w:asciiTheme="minorHAnsi" w:hAnsiTheme="minorHAnsi"/>
        </w:rPr>
        <w:t xml:space="preserve"> and </w:t>
      </w:r>
      <w:proofErr w:type="spellStart"/>
      <w:r w:rsidRPr="00C42A13">
        <w:rPr>
          <w:rStyle w:val="Heading3Char"/>
          <w:rFonts w:asciiTheme="minorHAnsi" w:hAnsiTheme="minorHAnsi"/>
        </w:rPr>
        <w:t>Pulkkinnen</w:t>
      </w:r>
      <w:proofErr w:type="spellEnd"/>
      <w:r w:rsidRPr="00C42A13">
        <w:rPr>
          <w:rStyle w:val="Heading3Char"/>
          <w:rFonts w:asciiTheme="minorHAnsi" w:hAnsiTheme="minorHAnsi"/>
        </w:rPr>
        <w:t>, Cambridge psychology professor</w:t>
      </w:r>
      <w:r w:rsidRPr="00C42A13">
        <w:rPr>
          <w:rFonts w:asciiTheme="minorHAnsi" w:hAnsiTheme="minorHAnsi"/>
          <w:bCs/>
          <w:szCs w:val="22"/>
        </w:rPr>
        <w:t xml:space="preserve"> </w:t>
      </w:r>
      <w:r w:rsidRPr="00C42A13">
        <w:rPr>
          <w:rFonts w:asciiTheme="minorHAnsi" w:hAnsiTheme="minorHAnsi"/>
          <w:bCs/>
          <w:sz w:val="20"/>
        </w:rPr>
        <w:t xml:space="preserve">and University of </w:t>
      </w:r>
      <w:proofErr w:type="spellStart"/>
      <w:r w:rsidRPr="00C42A13">
        <w:rPr>
          <w:rFonts w:asciiTheme="minorHAnsi" w:hAnsiTheme="minorHAnsi"/>
          <w:bCs/>
          <w:sz w:val="20"/>
        </w:rPr>
        <w:t>Jyväskylä</w:t>
      </w:r>
      <w:proofErr w:type="spellEnd"/>
      <w:r w:rsidRPr="00C42A13">
        <w:rPr>
          <w:rFonts w:asciiTheme="minorHAnsi" w:hAnsiTheme="minorHAnsi"/>
          <w:bCs/>
          <w:sz w:val="20"/>
        </w:rPr>
        <w:t xml:space="preserve"> psychology professor</w:t>
      </w:r>
      <w:r w:rsidRPr="00C42A13">
        <w:rPr>
          <w:rFonts w:asciiTheme="minorHAnsi" w:hAnsiTheme="minorHAnsi"/>
          <w:bCs/>
          <w:szCs w:val="22"/>
        </w:rPr>
        <w:t xml:space="preserve">, </w:t>
      </w:r>
      <w:r w:rsidRPr="00C42A13">
        <w:rPr>
          <w:rStyle w:val="Heading3Char"/>
          <w:rFonts w:asciiTheme="minorHAnsi" w:hAnsiTheme="minorHAnsi"/>
        </w:rPr>
        <w:t>2000</w:t>
      </w:r>
    </w:p>
    <w:p w:rsidR="009E4473" w:rsidRPr="00C42A13" w:rsidRDefault="009E4473" w:rsidP="009E4473">
      <w:pPr>
        <w:pStyle w:val="NormalWeb"/>
        <w:spacing w:before="0" w:beforeAutospacing="0" w:after="0" w:afterAutospacing="0"/>
        <w:rPr>
          <w:rFonts w:asciiTheme="minorHAnsi" w:hAnsiTheme="minorHAnsi"/>
          <w:bCs/>
          <w:sz w:val="20"/>
        </w:rPr>
      </w:pPr>
      <w:r w:rsidRPr="00C42A13">
        <w:rPr>
          <w:rFonts w:asciiTheme="minorHAnsi" w:hAnsiTheme="minorHAnsi"/>
          <w:bCs/>
          <w:sz w:val="20"/>
        </w:rPr>
        <w:t xml:space="preserve">[Robert and Lea, </w:t>
      </w:r>
      <w:hyperlink r:id="rId15" w:history="1">
        <w:r w:rsidRPr="00C42A13">
          <w:rPr>
            <w:rFonts w:asciiTheme="minorHAnsi" w:hAnsiTheme="minorHAnsi"/>
            <w:sz w:val="20"/>
          </w:rPr>
          <w:t xml:space="preserve"> DRAFT Background Paper for Working Group 1: HUMAN AGGRESSIVENESS AND WAR, 50th Pugwash Conference On Science and World Affairs: "Eliminating the Causes of War" Queens' College, Cambridge , UK, 3-8 August </w:t>
        </w:r>
        <w:hyperlink r:id="rId16" w:tgtFrame="_blank" w:history="1">
          <w:r w:rsidRPr="00C42A13">
            <w:rPr>
              <w:rStyle w:val="Hyperlink"/>
              <w:rFonts w:asciiTheme="minorHAnsi" w:hAnsiTheme="minorHAnsi"/>
              <w:sz w:val="20"/>
            </w:rPr>
            <w:t>http://www.pugwash.org/reports/pac/pac256/WG1draft1.htm</w:t>
          </w:r>
        </w:hyperlink>
      </w:hyperlink>
      <w:r w:rsidRPr="00C42A13">
        <w:rPr>
          <w:rFonts w:asciiTheme="minorHAnsi" w:hAnsiTheme="minorHAnsi"/>
          <w:bCs/>
          <w:sz w:val="20"/>
        </w:rPr>
        <w:t>]</w:t>
      </w:r>
    </w:p>
    <w:p w:rsidR="009E4473" w:rsidRPr="00C42A13" w:rsidRDefault="009E4473" w:rsidP="009E4473">
      <w:pPr>
        <w:pStyle w:val="NormalWeb"/>
        <w:spacing w:before="0" w:beforeAutospacing="0" w:after="0" w:afterAutospacing="0"/>
        <w:rPr>
          <w:rFonts w:asciiTheme="minorHAnsi" w:hAnsiTheme="minorHAnsi"/>
          <w:b/>
          <w:bCs/>
          <w:sz w:val="20"/>
        </w:rPr>
      </w:pPr>
    </w:p>
    <w:p w:rsidR="009E4473" w:rsidRDefault="009E4473" w:rsidP="009E4473">
      <w:r w:rsidRPr="009E4473">
        <w:t xml:space="preserve">People are capable of perpetrating the most terrible acts of violence on their fellows. </w:t>
      </w:r>
    </w:p>
    <w:p w:rsidR="009E4473" w:rsidRDefault="009E4473" w:rsidP="009E4473">
      <w:r>
        <w:t>AND</w:t>
      </w:r>
    </w:p>
    <w:p w:rsidR="009E4473" w:rsidRPr="009E4473" w:rsidRDefault="009E4473" w:rsidP="009E4473">
      <w:proofErr w:type="gramStart"/>
      <w:r w:rsidRPr="009E4473">
        <w:t>multiple</w:t>
      </w:r>
      <w:proofErr w:type="gramEnd"/>
      <w:r w:rsidRPr="009E4473">
        <w:t xml:space="preserve"> causes, and the interactions between the causal factors remain largely unexplored.</w:t>
      </w:r>
    </w:p>
    <w:p w:rsidR="009E4473" w:rsidRPr="00C42A13" w:rsidRDefault="009E4473" w:rsidP="009E4473">
      <w:pPr>
        <w:rPr>
          <w:rFonts w:asciiTheme="minorHAnsi" w:hAnsiTheme="minorHAnsi"/>
          <w:b/>
        </w:rPr>
      </w:pPr>
    </w:p>
    <w:p w:rsidR="009E4473" w:rsidRPr="00C42A13" w:rsidRDefault="009E4473" w:rsidP="009E4473">
      <w:pPr>
        <w:rPr>
          <w:rFonts w:asciiTheme="minorHAnsi" w:hAnsiTheme="minorHAnsi"/>
        </w:rPr>
      </w:pPr>
    </w:p>
    <w:p w:rsidR="009E4473" w:rsidRDefault="009E4473" w:rsidP="009E4473"/>
    <w:p w:rsidR="009E4473" w:rsidRDefault="009E4473" w:rsidP="009E4473"/>
    <w:p w:rsidR="009E4473" w:rsidRPr="0003007F" w:rsidRDefault="009E4473" w:rsidP="009E4473"/>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369" w:rsidRDefault="000A4369" w:rsidP="005F5576">
      <w:r>
        <w:separator/>
      </w:r>
    </w:p>
  </w:endnote>
  <w:endnote w:type="continuationSeparator" w:id="0">
    <w:p w:rsidR="000A4369" w:rsidRDefault="000A436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369" w:rsidRDefault="000A4369" w:rsidP="005F5576">
      <w:r>
        <w:separator/>
      </w:r>
    </w:p>
  </w:footnote>
  <w:footnote w:type="continuationSeparator" w:id="0">
    <w:p w:rsidR="000A4369" w:rsidRDefault="000A436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42EA2"/>
    <w:multiLevelType w:val="hybridMultilevel"/>
    <w:tmpl w:val="425AE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564077"/>
    <w:multiLevelType w:val="hybridMultilevel"/>
    <w:tmpl w:val="31063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0A1754"/>
    <w:multiLevelType w:val="hybridMultilevel"/>
    <w:tmpl w:val="AB32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47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36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4473"/>
    <w:rsid w:val="00A10B8B"/>
    <w:rsid w:val="00A20D78"/>
    <w:rsid w:val="00A2174A"/>
    <w:rsid w:val="00A26733"/>
    <w:rsid w:val="00A3595E"/>
    <w:rsid w:val="00A4071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3CB"/>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No Spacing11,No Spacing111,No Spacing112,No Spacing1121,No Spacing2,Debate Text,Read stuff,No Spacing4,No Spacing21,CD - Cite,Heading 2 Char2 Char,Heading 2 Char1 Char Char,Ch,No Spacing2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Bold Cite Char1,no Char,Foldove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ld,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No Spacing11 Char,No Spacing111 Char,No Spacing112 Char,No Spacing1121 Char,No Spacing2 Char,Debate Text Char,Read stuff Char,No Spacing4 Char,Ch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9E4473"/>
    <w:rPr>
      <w:b/>
      <w:u w:val="single"/>
    </w:rPr>
  </w:style>
  <w:style w:type="paragraph" w:customStyle="1" w:styleId="textbold">
    <w:name w:val="text bold"/>
    <w:basedOn w:val="Normal"/>
    <w:link w:val="underline"/>
    <w:qFormat/>
    <w:rsid w:val="009E4473"/>
    <w:pPr>
      <w:ind w:left="720"/>
      <w:jc w:val="both"/>
    </w:pPr>
    <w:rPr>
      <w:rFonts w:asciiTheme="minorHAnsi" w:hAnsiTheme="minorHAnsi" w:cstheme="minorBidi"/>
      <w:b/>
      <w:u w:val="single"/>
    </w:rPr>
  </w:style>
  <w:style w:type="paragraph" w:customStyle="1" w:styleId="tag">
    <w:name w:val="tag"/>
    <w:basedOn w:val="Normal"/>
    <w:next w:val="Normal"/>
    <w:qFormat/>
    <w:rsid w:val="009E4473"/>
    <w:rPr>
      <w:rFonts w:eastAsia="Times New Roman" w:cs="Times New Roman"/>
      <w:b/>
      <w:sz w:val="24"/>
      <w:szCs w:val="20"/>
    </w:rPr>
  </w:style>
  <w:style w:type="paragraph" w:customStyle="1" w:styleId="card">
    <w:name w:val="card"/>
    <w:basedOn w:val="Normal"/>
    <w:next w:val="Normal"/>
    <w:link w:val="cardChar"/>
    <w:uiPriority w:val="6"/>
    <w:qFormat/>
    <w:rsid w:val="009E4473"/>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uiPriority w:val="6"/>
    <w:rsid w:val="009E4473"/>
    <w:rPr>
      <w:rFonts w:ascii="Times New Roman" w:eastAsia="Times New Roman" w:hAnsi="Times New Roman" w:cs="Times New Roman"/>
      <w:sz w:val="20"/>
      <w:szCs w:val="20"/>
    </w:rPr>
  </w:style>
  <w:style w:type="character" w:customStyle="1" w:styleId="firstlast">
    <w:name w:val="first last"/>
    <w:rsid w:val="009E4473"/>
  </w:style>
  <w:style w:type="paragraph" w:customStyle="1" w:styleId="Nothing">
    <w:name w:val="Nothing"/>
    <w:link w:val="NothingChar"/>
    <w:rsid w:val="009E4473"/>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9E4473"/>
    <w:rPr>
      <w:rFonts w:ascii="Times New Roman" w:hAnsi="Times New Roman"/>
      <w:sz w:val="24"/>
      <w:u w:val="thick"/>
    </w:rPr>
  </w:style>
  <w:style w:type="paragraph" w:customStyle="1" w:styleId="Tags">
    <w:name w:val="Tags"/>
    <w:next w:val="Nothing"/>
    <w:link w:val="TagsChar"/>
    <w:qFormat/>
    <w:rsid w:val="009E447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
    <w:name w:val="Tags Char"/>
    <w:aliases w:val="TAG Char,tag Char,Heading 2 Char1,Heading 2 Char2 Char Char,Heading 2 Char1 Char Char Char1,Heading 2 Char Char Char Char Char1,Heading 2 Char Char1 Char Char,Heading 2 Char2 Char1,Heading 2 Char1 Char Char1,Heading 2 Char Char Char Char1"/>
    <w:basedOn w:val="DefaultParagraphFont"/>
    <w:link w:val="Tags"/>
    <w:qFormat/>
    <w:rsid w:val="009E4473"/>
    <w:rPr>
      <w:rFonts w:ascii="Times New Roman" w:eastAsia="Times New Roman" w:hAnsi="Times New Roman" w:cs="Times New Roman"/>
      <w:b/>
      <w:sz w:val="24"/>
      <w:szCs w:val="24"/>
    </w:rPr>
  </w:style>
  <w:style w:type="character" w:customStyle="1" w:styleId="NothingChar">
    <w:name w:val="Nothing Char"/>
    <w:basedOn w:val="DefaultParagraphFont"/>
    <w:link w:val="Nothing"/>
    <w:rsid w:val="009E4473"/>
    <w:rPr>
      <w:rFonts w:ascii="Times New Roman" w:eastAsia="Times New Roman" w:hAnsi="Times New Roman" w:cs="Times New Roman"/>
      <w:sz w:val="20"/>
      <w:szCs w:val="24"/>
    </w:rPr>
  </w:style>
  <w:style w:type="character" w:customStyle="1" w:styleId="author">
    <w:name w:val="author"/>
    <w:basedOn w:val="DefaultParagraphFont"/>
    <w:rsid w:val="009E4473"/>
  </w:style>
  <w:style w:type="character" w:customStyle="1" w:styleId="CardTagandCiteChar">
    <w:name w:val="Card Tag and Cite Char"/>
    <w:link w:val="CardTagandCite"/>
    <w:rsid w:val="009E4473"/>
    <w:rPr>
      <w:rFonts w:ascii="Arial Narrow" w:hAnsi="Arial Narrow"/>
      <w:b/>
      <w:sz w:val="26"/>
    </w:rPr>
  </w:style>
  <w:style w:type="paragraph" w:customStyle="1" w:styleId="CardTagandCite">
    <w:name w:val="Card Tag and Cite"/>
    <w:basedOn w:val="Normal"/>
    <w:next w:val="Normal"/>
    <w:link w:val="CardTagandCiteChar"/>
    <w:rsid w:val="009E4473"/>
    <w:pPr>
      <w:widowControl w:val="0"/>
      <w:autoSpaceDE w:val="0"/>
      <w:autoSpaceDN w:val="0"/>
      <w:adjustRightInd w:val="0"/>
    </w:pPr>
    <w:rPr>
      <w:rFonts w:ascii="Arial Narrow" w:hAnsi="Arial Narrow" w:cstheme="minorBidi"/>
      <w:b/>
      <w:sz w:val="26"/>
    </w:rPr>
  </w:style>
  <w:style w:type="character" w:customStyle="1" w:styleId="Box">
    <w:name w:val="Box"/>
    <w:uiPriority w:val="1"/>
    <w:qFormat/>
    <w:rsid w:val="009E4473"/>
    <w:rPr>
      <w:b/>
      <w:u w:val="single"/>
      <w:bdr w:val="single" w:sz="4" w:space="0" w:color="auto"/>
    </w:rPr>
  </w:style>
  <w:style w:type="paragraph" w:customStyle="1" w:styleId="cardtext">
    <w:name w:val="card text"/>
    <w:basedOn w:val="Normal"/>
    <w:link w:val="cardtextChar"/>
    <w:qFormat/>
    <w:rsid w:val="009E4473"/>
    <w:pPr>
      <w:ind w:left="288" w:right="288"/>
    </w:pPr>
    <w:rPr>
      <w:rFonts w:eastAsia="Cambria" w:cs="Times New Roman"/>
    </w:rPr>
  </w:style>
  <w:style w:type="character" w:customStyle="1" w:styleId="cardtextChar">
    <w:name w:val="card text Char"/>
    <w:basedOn w:val="DefaultParagraphFont"/>
    <w:link w:val="cardtext"/>
    <w:rsid w:val="009E4473"/>
    <w:rPr>
      <w:rFonts w:ascii="Calibri" w:eastAsia="Cambria" w:hAnsi="Calibri" w:cs="Times New Roman"/>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9E4473"/>
    <w:pPr>
      <w:spacing w:before="100" w:beforeAutospacing="1" w:after="100" w:afterAutospacing="1"/>
    </w:pPr>
    <w:rPr>
      <w:rFonts w:ascii="Times" w:hAnsi="Times" w:cs="Times New Roman"/>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9E4473"/>
    <w:rPr>
      <w:rFonts w:ascii="Times" w:hAnsi="Times" w:cs="Times New Roman"/>
      <w:szCs w:val="20"/>
    </w:rPr>
  </w:style>
  <w:style w:type="character" w:customStyle="1" w:styleId="BoldUnderline">
    <w:name w:val="BoldUnderline"/>
    <w:basedOn w:val="DefaultParagraphFont"/>
    <w:uiPriority w:val="1"/>
    <w:qFormat/>
    <w:rsid w:val="009E4473"/>
    <w:rPr>
      <w:rFonts w:ascii="Arial" w:hAnsi="Arial"/>
      <w:b/>
      <w:sz w:val="20"/>
      <w:u w:val="single"/>
    </w:rPr>
  </w:style>
  <w:style w:type="paragraph" w:styleId="ListParagraph">
    <w:name w:val="List Paragraph"/>
    <w:basedOn w:val="Normal"/>
    <w:uiPriority w:val="34"/>
    <w:semiHidden/>
    <w:rsid w:val="009E44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No Spacing11,No Spacing111,No Spacing112,No Spacing1121,No Spacing2,Debate Text,Read stuff,No Spacing4,No Spacing21,CD - Cite,Heading 2 Char2 Char,Heading 2 Char1 Char Char,Ch,No Spacing2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Bold Cite Char1,no Char,Foldove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ld,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No Spacing11 Char,No Spacing111 Char,No Spacing112 Char,No Spacing1121 Char,No Spacing2 Char,Debate Text Char,Read stuff Char,No Spacing4 Char,Ch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9E4473"/>
    <w:rPr>
      <w:b/>
      <w:u w:val="single"/>
    </w:rPr>
  </w:style>
  <w:style w:type="paragraph" w:customStyle="1" w:styleId="textbold">
    <w:name w:val="text bold"/>
    <w:basedOn w:val="Normal"/>
    <w:link w:val="underline"/>
    <w:qFormat/>
    <w:rsid w:val="009E4473"/>
    <w:pPr>
      <w:ind w:left="720"/>
      <w:jc w:val="both"/>
    </w:pPr>
    <w:rPr>
      <w:rFonts w:asciiTheme="minorHAnsi" w:hAnsiTheme="minorHAnsi" w:cstheme="minorBidi"/>
      <w:b/>
      <w:u w:val="single"/>
    </w:rPr>
  </w:style>
  <w:style w:type="paragraph" w:customStyle="1" w:styleId="tag">
    <w:name w:val="tag"/>
    <w:basedOn w:val="Normal"/>
    <w:next w:val="Normal"/>
    <w:qFormat/>
    <w:rsid w:val="009E4473"/>
    <w:rPr>
      <w:rFonts w:eastAsia="Times New Roman" w:cs="Times New Roman"/>
      <w:b/>
      <w:sz w:val="24"/>
      <w:szCs w:val="20"/>
    </w:rPr>
  </w:style>
  <w:style w:type="paragraph" w:customStyle="1" w:styleId="card">
    <w:name w:val="card"/>
    <w:basedOn w:val="Normal"/>
    <w:next w:val="Normal"/>
    <w:link w:val="cardChar"/>
    <w:uiPriority w:val="6"/>
    <w:qFormat/>
    <w:rsid w:val="009E4473"/>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uiPriority w:val="6"/>
    <w:rsid w:val="009E4473"/>
    <w:rPr>
      <w:rFonts w:ascii="Times New Roman" w:eastAsia="Times New Roman" w:hAnsi="Times New Roman" w:cs="Times New Roman"/>
      <w:sz w:val="20"/>
      <w:szCs w:val="20"/>
    </w:rPr>
  </w:style>
  <w:style w:type="character" w:customStyle="1" w:styleId="firstlast">
    <w:name w:val="first last"/>
    <w:rsid w:val="009E4473"/>
  </w:style>
  <w:style w:type="paragraph" w:customStyle="1" w:styleId="Nothing">
    <w:name w:val="Nothing"/>
    <w:link w:val="NothingChar"/>
    <w:rsid w:val="009E4473"/>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9E4473"/>
    <w:rPr>
      <w:rFonts w:ascii="Times New Roman" w:hAnsi="Times New Roman"/>
      <w:sz w:val="24"/>
      <w:u w:val="thick"/>
    </w:rPr>
  </w:style>
  <w:style w:type="paragraph" w:customStyle="1" w:styleId="Tags">
    <w:name w:val="Tags"/>
    <w:next w:val="Nothing"/>
    <w:link w:val="TagsChar"/>
    <w:qFormat/>
    <w:rsid w:val="009E447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
    <w:name w:val="Tags Char"/>
    <w:aliases w:val="TAG Char,tag Char,Heading 2 Char1,Heading 2 Char2 Char Char,Heading 2 Char1 Char Char Char1,Heading 2 Char Char Char Char Char1,Heading 2 Char Char1 Char Char,Heading 2 Char2 Char1,Heading 2 Char1 Char Char1,Heading 2 Char Char Char Char1"/>
    <w:basedOn w:val="DefaultParagraphFont"/>
    <w:link w:val="Tags"/>
    <w:qFormat/>
    <w:rsid w:val="009E4473"/>
    <w:rPr>
      <w:rFonts w:ascii="Times New Roman" w:eastAsia="Times New Roman" w:hAnsi="Times New Roman" w:cs="Times New Roman"/>
      <w:b/>
      <w:sz w:val="24"/>
      <w:szCs w:val="24"/>
    </w:rPr>
  </w:style>
  <w:style w:type="character" w:customStyle="1" w:styleId="NothingChar">
    <w:name w:val="Nothing Char"/>
    <w:basedOn w:val="DefaultParagraphFont"/>
    <w:link w:val="Nothing"/>
    <w:rsid w:val="009E4473"/>
    <w:rPr>
      <w:rFonts w:ascii="Times New Roman" w:eastAsia="Times New Roman" w:hAnsi="Times New Roman" w:cs="Times New Roman"/>
      <w:sz w:val="20"/>
      <w:szCs w:val="24"/>
    </w:rPr>
  </w:style>
  <w:style w:type="character" w:customStyle="1" w:styleId="author">
    <w:name w:val="author"/>
    <w:basedOn w:val="DefaultParagraphFont"/>
    <w:rsid w:val="009E4473"/>
  </w:style>
  <w:style w:type="character" w:customStyle="1" w:styleId="CardTagandCiteChar">
    <w:name w:val="Card Tag and Cite Char"/>
    <w:link w:val="CardTagandCite"/>
    <w:rsid w:val="009E4473"/>
    <w:rPr>
      <w:rFonts w:ascii="Arial Narrow" w:hAnsi="Arial Narrow"/>
      <w:b/>
      <w:sz w:val="26"/>
    </w:rPr>
  </w:style>
  <w:style w:type="paragraph" w:customStyle="1" w:styleId="CardTagandCite">
    <w:name w:val="Card Tag and Cite"/>
    <w:basedOn w:val="Normal"/>
    <w:next w:val="Normal"/>
    <w:link w:val="CardTagandCiteChar"/>
    <w:rsid w:val="009E4473"/>
    <w:pPr>
      <w:widowControl w:val="0"/>
      <w:autoSpaceDE w:val="0"/>
      <w:autoSpaceDN w:val="0"/>
      <w:adjustRightInd w:val="0"/>
    </w:pPr>
    <w:rPr>
      <w:rFonts w:ascii="Arial Narrow" w:hAnsi="Arial Narrow" w:cstheme="minorBidi"/>
      <w:b/>
      <w:sz w:val="26"/>
    </w:rPr>
  </w:style>
  <w:style w:type="character" w:customStyle="1" w:styleId="Box">
    <w:name w:val="Box"/>
    <w:uiPriority w:val="1"/>
    <w:qFormat/>
    <w:rsid w:val="009E4473"/>
    <w:rPr>
      <w:b/>
      <w:u w:val="single"/>
      <w:bdr w:val="single" w:sz="4" w:space="0" w:color="auto"/>
    </w:rPr>
  </w:style>
  <w:style w:type="paragraph" w:customStyle="1" w:styleId="cardtext">
    <w:name w:val="card text"/>
    <w:basedOn w:val="Normal"/>
    <w:link w:val="cardtextChar"/>
    <w:qFormat/>
    <w:rsid w:val="009E4473"/>
    <w:pPr>
      <w:ind w:left="288" w:right="288"/>
    </w:pPr>
    <w:rPr>
      <w:rFonts w:eastAsia="Cambria" w:cs="Times New Roman"/>
    </w:rPr>
  </w:style>
  <w:style w:type="character" w:customStyle="1" w:styleId="cardtextChar">
    <w:name w:val="card text Char"/>
    <w:basedOn w:val="DefaultParagraphFont"/>
    <w:link w:val="cardtext"/>
    <w:rsid w:val="009E4473"/>
    <w:rPr>
      <w:rFonts w:ascii="Calibri" w:eastAsia="Cambria" w:hAnsi="Calibri" w:cs="Times New Roman"/>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9E4473"/>
    <w:pPr>
      <w:spacing w:before="100" w:beforeAutospacing="1" w:after="100" w:afterAutospacing="1"/>
    </w:pPr>
    <w:rPr>
      <w:rFonts w:ascii="Times" w:hAnsi="Times" w:cs="Times New Roman"/>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9E4473"/>
    <w:rPr>
      <w:rFonts w:ascii="Times" w:hAnsi="Times" w:cs="Times New Roman"/>
      <w:szCs w:val="20"/>
    </w:rPr>
  </w:style>
  <w:style w:type="character" w:customStyle="1" w:styleId="BoldUnderline">
    <w:name w:val="BoldUnderline"/>
    <w:basedOn w:val="DefaultParagraphFont"/>
    <w:uiPriority w:val="1"/>
    <w:qFormat/>
    <w:rsid w:val="009E4473"/>
    <w:rPr>
      <w:rFonts w:ascii="Arial" w:hAnsi="Arial"/>
      <w:b/>
      <w:sz w:val="20"/>
      <w:u w:val="single"/>
    </w:rPr>
  </w:style>
  <w:style w:type="paragraph" w:styleId="ListParagraph">
    <w:name w:val="List Paragraph"/>
    <w:basedOn w:val="Normal"/>
    <w:uiPriority w:val="34"/>
    <w:semiHidden/>
    <w:rsid w:val="009E4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ooks.google.com/books/about/Life_and_Death_in_Freud_and_Heidegger.html?id=Z3Q-HdiGYTEC"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tes.williams.edu/awhite/files/2013/01/White-1990-Within-Nietzsches-Labyrinth.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pugwash.org/reports/pac/pac256/WG1draft1.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igitalcommons.wcl.american.edu/cgi/viewcontent.cgi?article=1002&amp;context=facsch_bkrev" TargetMode="External"/><Relationship Id="rId5" Type="http://schemas.openxmlformats.org/officeDocument/2006/relationships/styles" Target="styles.xml"/><Relationship Id="rId15" Type="http://schemas.openxmlformats.org/officeDocument/2006/relationships/hyperlink" Target="http://www.pugwash.org/reports/pac/pac256/WG1draft1.htm"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ideas.foreignpolicy.com/posts/2013/05/23/can_chaos_theory_teach_us_anything_about_international_re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Pache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14</Pages>
  <Words>1844</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Tom Pacheco</dc:creator>
  <cp:keywords>Verbatim</cp:keywords>
  <dc:description>Verbatim 4.6</dc:description>
  <cp:lastModifiedBy>Tom Pacheco</cp:lastModifiedBy>
  <cp:revision>1</cp:revision>
  <dcterms:created xsi:type="dcterms:W3CDTF">2014-01-07T21:31:00Z</dcterms:created>
  <dcterms:modified xsi:type="dcterms:W3CDTF">2014-01-07T21:33:00Z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