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B1" w:rsidRDefault="006D15B1" w:rsidP="006D15B1">
      <w:pPr>
        <w:pStyle w:val="Heading3"/>
      </w:pPr>
      <w:r>
        <w:t>2ac – Hollow Hope</w:t>
      </w:r>
    </w:p>
    <w:p w:rsidR="006D15B1" w:rsidRPr="00E71FF0" w:rsidRDefault="006D15B1" w:rsidP="006D15B1">
      <w:pPr>
        <w:pStyle w:val="Heading4"/>
      </w:pPr>
      <w:r>
        <w:t xml:space="preserve">1nc 1 is hollow hope BUT the court can be good – particularly in the context of negative action against bad policies – prefer the specificity of our </w:t>
      </w:r>
      <w:proofErr w:type="spellStart"/>
      <w:proofErr w:type="gramStart"/>
      <w:r>
        <w:t>ev</w:t>
      </w:r>
      <w:proofErr w:type="spellEnd"/>
      <w:proofErr w:type="gramEnd"/>
      <w:r>
        <w:t>.</w:t>
      </w:r>
    </w:p>
    <w:p w:rsidR="006D15B1" w:rsidRPr="0071359A" w:rsidRDefault="006D15B1" w:rsidP="006D15B1">
      <w:pPr>
        <w:rPr>
          <w:rStyle w:val="StyleStyleBold12pt"/>
        </w:rPr>
      </w:pPr>
      <w:r>
        <w:rPr>
          <w:rStyle w:val="StyleStyleBold12pt"/>
        </w:rPr>
        <w:t xml:space="preserve">Chang, Seattle University Law Professor &amp; Founding Director, Fred T. </w:t>
      </w:r>
      <w:proofErr w:type="spellStart"/>
      <w:r>
        <w:rPr>
          <w:rStyle w:val="StyleStyleBold12pt"/>
        </w:rPr>
        <w:t>Korematsu</w:t>
      </w:r>
      <w:proofErr w:type="spellEnd"/>
      <w:r>
        <w:rPr>
          <w:rStyle w:val="StyleStyleBold12pt"/>
        </w:rPr>
        <w:t xml:space="preserve"> Center for Law and Equality, 11</w:t>
      </w:r>
    </w:p>
    <w:p w:rsidR="006D15B1" w:rsidRDefault="006D15B1" w:rsidP="006D15B1">
      <w:r>
        <w:t xml:space="preserve">[Robert S. October, 2011, “THE FRED T. KOREMATSU CENTER FOR LAW AND EQUALITY AND ITS VISION FOR SOCIAL CHANGE” </w:t>
      </w:r>
      <w:hyperlink r:id="rId11" w:history="1">
        <w:r w:rsidRPr="001F50E7">
          <w:rPr>
            <w:rStyle w:val="Hyperlink"/>
          </w:rPr>
          <w:t>http://digitalcommons.law.seattleu.edu/cgi/viewcontent.cgi?article=1022&amp;context=faculty</w:t>
        </w:r>
      </w:hyperlink>
      <w:r>
        <w:t>, p. 201-3, accessed 11-18-13, AFB]</w:t>
      </w:r>
    </w:p>
    <w:p w:rsidR="006D15B1" w:rsidRDefault="006D15B1" w:rsidP="006D15B1"/>
    <w:p w:rsidR="006D15B1" w:rsidRDefault="006D15B1" w:rsidP="006D15B1">
      <w:r w:rsidRPr="006D15B1">
        <w:t xml:space="preserve">There is a rich academic debate about the promise and perils of pursuing¶ litigation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Center's approach to our amicus work and to our broader¶ advocacy efforts.</w:t>
      </w:r>
      <w:proofErr w:type="gramEnd"/>
    </w:p>
    <w:p w:rsidR="006D15B1" w:rsidRDefault="006D15B1" w:rsidP="006D15B1">
      <w:pPr>
        <w:pStyle w:val="Heading3"/>
      </w:pPr>
      <w:r>
        <w:lastRenderedPageBreak/>
        <w:t xml:space="preserve">2ac – Circumvention </w:t>
      </w:r>
    </w:p>
    <w:p w:rsidR="006D15B1" w:rsidRDefault="006D15B1" w:rsidP="006D15B1">
      <w:pPr>
        <w:pStyle w:val="Heading4"/>
      </w:pPr>
      <w:r>
        <w:t>Observer effect disproves.</w:t>
      </w:r>
    </w:p>
    <w:p w:rsidR="006D15B1" w:rsidRPr="00335E8A" w:rsidRDefault="006D15B1" w:rsidP="006D15B1">
      <w:pPr>
        <w:rPr>
          <w:rStyle w:val="StyleStyleBold12pt"/>
        </w:rPr>
      </w:pPr>
      <w:proofErr w:type="spellStart"/>
      <w:r w:rsidRPr="00335E8A">
        <w:rPr>
          <w:rStyle w:val="StyleStyleBold12pt"/>
        </w:rPr>
        <w:t>Deeks</w:t>
      </w:r>
      <w:proofErr w:type="spellEnd"/>
      <w:r w:rsidRPr="00335E8A">
        <w:rPr>
          <w:rStyle w:val="StyleStyleBold12pt"/>
        </w:rPr>
        <w:t>, Associate Professor of Law, University of Virginia Law School, 13</w:t>
      </w:r>
    </w:p>
    <w:p w:rsidR="006D15B1" w:rsidRDefault="006D15B1" w:rsidP="006D15B1">
      <w:r>
        <w:t xml:space="preserve">(Ashley, October, “The Observer Effect: National Security Litigation, Executive Policy Changes, and Judicial Deference,” University of Virginia School of Law Public Law and Legal Theory Research Paper Series 2013-41, </w:t>
      </w:r>
      <w:r w:rsidRPr="00335E8A">
        <w:t>http://papers.ssrn.com/sol3/papers.cfm?abstract_id=2338667</w:t>
      </w:r>
      <w:r>
        <w:t>, accessed 10-18-13, CMM)</w:t>
      </w:r>
    </w:p>
    <w:p w:rsidR="006D15B1" w:rsidRDefault="006D15B1" w:rsidP="006D15B1"/>
    <w:p w:rsidR="006D15B1" w:rsidRDefault="006D15B1" w:rsidP="006D15B1">
      <w:r w:rsidRPr="006D15B1">
        <w:t>In another sense, though, much of substance has been decided since¶ 2002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of</w:t>
      </w:r>
      <w:proofErr w:type="gramEnd"/>
      <w:r w:rsidRPr="006D15B1">
        <w:t xml:space="preserve"> those policies and, consequently, the constitutional national¶ security order.</w:t>
      </w:r>
    </w:p>
    <w:p w:rsidR="006D15B1" w:rsidRDefault="006D15B1" w:rsidP="006D15B1">
      <w:r w:rsidRPr="006D15B1">
        <w:t xml:space="preserve">A more detailed understanding of the observer effect has implications for¶ national security developments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with</w:t>
      </w:r>
      <w:proofErr w:type="gramEnd"/>
      <w:r w:rsidRPr="006D15B1">
        <w:t xml:space="preserve"> the Guantánamo habeas cases in the¶ D.C. Circuit.</w:t>
      </w:r>
    </w:p>
    <w:p w:rsidR="006D15B1" w:rsidRPr="00E71FF0" w:rsidRDefault="006D15B1" w:rsidP="006D15B1"/>
    <w:p w:rsidR="006D15B1" w:rsidRDefault="006D15B1" w:rsidP="006D15B1">
      <w:pPr>
        <w:pStyle w:val="Heading3"/>
      </w:pPr>
      <w:r>
        <w:lastRenderedPageBreak/>
        <w:t>2ac – CRT</w:t>
      </w:r>
    </w:p>
    <w:p w:rsidR="006D15B1" w:rsidRDefault="006D15B1" w:rsidP="006D15B1">
      <w:pPr>
        <w:pStyle w:val="Heading4"/>
      </w:pPr>
      <w:r>
        <w:t>Progress is possible – Bell is wrong – and reformism solves.</w:t>
      </w:r>
    </w:p>
    <w:p w:rsidR="006D15B1" w:rsidRPr="0054479A" w:rsidRDefault="006D15B1" w:rsidP="006D15B1">
      <w:pPr>
        <w:rPr>
          <w:rStyle w:val="StyleStyleBold12pt"/>
        </w:rPr>
      </w:pPr>
      <w:r w:rsidRPr="0054479A">
        <w:rPr>
          <w:rStyle w:val="StyleStyleBold12pt"/>
        </w:rPr>
        <w:t>Clark, Catholic University law professor, 1995</w:t>
      </w:r>
    </w:p>
    <w:p w:rsidR="006D15B1" w:rsidRDefault="006D15B1" w:rsidP="006D15B1">
      <w:r>
        <w:t xml:space="preserve">[Leroy, 73 </w:t>
      </w:r>
      <w:proofErr w:type="spellStart"/>
      <w:r>
        <w:t>Denv</w:t>
      </w:r>
      <w:proofErr w:type="spellEnd"/>
      <w:r>
        <w:t>. U.L. Rev. 23, “ARTICLE: A Critique of Professor Derrick A. Bell's Thesis of the Permanence of Racism and His Strategy of Confrontation” Lexis, accessed 10-23-13, TAP]</w:t>
      </w:r>
    </w:p>
    <w:p w:rsidR="006D15B1" w:rsidRDefault="006D15B1" w:rsidP="006D15B1"/>
    <w:p w:rsidR="006D15B1" w:rsidRDefault="006D15B1" w:rsidP="006D15B1">
      <w:r w:rsidRPr="006D15B1">
        <w:t xml:space="preserve">The History of Black Progress¶ I must now address the thesis that there has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however</w:t>
      </w:r>
      <w:proofErr w:type="gramEnd"/>
      <w:r w:rsidRPr="006D15B1">
        <w:t>, viewed with a holistic perspective, largely refute this claim. n70</w:t>
      </w:r>
    </w:p>
    <w:p w:rsidR="006D15B1" w:rsidRDefault="006D15B1" w:rsidP="006D15B1"/>
    <w:p w:rsidR="006D15B1" w:rsidRDefault="006D15B1" w:rsidP="006D15B1">
      <w:pPr>
        <w:pStyle w:val="Heading4"/>
      </w:pPr>
      <w:r>
        <w:t>Using the state doesn’t compromise ethics – using it strategically in the short term does not trade off with long term revolution.</w:t>
      </w:r>
    </w:p>
    <w:p w:rsidR="006D15B1" w:rsidRPr="00714594" w:rsidRDefault="006D15B1" w:rsidP="006D15B1">
      <w:pPr>
        <w:rPr>
          <w:rStyle w:val="StyleStyleBold12pt"/>
        </w:rPr>
      </w:pPr>
      <w:r w:rsidRPr="00B4475B">
        <w:rPr>
          <w:rStyle w:val="StyleStyleBold12pt"/>
          <w:highlight w:val="yellow"/>
        </w:rPr>
        <w:t>Smith</w:t>
      </w:r>
      <w:r w:rsidRPr="00714594">
        <w:rPr>
          <w:rStyle w:val="StyleStyleBold12pt"/>
        </w:rPr>
        <w:t xml:space="preserve">, Associate Professor of Media and Cultural Studies at UC Riverside, </w:t>
      </w:r>
      <w:r w:rsidRPr="00B4475B">
        <w:rPr>
          <w:rStyle w:val="StyleStyleBold12pt"/>
          <w:highlight w:val="yellow"/>
        </w:rPr>
        <w:t>12</w:t>
      </w:r>
    </w:p>
    <w:p w:rsidR="006D15B1" w:rsidRPr="00714594" w:rsidRDefault="006D15B1" w:rsidP="006D15B1">
      <w:r>
        <w:t xml:space="preserve"> (Andrea, “The Moral Limits of the Law: Settler Colonialism and the Anti-Violence Movement,” </w:t>
      </w:r>
      <w:r w:rsidRPr="00714594">
        <w:t xml:space="preserve">settler colonial studies 2, 2 (2012) Special Issue: </w:t>
      </w:r>
      <w:proofErr w:type="spellStart"/>
      <w:r w:rsidRPr="00714594">
        <w:t>Karangatia</w:t>
      </w:r>
      <w:proofErr w:type="spellEnd"/>
      <w:r w:rsidRPr="00714594">
        <w:t>: Calling Out Gender and Sexuality in Settler Societies</w:t>
      </w:r>
      <w:r>
        <w:t xml:space="preserve">, </w:t>
      </w:r>
      <w:r w:rsidRPr="00714594">
        <w:t>http://www.tandfonline.com/doi/pdf/10.1080/2201473X.2012.10648842</w:t>
      </w:r>
      <w:r>
        <w:t>, accessed 10-18-13, CMM)</w:t>
      </w:r>
    </w:p>
    <w:p w:rsidR="006D15B1" w:rsidRDefault="006D15B1" w:rsidP="006D15B1"/>
    <w:p w:rsidR="006D15B1" w:rsidRDefault="006D15B1" w:rsidP="006D15B1">
      <w:r w:rsidRPr="006D15B1">
        <w:t xml:space="preserve">In the debates prevalent within Native sovereignty and racial justice movements, we are often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Native women’s lives by buttressing the prison industrial complex and its violent logics.</w:t>
      </w:r>
      <w:proofErr w:type="gramEnd"/>
      <w:r w:rsidRPr="006D15B1">
        <w:t xml:space="preserve"> </w:t>
      </w:r>
    </w:p>
    <w:p w:rsidR="006D15B1" w:rsidRDefault="006D15B1" w:rsidP="006D15B1">
      <w:r w:rsidRPr="006D15B1">
        <w:t xml:space="preserve">While this reformist versus revolutionary dichotomy suggests two radically different positions, in reality they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would</w:t>
      </w:r>
      <w:proofErr w:type="gramEnd"/>
      <w:r w:rsidRPr="006D15B1">
        <w:t xml:space="preserve"> free us to change our strategies as we assess its strategic effects. </w:t>
      </w:r>
    </w:p>
    <w:p w:rsidR="006D15B1" w:rsidRDefault="006D15B1" w:rsidP="006D15B1">
      <w:r w:rsidRPr="006D15B1">
        <w:t xml:space="preserve">At the same time, by divesting from the morality of the law, we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an</w:t>
      </w:r>
      <w:proofErr w:type="gramEnd"/>
      <w:r w:rsidRPr="006D15B1">
        <w:t xml:space="preserve"> alternative system to the </w:t>
      </w:r>
      <w:proofErr w:type="spellStart"/>
      <w:r w:rsidRPr="006D15B1">
        <w:t>heteropatriarchal</w:t>
      </w:r>
      <w:proofErr w:type="spellEnd"/>
      <w:r w:rsidRPr="006D15B1">
        <w:t xml:space="preserve">, white supremacist, settler colonial state. </w:t>
      </w:r>
    </w:p>
    <w:p w:rsidR="006D15B1" w:rsidRPr="00714594" w:rsidRDefault="006D15B1" w:rsidP="006D15B1"/>
    <w:p w:rsidR="006D15B1" w:rsidRPr="001F6B67" w:rsidRDefault="006D15B1" w:rsidP="006D15B1">
      <w:pPr>
        <w:pStyle w:val="Heading4"/>
      </w:pPr>
      <w:r w:rsidRPr="001F6B67">
        <w:t>It is necessary to learn the language of the state- their form of opposition will always be transitory, getting co-opted by the government or society. It may be necessary but is not sufficient</w:t>
      </w:r>
    </w:p>
    <w:p w:rsidR="006D15B1" w:rsidRPr="00B4475B" w:rsidRDefault="006D15B1" w:rsidP="006D15B1">
      <w:r w:rsidRPr="00B4475B">
        <w:rPr>
          <w:rStyle w:val="StyleStyleBold12pt"/>
        </w:rPr>
        <w:t>Sullivan</w:t>
      </w:r>
      <w:r w:rsidRPr="00B4475B">
        <w:t xml:space="preserve">, the New Republic – editor, </w:t>
      </w:r>
      <w:r w:rsidRPr="00B4475B">
        <w:rPr>
          <w:rStyle w:val="StyleStyleBold12pt"/>
        </w:rPr>
        <w:t>1995</w:t>
      </w:r>
      <w:r w:rsidRPr="00B4475B">
        <w:t xml:space="preserve"> (Andrew, Virtually Normal, pg. 91-93)</w:t>
      </w:r>
    </w:p>
    <w:p w:rsidR="006D15B1" w:rsidRPr="0029304B" w:rsidRDefault="006D15B1" w:rsidP="006D15B1">
      <w:pPr>
        <w:rPr>
          <w:sz w:val="16"/>
        </w:rPr>
      </w:pPr>
    </w:p>
    <w:p w:rsidR="006D15B1" w:rsidRDefault="006D15B1" w:rsidP="006D15B1">
      <w:r w:rsidRPr="006D15B1">
        <w:t xml:space="preserve">Moreover, mere cultural redeployment in a free society is always subject to a cultural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or</w:t>
      </w:r>
      <w:proofErr w:type="gramEnd"/>
      <w:r w:rsidRPr="006D15B1">
        <w:t xml:space="preserve"> projects for turning the cage into something more like a human home.” </w:t>
      </w:r>
    </w:p>
    <w:p w:rsidR="006D15B1" w:rsidRDefault="006D15B1" w:rsidP="006D15B1"/>
    <w:p w:rsidR="006D15B1" w:rsidRDefault="006D15B1" w:rsidP="006D15B1"/>
    <w:p w:rsidR="006D15B1" w:rsidRDefault="006D15B1" w:rsidP="006D15B1"/>
    <w:p w:rsidR="006D15B1" w:rsidRDefault="006D15B1" w:rsidP="006D15B1">
      <w:pPr>
        <w:pStyle w:val="Heading3"/>
      </w:pPr>
      <w:r>
        <w:lastRenderedPageBreak/>
        <w:t xml:space="preserve">2ac – </w:t>
      </w:r>
      <w:proofErr w:type="spellStart"/>
      <w:r>
        <w:t>Korematsu</w:t>
      </w:r>
      <w:proofErr w:type="spellEnd"/>
      <w:r>
        <w:t xml:space="preserve"> Education Good</w:t>
      </w:r>
    </w:p>
    <w:p w:rsidR="006D15B1" w:rsidRDefault="006D15B1" w:rsidP="006D15B1">
      <w:pPr>
        <w:pStyle w:val="Heading4"/>
      </w:pPr>
      <w:r>
        <w:t>Japanese internment is useful to any conversation about racial injustice.</w:t>
      </w:r>
    </w:p>
    <w:p w:rsidR="006D15B1" w:rsidRPr="00025E9D" w:rsidRDefault="006D15B1" w:rsidP="006D15B1">
      <w:pPr>
        <w:rPr>
          <w:rStyle w:val="StyleStyleBold12pt"/>
        </w:rPr>
      </w:pPr>
      <w:r w:rsidRPr="00025E9D">
        <w:rPr>
          <w:rStyle w:val="StyleStyleBold12pt"/>
        </w:rPr>
        <w:t xml:space="preserve">Chon, </w:t>
      </w:r>
      <w:r>
        <w:rPr>
          <w:rStyle w:val="StyleStyleBold12pt"/>
        </w:rPr>
        <w:t xml:space="preserve">Seattle University Law Research and Centers associate dean, </w:t>
      </w:r>
      <w:r w:rsidRPr="00025E9D">
        <w:rPr>
          <w:rStyle w:val="StyleStyleBold12pt"/>
        </w:rPr>
        <w:t>2010</w:t>
      </w:r>
    </w:p>
    <w:p w:rsidR="006D15B1" w:rsidRDefault="006D15B1" w:rsidP="006D15B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[Margaret, Seattle University law professor, 8 Seattle J. Soc. Just. 643, “ACCESS TO JUSTICE: Remembering and Repairing: The Error </w:t>
      </w:r>
      <w:proofErr w:type="gramStart"/>
      <w:r>
        <w:rPr>
          <w:rFonts w:asciiTheme="minorHAnsi" w:hAnsiTheme="minorHAnsi"/>
        </w:rPr>
        <w:t>Before</w:t>
      </w:r>
      <w:proofErr w:type="gramEnd"/>
      <w:r>
        <w:rPr>
          <w:rFonts w:asciiTheme="minorHAnsi" w:hAnsiTheme="minorHAnsi"/>
        </w:rPr>
        <w:t xml:space="preserve"> Us, In Our Presence” Lexis, accessed 10-25-13, TAP]</w:t>
      </w:r>
    </w:p>
    <w:p w:rsidR="006D15B1" w:rsidRPr="004457A2" w:rsidRDefault="006D15B1" w:rsidP="006D15B1">
      <w:pPr>
        <w:rPr>
          <w:rFonts w:asciiTheme="minorHAnsi" w:hAnsiTheme="minorHAnsi"/>
        </w:rPr>
      </w:pPr>
    </w:p>
    <w:p w:rsidR="006D15B1" w:rsidRDefault="006D15B1" w:rsidP="006D15B1">
      <w:r w:rsidRPr="006D15B1">
        <w:t xml:space="preserve">Purely legal approaches toward reparations suffer from theoretical limitations, which range from the technical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through</w:t>
      </w:r>
      <w:proofErr w:type="gramEnd"/>
      <w:r w:rsidRPr="006D15B1">
        <w:t xml:space="preserve"> the law in conjunction with other sociocultural processes, such as education.</w:t>
      </w:r>
    </w:p>
    <w:p w:rsidR="006D15B1" w:rsidRDefault="006D15B1" w:rsidP="006D15B1">
      <w:pPr>
        <w:rPr>
          <w:rFonts w:asciiTheme="minorHAnsi" w:hAnsiTheme="minorHAnsi"/>
        </w:rPr>
      </w:pPr>
    </w:p>
    <w:p w:rsidR="006D15B1" w:rsidRDefault="006D15B1" w:rsidP="006D15B1">
      <w:pPr>
        <w:pStyle w:val="Heading4"/>
      </w:pPr>
      <w:proofErr w:type="spellStart"/>
      <w:r>
        <w:t>Korematsu</w:t>
      </w:r>
      <w:proofErr w:type="spellEnd"/>
      <w:r>
        <w:t xml:space="preserve"> is an important part of the curriculum.</w:t>
      </w:r>
    </w:p>
    <w:p w:rsidR="006D15B1" w:rsidRPr="00025E9D" w:rsidRDefault="006D15B1" w:rsidP="006D15B1">
      <w:pPr>
        <w:rPr>
          <w:rStyle w:val="StyleStyleBold12pt"/>
        </w:rPr>
      </w:pPr>
      <w:r w:rsidRPr="00025E9D">
        <w:rPr>
          <w:rStyle w:val="StyleStyleBold12pt"/>
        </w:rPr>
        <w:t xml:space="preserve">Chon, </w:t>
      </w:r>
      <w:r>
        <w:rPr>
          <w:rStyle w:val="StyleStyleBold12pt"/>
        </w:rPr>
        <w:t xml:space="preserve">Seattle University Law Research and Centers associate dean, </w:t>
      </w:r>
      <w:r w:rsidRPr="00025E9D">
        <w:rPr>
          <w:rStyle w:val="StyleStyleBold12pt"/>
        </w:rPr>
        <w:t>2010</w:t>
      </w:r>
    </w:p>
    <w:p w:rsidR="006D15B1" w:rsidRDefault="006D15B1" w:rsidP="006D15B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[Margaret, Seattle University law professor, 8 Seattle J. Soc. Just. 643, “ACCESS TO JUSTICE: Remembering and Repairing: The Error </w:t>
      </w:r>
      <w:proofErr w:type="gramStart"/>
      <w:r>
        <w:rPr>
          <w:rFonts w:asciiTheme="minorHAnsi" w:hAnsiTheme="minorHAnsi"/>
        </w:rPr>
        <w:t>Before</w:t>
      </w:r>
      <w:proofErr w:type="gramEnd"/>
      <w:r>
        <w:rPr>
          <w:rFonts w:asciiTheme="minorHAnsi" w:hAnsiTheme="minorHAnsi"/>
        </w:rPr>
        <w:t xml:space="preserve"> Us, In Our Presence” Lexis, accessed 10-25-13, TAP]</w:t>
      </w:r>
    </w:p>
    <w:p w:rsidR="006D15B1" w:rsidRPr="004457A2" w:rsidRDefault="006D15B1" w:rsidP="006D15B1">
      <w:pPr>
        <w:rPr>
          <w:rFonts w:asciiTheme="minorHAnsi" w:hAnsiTheme="minorHAnsi"/>
        </w:rPr>
      </w:pPr>
    </w:p>
    <w:p w:rsidR="006D15B1" w:rsidRDefault="006D15B1" w:rsidP="006D15B1">
      <w:r w:rsidRPr="006D15B1">
        <w:t xml:space="preserve">Through the vehicle of </w:t>
      </w:r>
      <w:proofErr w:type="spellStart"/>
      <w:r w:rsidRPr="006D15B1">
        <w:t>coram</w:t>
      </w:r>
      <w:proofErr w:type="spellEnd"/>
      <w:r w:rsidRPr="006D15B1">
        <w:t xml:space="preserve"> </w:t>
      </w:r>
      <w:proofErr w:type="spellStart"/>
      <w:r w:rsidRPr="006D15B1">
        <w:t>nobis</w:t>
      </w:r>
      <w:proofErr w:type="spellEnd"/>
      <w:r w:rsidRPr="006D15B1">
        <w:t xml:space="preserve">, the original trial court can consider facts that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such</w:t>
      </w:r>
      <w:proofErr w:type="gramEnd"/>
      <w:r w:rsidRPr="006D15B1">
        <w:t xml:space="preserve"> harm into or the omission of important narratives from present everyday practices.</w:t>
      </w:r>
    </w:p>
    <w:p w:rsidR="006D15B1" w:rsidRDefault="006D15B1" w:rsidP="006D15B1">
      <w:pPr>
        <w:rPr>
          <w:rFonts w:asciiTheme="minorHAnsi" w:hAnsiTheme="minorHAnsi"/>
        </w:rPr>
      </w:pPr>
    </w:p>
    <w:p w:rsidR="006D15B1" w:rsidRDefault="006D15B1" w:rsidP="006D15B1">
      <w:pPr>
        <w:pStyle w:val="Heading3"/>
      </w:pPr>
      <w:bookmarkStart w:id="0" w:name="_GoBack"/>
      <w:bookmarkEnd w:id="0"/>
      <w:r>
        <w:lastRenderedPageBreak/>
        <w:t xml:space="preserve">2ac – </w:t>
      </w:r>
      <w:r>
        <w:t>Suffering Commodification K</w:t>
      </w:r>
    </w:p>
    <w:p w:rsidR="006D15B1" w:rsidRPr="00025E9D" w:rsidRDefault="006D15B1" w:rsidP="006D15B1">
      <w:pPr>
        <w:pStyle w:val="Heading4"/>
      </w:pPr>
      <w:r>
        <w:t>Your silence is telling – the performance of the 1nc is faint damnation of internment – it doesn’t capture the full force of the 1ac criticism because it is a completely decontextualized approach.</w:t>
      </w:r>
    </w:p>
    <w:p w:rsidR="006D15B1" w:rsidRPr="00025E9D" w:rsidRDefault="006D15B1" w:rsidP="006D15B1">
      <w:pPr>
        <w:rPr>
          <w:rStyle w:val="StyleStyleBold12pt"/>
        </w:rPr>
      </w:pPr>
      <w:r w:rsidRPr="00025E9D">
        <w:rPr>
          <w:rStyle w:val="StyleStyleBold12pt"/>
        </w:rPr>
        <w:t>Yen, Boston College law professor, 1998</w:t>
      </w:r>
    </w:p>
    <w:p w:rsidR="006D15B1" w:rsidRPr="004457A2" w:rsidRDefault="006D15B1" w:rsidP="006D15B1">
      <w:pPr>
        <w:rPr>
          <w:rFonts w:asciiTheme="minorHAnsi" w:hAnsiTheme="minorHAnsi"/>
        </w:rPr>
      </w:pPr>
      <w:r>
        <w:t xml:space="preserve">[Alfred, </w:t>
      </w:r>
      <w:r w:rsidRPr="004457A2">
        <w:rPr>
          <w:rFonts w:asciiTheme="minorHAnsi" w:hAnsiTheme="minorHAnsi"/>
        </w:rPr>
        <w:t>40 B.C. L. Rev 1</w:t>
      </w:r>
      <w:r>
        <w:rPr>
          <w:rFonts w:asciiTheme="minorHAnsi" w:hAnsiTheme="minorHAnsi"/>
        </w:rPr>
        <w:t xml:space="preserve">, </w:t>
      </w:r>
      <w:r>
        <w:t>“</w:t>
      </w:r>
      <w:r w:rsidRPr="004457A2">
        <w:rPr>
          <w:rFonts w:asciiTheme="minorHAnsi" w:hAnsiTheme="minorHAnsi"/>
        </w:rPr>
        <w:t xml:space="preserve">SYMPOSIUM: Introduction: Praising </w:t>
      </w:r>
      <w:proofErr w:type="gramStart"/>
      <w:r w:rsidRPr="004457A2">
        <w:rPr>
          <w:rFonts w:asciiTheme="minorHAnsi" w:hAnsiTheme="minorHAnsi"/>
        </w:rPr>
        <w:t>With</w:t>
      </w:r>
      <w:proofErr w:type="gramEnd"/>
      <w:r w:rsidRPr="004457A2">
        <w:rPr>
          <w:rFonts w:asciiTheme="minorHAnsi" w:hAnsiTheme="minorHAnsi"/>
        </w:rPr>
        <w:t xml:space="preserve"> Faint Damnation -- The Troubling Rehabilitation of </w:t>
      </w:r>
      <w:proofErr w:type="spellStart"/>
      <w:r w:rsidRPr="004457A2">
        <w:rPr>
          <w:rFonts w:asciiTheme="minorHAnsi" w:hAnsiTheme="minorHAnsi"/>
        </w:rPr>
        <w:t>Korematsu</w:t>
      </w:r>
      <w:proofErr w:type="spellEnd"/>
      <w:r>
        <w:rPr>
          <w:rFonts w:asciiTheme="minorHAnsi" w:hAnsiTheme="minorHAnsi"/>
        </w:rPr>
        <w:t>” Lexis, accessed 10-22-13, TAP]</w:t>
      </w:r>
    </w:p>
    <w:p w:rsidR="006D15B1" w:rsidRDefault="006D15B1" w:rsidP="006D15B1">
      <w:pPr>
        <w:rPr>
          <w:rFonts w:asciiTheme="minorHAnsi" w:hAnsiTheme="minorHAnsi"/>
        </w:rPr>
      </w:pPr>
    </w:p>
    <w:p w:rsidR="006D15B1" w:rsidRDefault="006D15B1" w:rsidP="006D15B1">
      <w:r w:rsidRPr="006D15B1">
        <w:t xml:space="preserve">A prime example of the way in which </w:t>
      </w:r>
      <w:proofErr w:type="spellStart"/>
      <w:r w:rsidRPr="006D15B1">
        <w:t>Korematsu</w:t>
      </w:r>
      <w:proofErr w:type="spellEnd"/>
      <w:r w:rsidRPr="006D15B1">
        <w:t xml:space="preserve"> may be "praised with faint </w:t>
      </w:r>
    </w:p>
    <w:p w:rsidR="006D15B1" w:rsidRDefault="006D15B1" w:rsidP="006D15B1">
      <w:r>
        <w:t>AND</w:t>
      </w:r>
    </w:p>
    <w:p w:rsidR="006D15B1" w:rsidRPr="004457A2" w:rsidRDefault="006D15B1" w:rsidP="006D15B1">
      <w:pPr>
        <w:rPr>
          <w:rFonts w:asciiTheme="minorHAnsi" w:hAnsiTheme="minorHAnsi"/>
        </w:rPr>
      </w:pPr>
      <w:proofErr w:type="gramStart"/>
      <w:r w:rsidRPr="00025E9D">
        <w:rPr>
          <w:rStyle w:val="StyleBoldUnderline"/>
        </w:rPr>
        <w:t>he</w:t>
      </w:r>
      <w:proofErr w:type="gramEnd"/>
      <w:r w:rsidRPr="00025E9D">
        <w:rPr>
          <w:rStyle w:val="StyleBoldUnderline"/>
        </w:rPr>
        <w:t xml:space="preserve"> </w:t>
      </w:r>
      <w:r w:rsidRPr="00FB2D5D">
        <w:rPr>
          <w:rStyle w:val="StyleBoldUnderline"/>
          <w:highlight w:val="yellow"/>
        </w:rPr>
        <w:t xml:space="preserve">studiously avoids criticizing </w:t>
      </w:r>
      <w:r w:rsidRPr="00025E9D">
        <w:rPr>
          <w:rStyle w:val="StyleBoldUnderline"/>
        </w:rPr>
        <w:t xml:space="preserve">every arm of the government responsible for </w:t>
      </w:r>
      <w:r w:rsidRPr="00FB2D5D">
        <w:rPr>
          <w:rStyle w:val="StyleBoldUnderline"/>
          <w:highlight w:val="yellow"/>
        </w:rPr>
        <w:t>internment</w:t>
      </w:r>
      <w:r w:rsidRPr="004457A2">
        <w:rPr>
          <w:rFonts w:asciiTheme="minorHAnsi" w:hAnsiTheme="minorHAnsi"/>
        </w:rPr>
        <w:t>.</w:t>
      </w:r>
    </w:p>
    <w:p w:rsidR="006D15B1" w:rsidRPr="00D05CD3" w:rsidRDefault="006D15B1" w:rsidP="006D15B1"/>
    <w:p w:rsidR="006D15B1" w:rsidRDefault="006D15B1" w:rsidP="006D15B1">
      <w:pPr>
        <w:pStyle w:val="Heading4"/>
      </w:pPr>
      <w:r>
        <w:t xml:space="preserve">The </w:t>
      </w:r>
      <w:proofErr w:type="spellStart"/>
      <w:r>
        <w:t>aff</w:t>
      </w:r>
      <w:proofErr w:type="spellEnd"/>
      <w:r>
        <w:t xml:space="preserve"> provides a window for open-ended struggle.</w:t>
      </w:r>
    </w:p>
    <w:p w:rsidR="006D15B1" w:rsidRPr="00025E9D" w:rsidRDefault="006D15B1" w:rsidP="006D15B1">
      <w:pPr>
        <w:rPr>
          <w:rStyle w:val="StyleStyleBold12pt"/>
        </w:rPr>
      </w:pPr>
      <w:r w:rsidRPr="00025E9D">
        <w:rPr>
          <w:rStyle w:val="StyleStyleBold12pt"/>
        </w:rPr>
        <w:t xml:space="preserve">Yamamoto, University of Hawai'i law professor, and </w:t>
      </w:r>
      <w:proofErr w:type="spellStart"/>
      <w:r w:rsidRPr="00025E9D">
        <w:rPr>
          <w:rStyle w:val="StyleStyleBold12pt"/>
        </w:rPr>
        <w:t>Obrey</w:t>
      </w:r>
      <w:proofErr w:type="spellEnd"/>
      <w:r w:rsidRPr="00025E9D">
        <w:rPr>
          <w:rStyle w:val="StyleStyleBold12pt"/>
        </w:rPr>
        <w:t xml:space="preserve">, University of </w:t>
      </w:r>
      <w:proofErr w:type="spellStart"/>
      <w:r w:rsidRPr="00025E9D">
        <w:rPr>
          <w:rStyle w:val="StyleStyleBold12pt"/>
        </w:rPr>
        <w:t>Hawai'I</w:t>
      </w:r>
      <w:proofErr w:type="spellEnd"/>
      <w:r w:rsidRPr="00025E9D">
        <w:rPr>
          <w:rStyle w:val="StyleStyleBold12pt"/>
        </w:rPr>
        <w:t xml:space="preserve"> JD candidate, 2009</w:t>
      </w:r>
    </w:p>
    <w:p w:rsidR="006D15B1" w:rsidRPr="004457A2" w:rsidRDefault="006D15B1" w:rsidP="006D15B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[Eric and Ashley </w:t>
      </w:r>
      <w:proofErr w:type="spellStart"/>
      <w:r>
        <w:rPr>
          <w:rFonts w:asciiTheme="minorHAnsi" w:hAnsiTheme="minorHAnsi"/>
        </w:rPr>
        <w:t>Kaiao</w:t>
      </w:r>
      <w:proofErr w:type="spellEnd"/>
      <w:r>
        <w:rPr>
          <w:rFonts w:asciiTheme="minorHAnsi" w:hAnsiTheme="minorHAnsi"/>
        </w:rPr>
        <w:t xml:space="preserve">, </w:t>
      </w:r>
      <w:r w:rsidRPr="004457A2">
        <w:rPr>
          <w:rFonts w:asciiTheme="minorHAnsi" w:hAnsiTheme="minorHAnsi"/>
        </w:rPr>
        <w:t>16 Asian Am. L.J. 5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Reframing Redress: A "Social Healing Through Justice" Approach to United States-Native Hawaiian and Japan-Ainu Reconciliation Initiatives</w:t>
      </w:r>
      <w:r>
        <w:rPr>
          <w:rFonts w:asciiTheme="minorHAnsi" w:hAnsiTheme="minorHAnsi"/>
        </w:rPr>
        <w:t>” Lexis, accessed 10-22-13, TAP]</w:t>
      </w:r>
    </w:p>
    <w:p w:rsidR="006D15B1" w:rsidRPr="004457A2" w:rsidRDefault="006D15B1" w:rsidP="006D15B1">
      <w:pPr>
        <w:rPr>
          <w:rFonts w:asciiTheme="minorHAnsi" w:hAnsiTheme="minorHAnsi"/>
        </w:rPr>
      </w:pPr>
    </w:p>
    <w:p w:rsidR="006D15B1" w:rsidRDefault="006D15B1" w:rsidP="006D15B1">
      <w:r w:rsidRPr="006D15B1">
        <w:t xml:space="preserve">With the Congressional Commission's Report, the </w:t>
      </w:r>
      <w:proofErr w:type="spellStart"/>
      <w:r w:rsidRPr="006D15B1">
        <w:t>coram</w:t>
      </w:r>
      <w:proofErr w:type="spellEnd"/>
      <w:r w:rsidRPr="006D15B1">
        <w:t xml:space="preserve"> </w:t>
      </w:r>
      <w:proofErr w:type="spellStart"/>
      <w:r w:rsidRPr="006D15B1">
        <w:t>nobis</w:t>
      </w:r>
      <w:proofErr w:type="spellEnd"/>
      <w:r w:rsidRPr="006D15B1">
        <w:t xml:space="preserve"> court victories, and the pending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of</w:t>
      </w:r>
      <w:proofErr w:type="gramEnd"/>
      <w:r w:rsidRPr="006D15B1">
        <w:t xml:space="preserve"> internment. </w:t>
      </w:r>
      <w:proofErr w:type="gramStart"/>
      <w:r w:rsidRPr="006D15B1">
        <w:t>n56</w:t>
      </w:r>
      <w:proofErr w:type="gramEnd"/>
      <w:r w:rsidRPr="006D15B1">
        <w:t xml:space="preserve"> It also established an internment fund for public education.</w:t>
      </w:r>
    </w:p>
    <w:p w:rsidR="006D15B1" w:rsidRPr="009C5ECC" w:rsidRDefault="006D15B1" w:rsidP="006D15B1"/>
    <w:p w:rsidR="006D15B1" w:rsidRDefault="006D15B1" w:rsidP="006D15B1"/>
    <w:p w:rsidR="006D15B1" w:rsidRPr="00E421A2" w:rsidRDefault="006D15B1" w:rsidP="006D15B1">
      <w:pPr>
        <w:pStyle w:val="Heading4"/>
      </w:pPr>
      <w:r>
        <w:t>Perm embraces their radical critique.</w:t>
      </w:r>
    </w:p>
    <w:p w:rsidR="006D15B1" w:rsidRPr="00AA6CCC" w:rsidRDefault="006D15B1" w:rsidP="006D15B1">
      <w:pPr>
        <w:rPr>
          <w:bCs/>
        </w:rPr>
      </w:pPr>
      <w:r w:rsidRPr="00AA6CCC">
        <w:t>Chantal</w:t>
      </w:r>
      <w:r>
        <w:t xml:space="preserve"> </w:t>
      </w:r>
      <w:proofErr w:type="spellStart"/>
      <w:r w:rsidRPr="00AA6CCC">
        <w:rPr>
          <w:b/>
          <w:bCs/>
          <w:sz w:val="21"/>
          <w:szCs w:val="21"/>
          <w:u w:val="single"/>
        </w:rPr>
        <w:t>Mouffe</w:t>
      </w:r>
      <w:proofErr w:type="spellEnd"/>
      <w:r w:rsidRPr="00AA6CCC">
        <w:t xml:space="preserve">, </w:t>
      </w:r>
      <w:r w:rsidRPr="00AA6CCC">
        <w:rPr>
          <w:bCs/>
        </w:rPr>
        <w:t xml:space="preserve">College International de </w:t>
      </w:r>
      <w:proofErr w:type="spellStart"/>
      <w:r w:rsidRPr="00AA6CCC">
        <w:rPr>
          <w:bCs/>
        </w:rPr>
        <w:t>Philosophie</w:t>
      </w:r>
      <w:proofErr w:type="spellEnd"/>
      <w:r w:rsidRPr="00AA6CCC">
        <w:rPr>
          <w:bCs/>
        </w:rPr>
        <w:t xml:space="preserve">, </w:t>
      </w:r>
      <w:r w:rsidRPr="00AA6CCC">
        <w:rPr>
          <w:bCs/>
          <w:i/>
          <w:iCs/>
        </w:rPr>
        <w:t>Dimensions of Radical Democracy,</w:t>
      </w:r>
      <w:r w:rsidRPr="00AA6CCC">
        <w:rPr>
          <w:b/>
          <w:bCs/>
        </w:rPr>
        <w:t xml:space="preserve"> </w:t>
      </w:r>
      <w:r w:rsidRPr="00AA6CCC">
        <w:rPr>
          <w:b/>
          <w:bCs/>
          <w:sz w:val="21"/>
          <w:szCs w:val="21"/>
        </w:rPr>
        <w:t>’</w:t>
      </w:r>
      <w:r w:rsidRPr="00AA6CCC">
        <w:rPr>
          <w:b/>
          <w:bCs/>
          <w:sz w:val="21"/>
          <w:szCs w:val="21"/>
          <w:u w:val="single"/>
        </w:rPr>
        <w:t>92</w:t>
      </w:r>
      <w:r>
        <w:t xml:space="preserve">, </w:t>
      </w:r>
      <w:proofErr w:type="spellStart"/>
      <w:r w:rsidRPr="00AA6CCC">
        <w:t>pg</w:t>
      </w:r>
      <w:proofErr w:type="spellEnd"/>
      <w:r w:rsidRPr="00AA6CCC">
        <w:rPr>
          <w:bCs/>
        </w:rPr>
        <w:t xml:space="preserve"> </w:t>
      </w:r>
      <w:r>
        <w:rPr>
          <w:bCs/>
        </w:rPr>
        <w:t>1</w:t>
      </w:r>
    </w:p>
    <w:p w:rsidR="006D15B1" w:rsidRPr="001D136C" w:rsidRDefault="006D15B1" w:rsidP="006D15B1">
      <w:pPr>
        <w:rPr>
          <w:sz w:val="19"/>
          <w:szCs w:val="19"/>
        </w:rPr>
      </w:pPr>
    </w:p>
    <w:p w:rsidR="006D15B1" w:rsidRDefault="006D15B1" w:rsidP="006D15B1">
      <w:r w:rsidRPr="006D15B1">
        <w:t xml:space="preserve">On the eve of the twenty-first century, amid the upheavals the world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that</w:t>
      </w:r>
      <w:proofErr w:type="gramEnd"/>
      <w:r w:rsidRPr="006D15B1">
        <w:t xml:space="preserve"> it is not possible to find more radical principles for organizing society.</w:t>
      </w:r>
    </w:p>
    <w:p w:rsidR="006D15B1" w:rsidRDefault="006D15B1" w:rsidP="006D15B1">
      <w:pPr>
        <w:rPr>
          <w:rStyle w:val="StyleStyleBold12pt"/>
        </w:rPr>
      </w:pPr>
    </w:p>
    <w:p w:rsidR="006D15B1" w:rsidRDefault="006D15B1" w:rsidP="006D15B1">
      <w:pPr>
        <w:pStyle w:val="Heading4"/>
      </w:pPr>
      <w:proofErr w:type="spellStart"/>
      <w:r>
        <w:t>Korematsu</w:t>
      </w:r>
      <w:proofErr w:type="spellEnd"/>
      <w:r>
        <w:t xml:space="preserve"> provides important education about activism.</w:t>
      </w:r>
    </w:p>
    <w:p w:rsidR="006D15B1" w:rsidRPr="002A3B75" w:rsidRDefault="006D15B1" w:rsidP="006D15B1">
      <w:pPr>
        <w:rPr>
          <w:rStyle w:val="StyleStyleBold12pt"/>
        </w:rPr>
      </w:pPr>
      <w:r w:rsidRPr="002A3B75">
        <w:rPr>
          <w:rStyle w:val="StyleStyleBold12pt"/>
        </w:rPr>
        <w:t>Gruber, Florida International University associate law professor, 2006</w:t>
      </w:r>
    </w:p>
    <w:p w:rsidR="006D15B1" w:rsidRPr="004457A2" w:rsidRDefault="006D15B1" w:rsidP="006D15B1">
      <w:pPr>
        <w:rPr>
          <w:rFonts w:asciiTheme="minorHAnsi" w:hAnsiTheme="minorHAnsi"/>
        </w:rPr>
      </w:pPr>
      <w:r>
        <w:t>[</w:t>
      </w:r>
      <w:proofErr w:type="spellStart"/>
      <w:r>
        <w:t>Aya</w:t>
      </w:r>
      <w:proofErr w:type="spellEnd"/>
      <w:r>
        <w:t xml:space="preserve">, </w:t>
      </w:r>
      <w:r w:rsidRPr="004457A2">
        <w:rPr>
          <w:rFonts w:asciiTheme="minorHAnsi" w:hAnsiTheme="minorHAnsi"/>
        </w:rPr>
        <w:t>54 Kan. L. Rev. 307</w:t>
      </w:r>
      <w:r>
        <w:rPr>
          <w:rFonts w:asciiTheme="minorHAnsi" w:hAnsiTheme="minorHAnsi"/>
        </w:rPr>
        <w:t>, “</w:t>
      </w:r>
      <w:r w:rsidRPr="004457A2">
        <w:rPr>
          <w:rFonts w:asciiTheme="minorHAnsi" w:hAnsiTheme="minorHAnsi"/>
        </w:rPr>
        <w:t>ARTICLE: Raising the Red Flag: The Continued Relevance of the Japanese Internment in the Post-</w:t>
      </w:r>
      <w:proofErr w:type="spellStart"/>
      <w:r w:rsidRPr="004457A2">
        <w:rPr>
          <w:rFonts w:asciiTheme="minorHAnsi" w:hAnsiTheme="minorHAnsi"/>
        </w:rPr>
        <w:t>Hamdi</w:t>
      </w:r>
      <w:proofErr w:type="spellEnd"/>
      <w:r w:rsidRPr="004457A2">
        <w:rPr>
          <w:rFonts w:asciiTheme="minorHAnsi" w:hAnsiTheme="minorHAnsi"/>
        </w:rPr>
        <w:t xml:space="preserve"> World</w:t>
      </w:r>
      <w:r>
        <w:rPr>
          <w:rFonts w:asciiTheme="minorHAnsi" w:hAnsiTheme="minorHAnsi"/>
        </w:rPr>
        <w:t>” Lexis, accessed 11-2-13, TAP]</w:t>
      </w:r>
    </w:p>
    <w:p w:rsidR="006D15B1" w:rsidRPr="004457A2" w:rsidRDefault="006D15B1" w:rsidP="006D15B1">
      <w:pPr>
        <w:rPr>
          <w:rFonts w:asciiTheme="minorHAnsi" w:hAnsiTheme="minorHAnsi"/>
        </w:rPr>
      </w:pPr>
    </w:p>
    <w:p w:rsidR="006D15B1" w:rsidRDefault="006D15B1" w:rsidP="006D15B1">
      <w:r w:rsidRPr="006D15B1">
        <w:t xml:space="preserve">Examining the legal literature, there are two different but related areas in which the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is</w:t>
      </w:r>
      <w:proofErr w:type="gramEnd"/>
      <w:r w:rsidRPr="006D15B1">
        <w:t xml:space="preserve"> a necessity; it is a struggle we all must join. n80</w:t>
      </w:r>
    </w:p>
    <w:p w:rsidR="006D15B1" w:rsidRDefault="006D15B1" w:rsidP="006D15B1">
      <w:pPr>
        <w:rPr>
          <w:rFonts w:asciiTheme="minorHAnsi" w:hAnsiTheme="minorHAnsi"/>
        </w:rPr>
      </w:pPr>
      <w:r w:rsidRPr="004457A2">
        <w:rPr>
          <w:rFonts w:asciiTheme="minorHAnsi" w:hAnsiTheme="minorHAnsi"/>
        </w:rPr>
        <w:t xml:space="preserve"> </w:t>
      </w:r>
    </w:p>
    <w:p w:rsidR="006D15B1" w:rsidRDefault="006D15B1" w:rsidP="006D15B1">
      <w:pPr>
        <w:rPr>
          <w:rStyle w:val="StyleStyleBold12pt"/>
        </w:rPr>
      </w:pPr>
    </w:p>
    <w:p w:rsidR="006D15B1" w:rsidRPr="00E71FF0" w:rsidRDefault="006D15B1" w:rsidP="006D15B1">
      <w:pPr>
        <w:rPr>
          <w:rStyle w:val="StyleStyleBold12pt"/>
        </w:rPr>
      </w:pPr>
    </w:p>
    <w:p w:rsidR="006D15B1" w:rsidRPr="00E71FF0" w:rsidRDefault="006D15B1" w:rsidP="006D15B1">
      <w:pPr>
        <w:rPr>
          <w:rStyle w:val="StyleStyleBold12pt"/>
        </w:rPr>
      </w:pPr>
      <w:r w:rsidRPr="00E71FF0">
        <w:rPr>
          <w:rStyle w:val="StyleStyleBold12pt"/>
        </w:rPr>
        <w:t xml:space="preserve">Their argument also doesn’t make sense in this context – absent the suffering of Japanese Americans during internment, what is the meaning of </w:t>
      </w:r>
      <w:proofErr w:type="spellStart"/>
      <w:r w:rsidRPr="00E71FF0">
        <w:rPr>
          <w:rStyle w:val="StyleStyleBold12pt"/>
        </w:rPr>
        <w:t>Korematsu</w:t>
      </w:r>
      <w:proofErr w:type="spellEnd"/>
      <w:r w:rsidRPr="00E71FF0">
        <w:rPr>
          <w:rStyle w:val="StyleStyleBold12pt"/>
        </w:rPr>
        <w:t xml:space="preserve">? We should ground our politics in the material consequences of the unethical choices that resulted in </w:t>
      </w:r>
      <w:proofErr w:type="spellStart"/>
      <w:r w:rsidRPr="00E71FF0">
        <w:rPr>
          <w:rStyle w:val="StyleStyleBold12pt"/>
        </w:rPr>
        <w:t>Korematsu</w:t>
      </w:r>
      <w:proofErr w:type="spellEnd"/>
      <w:r w:rsidRPr="00E71FF0">
        <w:rPr>
          <w:rStyle w:val="StyleStyleBold12pt"/>
        </w:rPr>
        <w:t xml:space="preserve"> – not decontextualize it.</w:t>
      </w:r>
    </w:p>
    <w:p w:rsidR="006D15B1" w:rsidRDefault="006D15B1" w:rsidP="006D15B1">
      <w:pPr>
        <w:pStyle w:val="Heading5"/>
        <w:keepLines w:val="0"/>
        <w:widowControl w:val="0"/>
        <w:numPr>
          <w:ilvl w:val="4"/>
          <w:numId w:val="3"/>
        </w:numPr>
        <w:suppressAutoHyphens/>
        <w:spacing w:before="240" w:after="120"/>
      </w:pPr>
      <w:proofErr w:type="spellStart"/>
      <w:r>
        <w:t>Mckenzie</w:t>
      </w:r>
      <w:proofErr w:type="spellEnd"/>
      <w:r>
        <w:t>, Purdue University Political Theory Doctoral Candidate, 9</w:t>
      </w:r>
    </w:p>
    <w:p w:rsidR="006D15B1" w:rsidRDefault="006D15B1" w:rsidP="006D15B1">
      <w:pPr>
        <w:pStyle w:val="BodyTextIndent"/>
        <w:rPr>
          <w:u w:val="single"/>
        </w:rPr>
      </w:pPr>
      <w:r>
        <w:t>(Jonathan, Theory &amp; Event, “Pragmatism, Pluralism, Politics: William James’s Tragic Sense of Life”, Volume 12, Issue 1, 2009, Project Muse, accessed 11-15-13 TAT)</w:t>
      </w:r>
    </w:p>
    <w:p w:rsidR="006D15B1" w:rsidRDefault="006D15B1" w:rsidP="006D15B1">
      <w:pPr>
        <w:pStyle w:val="BodyText"/>
        <w:rPr>
          <w:u w:val="single"/>
        </w:rPr>
      </w:pPr>
    </w:p>
    <w:p w:rsidR="006D15B1" w:rsidRDefault="006D15B1" w:rsidP="006D15B1">
      <w:r w:rsidRPr="006D15B1">
        <w:t xml:space="preserve">Pluralism and pragmatism belong together as formative portions of James’s philosophic vision. But this </w:t>
      </w:r>
    </w:p>
    <w:p w:rsidR="006D15B1" w:rsidRPr="006D15B1" w:rsidRDefault="006D15B1" w:rsidP="006D15B1">
      <w:proofErr w:type="gramStart"/>
      <w:r w:rsidRPr="006D15B1">
        <w:t>which</w:t>
      </w:r>
      <w:proofErr w:type="gramEnd"/>
      <w:r w:rsidRPr="006D15B1">
        <w:t xml:space="preserve"> is contemporary and responds to the crises of extant experience (142).</w:t>
      </w:r>
    </w:p>
    <w:p w:rsidR="006D15B1" w:rsidRDefault="006D15B1" w:rsidP="006D15B1"/>
    <w:p w:rsidR="006D15B1" w:rsidRDefault="006D15B1" w:rsidP="006D15B1"/>
    <w:p w:rsidR="006D15B1" w:rsidRDefault="006D15B1" w:rsidP="006D15B1">
      <w:pPr>
        <w:pStyle w:val="Heading4"/>
        <w:rPr>
          <w:rFonts w:eastAsia="Calibri"/>
        </w:rPr>
      </w:pPr>
      <w:r>
        <w:rPr>
          <w:rFonts w:eastAsia="Calibri"/>
        </w:rPr>
        <w:t>Liberalism is inevitable.</w:t>
      </w:r>
    </w:p>
    <w:p w:rsidR="006D15B1" w:rsidRPr="001A37BD" w:rsidRDefault="006D15B1" w:rsidP="006D15B1">
      <w:pPr>
        <w:rPr>
          <w:rStyle w:val="StyleStyleBold12pt"/>
        </w:rPr>
      </w:pPr>
      <w:proofErr w:type="spellStart"/>
      <w:r w:rsidRPr="001A37BD">
        <w:rPr>
          <w:rStyle w:val="StyleStyleBold12pt"/>
        </w:rPr>
        <w:t>Luban</w:t>
      </w:r>
      <w:proofErr w:type="spellEnd"/>
      <w:r w:rsidRPr="001A37BD">
        <w:rPr>
          <w:rStyle w:val="StyleStyleBold12pt"/>
        </w:rPr>
        <w:t>, Georgetown University law professor, 2010</w:t>
      </w:r>
    </w:p>
    <w:p w:rsidR="006D15B1" w:rsidRDefault="006D15B1" w:rsidP="006D15B1">
      <w:r>
        <w:t xml:space="preserve">[David, 43 Case W. Res. J. Int'l L. 457, “Beyond Traditional Concepts of </w:t>
      </w:r>
      <w:proofErr w:type="spellStart"/>
      <w:r>
        <w:t>Lawfare</w:t>
      </w:r>
      <w:proofErr w:type="spellEnd"/>
      <w:r>
        <w:t xml:space="preserve">: Carl Schmitt and the Critique of </w:t>
      </w:r>
      <w:proofErr w:type="spellStart"/>
      <w:r>
        <w:t>Lawfare</w:t>
      </w:r>
      <w:proofErr w:type="spellEnd"/>
      <w:r>
        <w:t xml:space="preserve">” </w:t>
      </w:r>
      <w:hyperlink r:id="rId12" w:history="1">
        <w:r w:rsidRPr="00F0709D">
          <w:rPr>
            <w:rStyle w:val="Hyperlink"/>
          </w:rPr>
          <w:t>http://scholarship.law.georgetown.edu/cgi/viewcontent.cgi?article=1620&amp;context=facpub</w:t>
        </w:r>
      </w:hyperlink>
      <w:r>
        <w:t>, p.13, accessed 9-30-13, TAP]</w:t>
      </w:r>
    </w:p>
    <w:p w:rsidR="006D15B1" w:rsidRDefault="006D15B1" w:rsidP="006D15B1"/>
    <w:p w:rsidR="006D15B1" w:rsidRDefault="006D15B1" w:rsidP="006D15B1">
      <w:r w:rsidRPr="006D15B1">
        <w:t xml:space="preserve">But international humanitarian law and criminal law </w:t>
      </w:r>
      <w:proofErr w:type="gramStart"/>
      <w:r w:rsidRPr="006D15B1">
        <w:t>are</w:t>
      </w:r>
      <w:proofErr w:type="gramEnd"/>
      <w:r w:rsidRPr="006D15B1">
        <w:t xml:space="preserve"> not the same thing as ¶ wars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be</w:t>
      </w:r>
      <w:proofErr w:type="gramEnd"/>
      <w:r w:rsidRPr="006D15B1">
        <w:t xml:space="preserve"> a political ¶ decision. It would simply be a bad one.</w:t>
      </w:r>
    </w:p>
    <w:p w:rsidR="006D15B1" w:rsidRDefault="006D15B1" w:rsidP="006D15B1">
      <w:pPr>
        <w:rPr>
          <w:rFonts w:eastAsia="Calibri"/>
        </w:rPr>
      </w:pPr>
    </w:p>
    <w:p w:rsidR="006D15B1" w:rsidRPr="00436E2F" w:rsidRDefault="006D15B1" w:rsidP="006D15B1">
      <w:pPr>
        <w:pStyle w:val="Heading4"/>
      </w:pPr>
      <w:r>
        <w:t>Liberalism contains the impact.</w:t>
      </w:r>
    </w:p>
    <w:p w:rsidR="006D15B1" w:rsidRPr="004E3086" w:rsidRDefault="006D15B1" w:rsidP="006D15B1">
      <w:pPr>
        <w:rPr>
          <w:rStyle w:val="StyleStyleBold12pt"/>
        </w:rPr>
      </w:pPr>
      <w:r w:rsidRPr="004E3086">
        <w:rPr>
          <w:rStyle w:val="StyleStyleBold12pt"/>
        </w:rPr>
        <w:t xml:space="preserve">Ross, </w:t>
      </w:r>
      <w:proofErr w:type="spellStart"/>
      <w:r w:rsidRPr="004E3086">
        <w:rPr>
          <w:rStyle w:val="StyleStyleBold12pt"/>
        </w:rPr>
        <w:t>Monash</w:t>
      </w:r>
      <w:proofErr w:type="spellEnd"/>
      <w:r w:rsidRPr="004E3086">
        <w:rPr>
          <w:rStyle w:val="StyleStyleBold12pt"/>
        </w:rPr>
        <w:t xml:space="preserve"> University critical theory lecturer, 2012</w:t>
      </w:r>
    </w:p>
    <w:p w:rsidR="006D15B1" w:rsidRDefault="006D15B1" w:rsidP="006D15B1">
      <w:r>
        <w:t>[Alison, Constellations Volume 19, Issue 3, Article first published online: 25 OCT 2012, “</w:t>
      </w:r>
      <w:proofErr w:type="spellStart"/>
      <w:r>
        <w:t>Agamben’s</w:t>
      </w:r>
      <w:proofErr w:type="spellEnd"/>
      <w:r>
        <w:t xml:space="preserve"> Political Paradigm of the Camp: Its Features and Reasons” Wiley, p.427-9, accessed 9-30-13, TAP]</w:t>
      </w:r>
    </w:p>
    <w:p w:rsidR="006D15B1" w:rsidRPr="00525FD9" w:rsidRDefault="006D15B1" w:rsidP="006D15B1"/>
    <w:p w:rsidR="006D15B1" w:rsidRDefault="006D15B1" w:rsidP="006D15B1">
      <w:r w:rsidRPr="006D15B1">
        <w:t xml:space="preserve">The difficulty here is that </w:t>
      </w:r>
      <w:proofErr w:type="spellStart"/>
      <w:r w:rsidRPr="006D15B1">
        <w:t>Agamben</w:t>
      </w:r>
      <w:proofErr w:type="spellEnd"/>
      <w:r w:rsidRPr="006D15B1">
        <w:t xml:space="preserve">, given the </w:t>
      </w:r>
      <w:proofErr w:type="spellStart"/>
      <w:r w:rsidRPr="006D15B1">
        <w:t>ahistoricity</w:t>
      </w:r>
      <w:proofErr w:type="spellEnd"/>
      <w:r w:rsidRPr="006D15B1">
        <w:t xml:space="preserve"> of his theory, is </w:t>
      </w:r>
    </w:p>
    <w:p w:rsidR="006D15B1" w:rsidRDefault="006D15B1" w:rsidP="006D15B1">
      <w:r>
        <w:t>AND</w:t>
      </w:r>
    </w:p>
    <w:p w:rsidR="006D15B1" w:rsidRPr="006D15B1" w:rsidRDefault="006D15B1" w:rsidP="006D15B1">
      <w:proofErr w:type="gramStart"/>
      <w:r w:rsidRPr="006D15B1">
        <w:t>the</w:t>
      </w:r>
      <w:proofErr w:type="gramEnd"/>
      <w:r w:rsidRPr="006D15B1">
        <w:t xml:space="preserve"> camp¶ inmate is simply not a viable option for a state.</w:t>
      </w:r>
    </w:p>
    <w:p w:rsidR="006D15B1" w:rsidRDefault="006D15B1" w:rsidP="006D15B1">
      <w:pPr>
        <w:rPr>
          <w:rFonts w:eastAsia="Calibri"/>
        </w:rPr>
      </w:pPr>
    </w:p>
    <w:p w:rsidR="006D15B1" w:rsidRDefault="006D15B1" w:rsidP="006D15B1">
      <w:pPr>
        <w:pStyle w:val="BodyTextIndent"/>
        <w:ind w:left="0"/>
      </w:pPr>
    </w:p>
    <w:p w:rsidR="006D15B1" w:rsidRDefault="006D15B1" w:rsidP="006D15B1">
      <w:pPr>
        <w:pStyle w:val="BodyTextIndent"/>
      </w:pPr>
    </w:p>
    <w:p w:rsidR="006D15B1" w:rsidRPr="00D17C4E" w:rsidRDefault="006D15B1" w:rsidP="006D15B1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753" w:rsidRDefault="00B54753" w:rsidP="005F5576">
      <w:r>
        <w:separator/>
      </w:r>
    </w:p>
  </w:endnote>
  <w:endnote w:type="continuationSeparator" w:id="0">
    <w:p w:rsidR="00B54753" w:rsidRDefault="00B5475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WenQuanYi Micro Hei">
    <w:charset w:val="01"/>
    <w:family w:val="auto"/>
    <w:pitch w:val="variable"/>
  </w:font>
  <w:font w:name="Lohit Hindi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753" w:rsidRDefault="00B54753" w:rsidP="005F5576">
      <w:r>
        <w:separator/>
      </w:r>
    </w:p>
  </w:footnote>
  <w:footnote w:type="continuationSeparator" w:id="0">
    <w:p w:rsidR="00B54753" w:rsidRDefault="00B54753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28535F"/>
    <w:multiLevelType w:val="hybridMultilevel"/>
    <w:tmpl w:val="68C02A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55C57"/>
    <w:multiLevelType w:val="hybridMultilevel"/>
    <w:tmpl w:val="41049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B1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D15B1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4753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Body Text" w:uiPriority="0"/>
    <w:lsdException w:name="Body Text Indent" w:uiPriority="0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 Char,Char Char Char Char Char Char Char, Char,Char,Char Char Char,Heading 3 Char Char, Char Char Char Char Char Char Char,Heading 3 Char1,No Underline,Text 7,3: Cite,Index Headers,Bold Cite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Normal Tag,body,no read,heading 2,Heading 2 Char2 Char,Heading 2 Char1 Char Char,Heading 2 Char Char Char Char,TAG, Ch,Ch,No Spacing211,No Spacing12,No Spacing2111,No Spacing111111,No Spacing4,No Spacing11111,ta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D15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 Char,Char Char Char Char Char Char Char Char1, Char Char,Char Char,Char Char Char Char,Heading 3 Char Char Char, Char Char Char Char Char Char Char Char,Heading 3 Char1 Char,Text 7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Normal Tag Char,body Char,no read Char,heading 2 Char,Heading 2 Char2 Char Char,Heading 2 Char1 Char Char Char,Heading 2 Char Char Char Char Char,TAG Char, Ch Char,Ch Char,No Spacing211 Char,ta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5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derline">
    <w:name w:val="underline"/>
    <w:link w:val="textbold"/>
    <w:qFormat/>
    <w:rsid w:val="006D15B1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6D15B1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6D15B1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6D15B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6D15B1"/>
    <w:pPr>
      <w:ind w:left="720"/>
      <w:contextualSpacing/>
    </w:pPr>
  </w:style>
  <w:style w:type="paragraph" w:styleId="BodyText">
    <w:name w:val="Body Text"/>
    <w:basedOn w:val="Normal"/>
    <w:link w:val="BodyTextChar"/>
    <w:rsid w:val="006D15B1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D15B1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paragraph" w:styleId="BodyTextIndent">
    <w:name w:val="Body Text Indent"/>
    <w:basedOn w:val="BodyText"/>
    <w:link w:val="BodyTextIndentChar"/>
    <w:rsid w:val="006D15B1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D15B1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Body Text" w:uiPriority="0"/>
    <w:lsdException w:name="Body Text Indent" w:uiPriority="0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 Char,Char Char Char Char Char Char Char, Char,Char,Char Char Char,Heading 3 Char Char, Char Char Char Char Char Char Char,Heading 3 Char1,No Underline,Text 7,3: Cite,Index Headers,Bold Cite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Normal Tag,body,no read,heading 2,Heading 2 Char2 Char,Heading 2 Char1 Char Char,Heading 2 Char Char Char Char,TAG, Ch,Ch,No Spacing211,No Spacing12,No Spacing2111,No Spacing111111,No Spacing4,No Spacing11111,ta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D15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 Char,Char Char Char Char Char Char Char Char1, Char Char,Char Char,Char Char Char Char,Heading 3 Char Char Char, Char Char Char Char Char Char Char Char,Heading 3 Char1 Char,Text 7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Normal Tag Char,body Char,no read Char,heading 2 Char,Heading 2 Char2 Char Char,Heading 2 Char1 Char Char Char,Heading 2 Char Char Char Char Char,TAG Char, Ch Char,Ch Char,No Spacing211 Char,ta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5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derline">
    <w:name w:val="underline"/>
    <w:link w:val="textbold"/>
    <w:qFormat/>
    <w:rsid w:val="006D15B1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6D15B1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6D15B1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6D15B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6D15B1"/>
    <w:pPr>
      <w:ind w:left="720"/>
      <w:contextualSpacing/>
    </w:pPr>
  </w:style>
  <w:style w:type="paragraph" w:styleId="BodyText">
    <w:name w:val="Body Text"/>
    <w:basedOn w:val="Normal"/>
    <w:link w:val="BodyTextChar"/>
    <w:rsid w:val="006D15B1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D15B1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paragraph" w:styleId="BodyTextIndent">
    <w:name w:val="Body Text Indent"/>
    <w:basedOn w:val="BodyText"/>
    <w:link w:val="BodyTextIndentChar"/>
    <w:rsid w:val="006D15B1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D15B1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cholarship.law.georgetown.edu/cgi/viewcontent.cgi?article=1620&amp;context=facpu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digitalcommons.law.seattleu.edu/cgi/viewcontent.cgi?article=1022&amp;context=faculty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6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1</cp:revision>
  <dcterms:created xsi:type="dcterms:W3CDTF">2013-12-19T18:46:00Z</dcterms:created>
  <dcterms:modified xsi:type="dcterms:W3CDTF">2013-12-19T18:48:00Z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