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DCC" w:rsidRPr="00F17A37" w:rsidRDefault="00633DCC" w:rsidP="00633DCC">
      <w:pPr>
        <w:pStyle w:val="Heading2"/>
      </w:pPr>
      <w:r w:rsidRPr="00F17A37">
        <w:t>1AC</w:t>
      </w:r>
    </w:p>
    <w:p w:rsidR="00633DCC" w:rsidRPr="00F17A37" w:rsidRDefault="00633DCC" w:rsidP="00633DCC">
      <w:pPr>
        <w:pStyle w:val="Heading3"/>
      </w:pPr>
      <w:r w:rsidRPr="00F17A37">
        <w:lastRenderedPageBreak/>
        <w:t>Drone Dissonance</w:t>
      </w:r>
    </w:p>
    <w:p w:rsidR="00633DCC" w:rsidRPr="00F17A37" w:rsidRDefault="00633DCC" w:rsidP="00633DCC">
      <w:pPr>
        <w:pStyle w:val="Heading4"/>
      </w:pPr>
      <w:r w:rsidRPr="00F17A37">
        <w:t>The drone performs the militaristic targeting logic par excellance – it renders the globe as a neat grid of targets to be understood and destroyed in a view from nowhere.</w:t>
      </w:r>
    </w:p>
    <w:p w:rsidR="00633DCC" w:rsidRPr="00F17A37" w:rsidRDefault="00633DCC" w:rsidP="00633DCC">
      <w:pPr>
        <w:rPr>
          <w:sz w:val="16"/>
        </w:rPr>
      </w:pPr>
      <w:r w:rsidRPr="00F17A37">
        <w:rPr>
          <w:rStyle w:val="StyleStyleBold12pt"/>
        </w:rPr>
        <w:t>Shaw, Graaham, and Majed 12</w:t>
      </w:r>
      <w:r w:rsidRPr="00F17A37">
        <w:rPr>
          <w:sz w:val="16"/>
        </w:rPr>
        <w:t>.  Shaw, Ian Graham, and Akhter, Majed.  "The Unbearable Humanness of Drone Warfare in FATA, Pakistan." Antipode 44.4 (September 2012).</w:t>
      </w:r>
    </w:p>
    <w:p w:rsidR="00633DCC" w:rsidRPr="00F17A37" w:rsidRDefault="00633DCC" w:rsidP="00633DCC">
      <w:pPr>
        <w:rPr>
          <w:sz w:val="16"/>
        </w:rPr>
      </w:pPr>
      <w:r w:rsidRPr="003828D6">
        <w:rPr>
          <w:rStyle w:val="StyleBoldUnderline"/>
          <w:highlight w:val="green"/>
        </w:rPr>
        <w:t>Representation</w:t>
      </w:r>
      <w:r w:rsidRPr="00F17A37">
        <w:rPr>
          <w:sz w:val="16"/>
        </w:rPr>
        <w:t>, a social</w:t>
      </w:r>
      <w:r>
        <w:rPr>
          <w:sz w:val="16"/>
        </w:rPr>
        <w:t>…</w:t>
      </w:r>
      <w:r w:rsidRPr="00F17A37">
        <w:rPr>
          <w:sz w:val="16"/>
        </w:rPr>
        <w:t>certainty of a crosshair.</w:t>
      </w:r>
    </w:p>
    <w:p w:rsidR="00633DCC" w:rsidRPr="00F17A37" w:rsidRDefault="00633DCC" w:rsidP="00633DCC">
      <w:pPr>
        <w:pStyle w:val="Heading4"/>
      </w:pPr>
      <w:r w:rsidRPr="00F17A37">
        <w:t>The executive holds sole control of the power over drones – this shrouds the psychologically detached killing process in anti-democratic norms and secrecy.</w:t>
      </w:r>
    </w:p>
    <w:p w:rsidR="00633DCC" w:rsidRPr="00F17A37" w:rsidRDefault="00633DCC" w:rsidP="00633DCC">
      <w:pPr>
        <w:rPr>
          <w:rStyle w:val="StyleBoldUnderline"/>
          <w:b w:val="0"/>
          <w:bCs w:val="0"/>
        </w:rPr>
      </w:pPr>
      <w:r w:rsidRPr="00F17A37">
        <w:rPr>
          <w:sz w:val="16"/>
          <w:szCs w:val="16"/>
        </w:rPr>
        <w:t xml:space="preserve">Kristin </w:t>
      </w:r>
      <w:r w:rsidRPr="00F17A37">
        <w:rPr>
          <w:rStyle w:val="StyleStyleBold12pt"/>
        </w:rPr>
        <w:t>Dorage 13</w:t>
      </w:r>
      <w:r w:rsidRPr="00F17A37">
        <w:rPr>
          <w:sz w:val="16"/>
          <w:szCs w:val="16"/>
        </w:rPr>
        <w:t xml:space="preserve"> [School for Conflict Analysis and Resolution, Master’s degree, focus area of research is structural violence and developing praxis for conflict resolution] ¶ “Understanding the Pro-Drone Discourse” April 13, http://www.unrestmag.com/understanding-the-pro-drone-discourse/</w:t>
      </w:r>
    </w:p>
    <w:p w:rsidR="00633DCC" w:rsidRPr="00F17A37" w:rsidRDefault="00633DCC" w:rsidP="00633DCC">
      <w:pPr>
        <w:rPr>
          <w:b/>
          <w:bCs/>
          <w:u w:val="single"/>
        </w:rPr>
      </w:pPr>
      <w:r w:rsidRPr="003828D6">
        <w:rPr>
          <w:rStyle w:val="StyleBoldUnderline"/>
          <w:highlight w:val="green"/>
        </w:rPr>
        <w:t xml:space="preserve">What is </w:t>
      </w:r>
      <w:r w:rsidRPr="00F17A37">
        <w:rPr>
          <w:rStyle w:val="StyleBoldUnderline"/>
        </w:rPr>
        <w:t>particularly</w:t>
      </w:r>
      <w:r>
        <w:rPr>
          <w:rStyle w:val="StyleBoldUnderline"/>
        </w:rPr>
        <w:t>…</w:t>
      </w:r>
      <w:r w:rsidRPr="00F17A37">
        <w:rPr>
          <w:rStyle w:val="StyleBoldUnderline"/>
        </w:rPr>
        <w:t>to mere objects.</w:t>
      </w:r>
    </w:p>
    <w:p w:rsidR="00633DCC" w:rsidRPr="00F17A37" w:rsidRDefault="00633DCC" w:rsidP="00633DCC">
      <w:pPr>
        <w:pStyle w:val="Heading4"/>
      </w:pPr>
      <w:r w:rsidRPr="00F17A37">
        <w:t>The drone logic is the ultimate destruction of our ontology – the reduction of life into mapped pieces of data intrinsically eradicates difference and obliterates the essence of existence.</w:t>
      </w:r>
    </w:p>
    <w:p w:rsidR="00633DCC" w:rsidRPr="00F17A37" w:rsidRDefault="00633DCC" w:rsidP="00633DCC">
      <w:pPr>
        <w:rPr>
          <w:sz w:val="16"/>
          <w:szCs w:val="16"/>
        </w:rPr>
      </w:pPr>
      <w:r w:rsidRPr="00F17A37">
        <w:rPr>
          <w:sz w:val="16"/>
          <w:szCs w:val="16"/>
        </w:rPr>
        <w:t xml:space="preserve">Tyler </w:t>
      </w:r>
      <w:r w:rsidRPr="00F17A37">
        <w:rPr>
          <w:rStyle w:val="StyleStyleBold12pt"/>
        </w:rPr>
        <w:t>Wall</w:t>
      </w:r>
      <w:r w:rsidRPr="00F17A37">
        <w:rPr>
          <w:sz w:val="16"/>
          <w:szCs w:val="16"/>
        </w:rPr>
        <w:t xml:space="preserve">, Torin </w:t>
      </w:r>
      <w:r w:rsidRPr="00F17A37">
        <w:rPr>
          <w:rStyle w:val="StyleStyleBold12pt"/>
        </w:rPr>
        <w:t>Monohan 11</w:t>
      </w:r>
      <w:r w:rsidRPr="00F17A37">
        <w:rPr>
          <w:b/>
          <w:sz w:val="16"/>
          <w:szCs w:val="16"/>
        </w:rPr>
        <w:t xml:space="preserve">, </w:t>
      </w:r>
      <w:r w:rsidRPr="00F17A37">
        <w:rPr>
          <w:sz w:val="16"/>
          <w:szCs w:val="16"/>
        </w:rPr>
        <w:t>phd justice studies eastern Kentucky university, phd communications studies chapel hill,</w:t>
      </w:r>
      <w:r w:rsidRPr="00F17A37">
        <w:rPr>
          <w:b/>
        </w:rPr>
        <w:t xml:space="preserve"> </w:t>
      </w:r>
      <w:r w:rsidRPr="00F17A37">
        <w:rPr>
          <w:sz w:val="16"/>
          <w:szCs w:val="16"/>
        </w:rPr>
        <w:t>Surveillance and violence from afar: The politics of drones and liminal security-scapes</w:t>
      </w:r>
    </w:p>
    <w:p w:rsidR="00633DCC" w:rsidRPr="00F17A37" w:rsidRDefault="00633DCC" w:rsidP="00633DCC">
      <w:pPr>
        <w:rPr>
          <w:sz w:val="16"/>
          <w:szCs w:val="16"/>
        </w:rPr>
      </w:pPr>
      <w:r w:rsidRPr="00F17A37">
        <w:rPr>
          <w:rStyle w:val="StyleBoldUnderline"/>
        </w:rPr>
        <w:t>Drone systems necessarily</w:t>
      </w:r>
      <w:r>
        <w:rPr>
          <w:rStyle w:val="StyleBoldUnderline"/>
        </w:rPr>
        <w:t>…</w:t>
      </w:r>
      <w:r w:rsidRPr="00F17A37">
        <w:rPr>
          <w:rStyle w:val="StyleBoldUnderline"/>
        </w:rPr>
        <w:t>advanced countries</w:t>
      </w:r>
      <w:r w:rsidRPr="00F17A37">
        <w:rPr>
          <w:sz w:val="16"/>
          <w:szCs w:val="16"/>
        </w:rPr>
        <w:t xml:space="preserve"> (Beier, 2003).</w:t>
      </w:r>
    </w:p>
    <w:p w:rsidR="00633DCC" w:rsidRPr="00F17A37" w:rsidRDefault="00633DCC" w:rsidP="00633DCC">
      <w:pPr>
        <w:pStyle w:val="Heading4"/>
      </w:pPr>
      <w:r w:rsidRPr="00F17A37">
        <w:t>This systematic killing has divorced ethics from policymaking – this magnifies militaristic technicism on the global scale and makes extinction desirable.</w:t>
      </w:r>
    </w:p>
    <w:p w:rsidR="00633DCC" w:rsidRPr="00F17A37" w:rsidRDefault="00633DCC" w:rsidP="00633DCC">
      <w:pPr>
        <w:rPr>
          <w:sz w:val="16"/>
        </w:rPr>
      </w:pPr>
      <w:r w:rsidRPr="00F17A37">
        <w:rPr>
          <w:rStyle w:val="StyleStyleBold12pt"/>
        </w:rPr>
        <w:t xml:space="preserve">Fasching 93 </w:t>
      </w:r>
      <w:r w:rsidRPr="00F17A37">
        <w:rPr>
          <w:sz w:val="16"/>
        </w:rPr>
        <w:t>(Darrell J., Professor of Religious Studies at University of South Florida, The Ethical Challenge of Auschwitz and Hiroshima, Pp.  232-233) Bankey</w:t>
      </w:r>
    </w:p>
    <w:p w:rsidR="00633DCC" w:rsidRPr="00F17A37" w:rsidRDefault="00633DCC" w:rsidP="00633DCC">
      <w:pPr>
        <w:rPr>
          <w:rStyle w:val="StyleBoldUnderline"/>
        </w:rPr>
      </w:pPr>
      <w:r w:rsidRPr="00F17A37">
        <w:rPr>
          <w:sz w:val="16"/>
        </w:rPr>
        <w:t>These technological barbarians</w:t>
      </w:r>
      <w:r>
        <w:rPr>
          <w:sz w:val="16"/>
        </w:rPr>
        <w:t>…</w:t>
      </w:r>
      <w:r w:rsidRPr="00F17A37">
        <w:rPr>
          <w:rStyle w:val="StyleBoldUnderline"/>
        </w:rPr>
        <w:t>must be subordinated.</w:t>
      </w:r>
    </w:p>
    <w:p w:rsidR="00633DCC" w:rsidRPr="00F17A37" w:rsidRDefault="00633DCC" w:rsidP="00633DCC">
      <w:pPr>
        <w:pStyle w:val="Heading4"/>
      </w:pPr>
      <w:r>
        <w:t>Drones allow for US intervention to continue without criticism from the public – disconnecting ourselves from the war makes the extension of US militarism acceptable and possible.</w:t>
      </w:r>
    </w:p>
    <w:p w:rsidR="00633DCC" w:rsidRPr="00F17A37" w:rsidRDefault="00633DCC" w:rsidP="00633DCC">
      <w:pPr>
        <w:rPr>
          <w:sz w:val="16"/>
          <w:szCs w:val="16"/>
        </w:rPr>
      </w:pPr>
      <w:r w:rsidRPr="00F17A37">
        <w:rPr>
          <w:rStyle w:val="StyleStyleBold12pt"/>
        </w:rPr>
        <w:t>Barry 12</w:t>
      </w:r>
      <w:r w:rsidRPr="00F17A37">
        <w:rPr>
          <w:sz w:val="16"/>
          <w:szCs w:val="16"/>
        </w:rPr>
        <w:t>; Kathleen Barry; May 14, 2012; “DRONES OR BOYS AND THEIR TOYS: THE USA’S LATEST STRATEGY FOR UNENDING WAR,” http://www.kathleenbarry.net/blog/; Kathleen Barry holds two doctorates – in sociology and in education - from the University of California, Berkeley.  Having taught at major universities for over twenty years, she is now a university Professor Emerita.</w:t>
      </w:r>
    </w:p>
    <w:p w:rsidR="00633DCC" w:rsidRDefault="00633DCC" w:rsidP="00633DCC">
      <w:pPr>
        <w:rPr>
          <w:sz w:val="16"/>
          <w:szCs w:val="16"/>
        </w:rPr>
      </w:pPr>
      <w:r w:rsidRPr="00F17A37">
        <w:rPr>
          <w:rStyle w:val="StyleBoldUnderline"/>
        </w:rPr>
        <w:t>The work of</w:t>
      </w:r>
      <w:r>
        <w:rPr>
          <w:rStyle w:val="StyleBoldUnderline"/>
        </w:rPr>
        <w:t>…</w:t>
      </w:r>
      <w:r w:rsidRPr="00F17A37">
        <w:rPr>
          <w:sz w:val="16"/>
          <w:szCs w:val="16"/>
        </w:rPr>
        <w:t>open air places.’</w:t>
      </w:r>
    </w:p>
    <w:p w:rsidR="00633DCC" w:rsidRPr="007870EF" w:rsidRDefault="00633DCC" w:rsidP="00633DCC">
      <w:pPr>
        <w:pStyle w:val="Heading4"/>
      </w:pPr>
      <w:r w:rsidRPr="007870EF">
        <w:t xml:space="preserve">Drones represent the culmination of shifting from a state of warfare to a doctrine of hunt. </w:t>
      </w:r>
      <w:r>
        <w:t xml:space="preserve"> </w:t>
      </w:r>
      <w:r w:rsidRPr="007870EF">
        <w:t xml:space="preserve">Through this predator and prey mentality, the United States asserts its right as hunter to transcend all sovereign borders to wage war on the combat zone which has been reduced to the mobile minute body of the terrorist </w:t>
      </w:r>
      <w:r>
        <w:t>–</w:t>
      </w:r>
      <w:r w:rsidRPr="007870EF">
        <w:t xml:space="preserve"> not only in this strategy doomed to fail, but it also turns the entire world into a battlefield. </w:t>
      </w:r>
    </w:p>
    <w:p w:rsidR="00633DCC" w:rsidRPr="00B52EEB" w:rsidRDefault="00633DCC" w:rsidP="00633DCC">
      <w:pPr>
        <w:rPr>
          <w:rStyle w:val="StyleStyleBold12pt"/>
          <w:b w:val="0"/>
          <w:sz w:val="24"/>
        </w:rPr>
      </w:pPr>
      <w:r>
        <w:rPr>
          <w:rStyle w:val="StyleStyleBold12pt"/>
        </w:rPr>
        <w:t xml:space="preserve">Chamayou 11 </w:t>
      </w:r>
      <w:r w:rsidRPr="00FF6C02">
        <w:rPr>
          <w:sz w:val="16"/>
        </w:rPr>
        <w:t>- Research scholar in philosophy at the Centre National de la Recherche Scientifique in Paris (Gregoire, http://www.radicalphilosophy.com/commentary/the-manhunt-doctrine, The manhunt doctrine, Radical Philosophy 169 (September/October 2011)</w:t>
      </w:r>
    </w:p>
    <w:p w:rsidR="00633DCC" w:rsidRPr="007870EF" w:rsidRDefault="00633DCC" w:rsidP="00633DCC">
      <w:pPr>
        <w:rPr>
          <w:sz w:val="16"/>
        </w:rPr>
      </w:pPr>
      <w:r w:rsidRPr="00C17868">
        <w:rPr>
          <w:sz w:val="16"/>
        </w:rPr>
        <w:t xml:space="preserve">George W. </w:t>
      </w:r>
      <w:r w:rsidRPr="007870EF">
        <w:rPr>
          <w:rStyle w:val="StyleBoldUnderline"/>
          <w:highlight w:val="green"/>
        </w:rPr>
        <w:t>Bush</w:t>
      </w:r>
      <w:r>
        <w:rPr>
          <w:rStyle w:val="StyleBoldUnderline"/>
        </w:rPr>
        <w:t>…</w:t>
      </w:r>
      <w:r w:rsidRPr="00C17868">
        <w:rPr>
          <w:sz w:val="16"/>
        </w:rPr>
        <w:t>conclusion for themselves.</w:t>
      </w:r>
    </w:p>
    <w:p w:rsidR="00633DCC" w:rsidRPr="00F17A37" w:rsidRDefault="00633DCC" w:rsidP="00633DCC">
      <w:pPr>
        <w:pStyle w:val="Heading4"/>
      </w:pPr>
      <w:r>
        <w:lastRenderedPageBreak/>
        <w:t xml:space="preserve">This model of preemption </w:t>
      </w:r>
      <w:r w:rsidRPr="00F17A37">
        <w:t>normalizes instant killing as the main method for warfare.  This causes nuclear escalation and ultra-violent responses to the US.</w:t>
      </w:r>
    </w:p>
    <w:p w:rsidR="00633DCC" w:rsidRPr="00F17A37" w:rsidRDefault="00633DCC" w:rsidP="00633DCC">
      <w:pPr>
        <w:rPr>
          <w:sz w:val="16"/>
        </w:rPr>
      </w:pPr>
      <w:r w:rsidRPr="00F17A37">
        <w:rPr>
          <w:rStyle w:val="StyleStyleBold12pt"/>
        </w:rPr>
        <w:t>Goh 6</w:t>
      </w:r>
      <w:r w:rsidRPr="00F17A37">
        <w:rPr>
          <w:sz w:val="16"/>
        </w:rPr>
        <w:t xml:space="preserve"> [Irving, Fellow @ Harvard University, Fast Capitalism, 2.1 2006, http://fastcapitalism.com/]</w:t>
      </w:r>
    </w:p>
    <w:p w:rsidR="00633DCC" w:rsidRPr="00F17A37" w:rsidRDefault="00633DCC" w:rsidP="00633DCC">
      <w:pPr>
        <w:rPr>
          <w:rStyle w:val="StyleBoldUnderline"/>
        </w:rPr>
      </w:pPr>
      <w:r w:rsidRPr="00F17A37">
        <w:rPr>
          <w:rStyle w:val="StyleBoldUnderline"/>
        </w:rPr>
        <w:t>The articulation of</w:t>
      </w:r>
      <w:r>
        <w:rPr>
          <w:rStyle w:val="StyleBoldUnderline"/>
        </w:rPr>
        <w:t>…</w:t>
      </w:r>
      <w:r w:rsidRPr="00F17A37">
        <w:rPr>
          <w:rStyle w:val="StyleBoldUnderline"/>
        </w:rPr>
        <w:t>all its forms.</w:t>
      </w:r>
    </w:p>
    <w:p w:rsidR="00633DCC" w:rsidRPr="00F17A37" w:rsidRDefault="00633DCC" w:rsidP="00633DCC">
      <w:pPr>
        <w:pStyle w:val="Heading3"/>
      </w:pPr>
      <w:r>
        <w:lastRenderedPageBreak/>
        <w:t>Advocacy</w:t>
      </w:r>
    </w:p>
    <w:p w:rsidR="00633DCC" w:rsidRPr="00F17A37" w:rsidRDefault="00633DCC" w:rsidP="00633DCC">
      <w:pPr>
        <w:pStyle w:val="Heading4"/>
      </w:pPr>
      <w:r>
        <w:t>Drones represent a new front of U.S. militarism through the lens of the Hunter and the Prey - voting aff represents a refusal of this strategy of militarism.</w:t>
      </w:r>
    </w:p>
    <w:p w:rsidR="00633DCC" w:rsidRPr="00F17A37" w:rsidRDefault="00633DCC" w:rsidP="00633DCC">
      <w:pPr>
        <w:pStyle w:val="Heading3"/>
      </w:pPr>
      <w:r>
        <w:lastRenderedPageBreak/>
        <w:t>S</w:t>
      </w:r>
      <w:bookmarkStart w:id="0" w:name="_GoBack"/>
      <w:bookmarkEnd w:id="0"/>
      <w:r w:rsidRPr="00F17A37">
        <w:t>olvency</w:t>
      </w:r>
    </w:p>
    <w:p w:rsidR="00633DCC" w:rsidRPr="00F17A37" w:rsidRDefault="00633DCC" w:rsidP="00633DCC">
      <w:pPr>
        <w:rPr>
          <w:sz w:val="16"/>
        </w:rPr>
      </w:pPr>
      <w:r w:rsidRPr="00F17A37">
        <w:rPr>
          <w:sz w:val="16"/>
        </w:rPr>
        <w:t>.</w:t>
      </w:r>
    </w:p>
    <w:p w:rsidR="00633DCC" w:rsidRPr="00F17A37" w:rsidRDefault="00633DCC" w:rsidP="00633DCC">
      <w:pPr>
        <w:pStyle w:val="Heading4"/>
      </w:pPr>
      <w:r>
        <w:t xml:space="preserve">Our discursive criticism of U.S. drones policy is critical to shaping and developing new understandings about drones - knowledge about drones does not emanate out from the drone, but is rather a frame of understanding the technology and our relations to it.  </w:t>
      </w:r>
    </w:p>
    <w:p w:rsidR="00633DCC" w:rsidRPr="00F17A37" w:rsidRDefault="00633DCC" w:rsidP="00633DCC">
      <w:pPr>
        <w:rPr>
          <w:sz w:val="16"/>
        </w:rPr>
      </w:pPr>
      <w:r w:rsidRPr="00F17A37">
        <w:rPr>
          <w:sz w:val="16"/>
        </w:rPr>
        <w:t xml:space="preserve">Kristin </w:t>
      </w:r>
      <w:r w:rsidRPr="00F17A37">
        <w:rPr>
          <w:rStyle w:val="StyleStyleBold12pt"/>
        </w:rPr>
        <w:t>Dorage 13</w:t>
      </w:r>
      <w:r w:rsidRPr="00F17A37">
        <w:rPr>
          <w:sz w:val="16"/>
        </w:rPr>
        <w:t xml:space="preserve"> [School for Conflict Analysis and Resolution, Master’s degree, focus area of research is structural violence and developing praxis for conflict resolution] “Understanding the Pro-Drone Discourse” April 13, http://www.unrestmag.com/understanding-the-pro-drone-discourse/</w:t>
      </w:r>
    </w:p>
    <w:p w:rsidR="00633DCC" w:rsidRPr="0030629D" w:rsidRDefault="00633DCC" w:rsidP="00633DCC">
      <w:pPr>
        <w:rPr>
          <w:b/>
          <w:bCs/>
          <w:u w:val="single"/>
        </w:rPr>
      </w:pPr>
      <w:r w:rsidRPr="00F17A37">
        <w:rPr>
          <w:sz w:val="12"/>
        </w:rPr>
        <w:t xml:space="preserve"> “Foucault argues that</w:t>
      </w:r>
      <w:r>
        <w:rPr>
          <w:sz w:val="12"/>
        </w:rPr>
        <w:t>…</w:t>
      </w:r>
      <w:r w:rsidRPr="00F17A37">
        <w:rPr>
          <w:rStyle w:val="StyleBoldUnderline"/>
        </w:rPr>
        <w:t>in the future.</w:t>
      </w:r>
    </w:p>
    <w:p w:rsidR="00633DCC" w:rsidRDefault="00633DCC" w:rsidP="00633DCC"/>
    <w:p w:rsidR="00633DCC" w:rsidRPr="001D1655" w:rsidRDefault="00633DCC" w:rsidP="00633DCC">
      <w:pPr>
        <w:pStyle w:val="Heading4"/>
      </w:pPr>
      <w:r>
        <w:t>W</w:t>
      </w:r>
      <w:r w:rsidRPr="001D1655">
        <w:t>e are a counter hegemonic project that goes against the seemingly inevitable logic of pre-emption</w:t>
      </w:r>
      <w:r>
        <w:t>.  This dissensus is key</w:t>
      </w:r>
      <w:r w:rsidRPr="001D1655">
        <w:t>.</w:t>
      </w:r>
    </w:p>
    <w:p w:rsidR="00633DCC" w:rsidRPr="001D1655" w:rsidRDefault="00633DCC" w:rsidP="00633DCC">
      <w:pPr>
        <w:rPr>
          <w:sz w:val="16"/>
        </w:rPr>
      </w:pPr>
      <w:r w:rsidRPr="001D1655">
        <w:rPr>
          <w:b/>
        </w:rPr>
        <w:t>Goh 6</w:t>
      </w:r>
      <w:r w:rsidRPr="001D1655">
        <w:rPr>
          <w:sz w:val="16"/>
        </w:rPr>
        <w:t xml:space="preserve"> [Irving, Fellow @ Harvard University, Fast Capitalism, 2.1 2006, http://fastcapitalism.com/]</w:t>
      </w:r>
    </w:p>
    <w:p w:rsidR="00633DCC" w:rsidRPr="001D1655" w:rsidRDefault="00633DCC" w:rsidP="00633DCC">
      <w:pPr>
        <w:pStyle w:val="card"/>
        <w:ind w:left="0"/>
      </w:pPr>
      <w:r w:rsidRPr="001D1655">
        <w:rPr>
          <w:sz w:val="16"/>
        </w:rPr>
        <w:t>The fact remains</w:t>
      </w:r>
      <w:r>
        <w:rPr>
          <w:sz w:val="16"/>
        </w:rPr>
        <w:t>…</w:t>
      </w:r>
      <w:r w:rsidRPr="001D1655">
        <w:rPr>
          <w:sz w:val="16"/>
        </w:rPr>
        <w:t>than but now</w:t>
      </w:r>
      <w:r w:rsidRPr="001D1655">
        <w:t>.</w:t>
      </w:r>
    </w:p>
    <w:p w:rsidR="00633DCC" w:rsidRPr="001D1655" w:rsidRDefault="00633DCC" w:rsidP="00633DCC">
      <w:pPr>
        <w:pStyle w:val="Heading4"/>
      </w:pPr>
      <w:r>
        <w:t xml:space="preserve">This micropolitical space is material politics – </w:t>
      </w:r>
      <w:r w:rsidRPr="007239EB">
        <w:t>US neo-imperialism sustains itself by controlling the boundaries of knowledge.  Only exposing the epistemic violence of imperialism can offer ways of knowing that counteract the vi</w:t>
      </w:r>
      <w:r>
        <w:t>olence and elitism of US empire</w:t>
      </w:r>
      <w:r w:rsidRPr="001D1655">
        <w:t>.</w:t>
      </w:r>
    </w:p>
    <w:p w:rsidR="00633DCC" w:rsidRPr="001D1655" w:rsidRDefault="00633DCC" w:rsidP="00633DCC">
      <w:pPr>
        <w:rPr>
          <w:sz w:val="16"/>
        </w:rPr>
      </w:pPr>
      <w:r w:rsidRPr="001D1655">
        <w:rPr>
          <w:rStyle w:val="StyleStyleBold12pt"/>
        </w:rPr>
        <w:t>McLaren and Kincheloe 5</w:t>
      </w:r>
      <w:r w:rsidRPr="001D1655">
        <w:rPr>
          <w:sz w:val="16"/>
        </w:rPr>
        <w:t xml:space="preserve"> (Peter Professor of Education, Graduate School of Education and Information Studies @ UCLA and Joe, professor and Canada Research Chair at the Faculty of Education, McGill University in Montreal, Quebec, Canada</w:t>
      </w:r>
      <w:r>
        <w:rPr>
          <w:sz w:val="16"/>
        </w:rPr>
        <w:t xml:space="preserve">.  </w:t>
      </w:r>
      <w:r w:rsidRPr="001D1655">
        <w:rPr>
          <w:sz w:val="16"/>
        </w:rPr>
        <w:t>The Sage Handbook of Qualitative Research, Third Edition, Eds Norman Denzin and Yvonna Lincoln)</w:t>
      </w:r>
    </w:p>
    <w:p w:rsidR="00633DCC" w:rsidRPr="001D1655" w:rsidRDefault="00633DCC" w:rsidP="00633DCC">
      <w:pPr>
        <w:rPr>
          <w:sz w:val="16"/>
        </w:rPr>
      </w:pPr>
      <w:r w:rsidRPr="001D1655">
        <w:rPr>
          <w:sz w:val="16"/>
        </w:rPr>
        <w:t>In this context</w:t>
      </w:r>
      <w:r>
        <w:rPr>
          <w:sz w:val="16"/>
        </w:rPr>
        <w:t>…</w:t>
      </w:r>
      <w:r w:rsidRPr="001D1655">
        <w:rPr>
          <w:sz w:val="16"/>
        </w:rPr>
        <w:t>in a new era</w:t>
      </w:r>
      <w:r>
        <w:rPr>
          <w:sz w:val="16"/>
        </w:rPr>
        <w:t xml:space="preserve">.  </w:t>
      </w:r>
      <w:r w:rsidRPr="001D1655">
        <w:rPr>
          <w:sz w:val="16"/>
        </w:rPr>
        <w:t>&lt;P306-307&gt;</w:t>
      </w:r>
    </w:p>
    <w:p w:rsidR="00633DCC" w:rsidRPr="009A5A2B" w:rsidRDefault="00633DCC" w:rsidP="00633DCC">
      <w:pPr>
        <w:pStyle w:val="Heading4"/>
      </w:pPr>
      <w:r w:rsidRPr="009A5A2B">
        <w:t>Academic spaces should be used to reframe knowledge-practices rather than producing "new and final sollutions".</w:t>
      </w:r>
    </w:p>
    <w:p w:rsidR="00633DCC" w:rsidRDefault="00633DCC" w:rsidP="00633DCC">
      <w:r w:rsidRPr="00615606">
        <w:rPr>
          <w:rStyle w:val="StyleStyleBold12pt"/>
        </w:rPr>
        <w:t>Casas-Cortés</w:t>
      </w:r>
      <w:r w:rsidRPr="00615606">
        <w:t xml:space="preserve">, María Isabel </w:t>
      </w:r>
      <w:r>
        <w:rPr>
          <w:rStyle w:val="StyleStyleBold12pt"/>
        </w:rPr>
        <w:t>et al. 11</w:t>
      </w:r>
      <w:r w:rsidRPr="00615606">
        <w:t xml:space="preserve"> [Michal Osterweil- lecturer and director of internships, PhD in Cultural Anthropology with a certificate in Cultural Studies from UNC Chapel Hill, Dana E. Powell- Assistant Professor of Anthropology Ph.D. 2011 University of North Carolina-Chapel Hill M.A. 2005 University of North Carolina-Chapel Hill, María Isabel Casas-CortésMA, currently PhD student in Anthropology at University of North Carolina </w:t>
      </w:r>
      <w:r w:rsidRPr="00615606">
        <w:br/>
        <w:t>Chapel Hill</w:t>
      </w:r>
      <w:r w:rsidRPr="00037307">
        <w:t>] Blurring Boundaries: Recognizing Knowledge-Practices in the Study of Social Movements. 2008 Institute for Ethnographic Research. Anthropological Quarterly 81.1 (</w:t>
      </w:r>
      <w:r w:rsidRPr="002000B0">
        <w:rPr>
          <w:rStyle w:val="StyleStyleBold12pt"/>
        </w:rPr>
        <w:t>2008</w:t>
      </w:r>
      <w:r w:rsidRPr="00037307">
        <w:t xml:space="preserve">) 17-58 </w:t>
      </w:r>
    </w:p>
    <w:p w:rsidR="000022F2" w:rsidRPr="00633DCC" w:rsidRDefault="00633DCC" w:rsidP="00633DCC">
      <w:pPr>
        <w:pStyle w:val="card"/>
        <w:ind w:left="0"/>
        <w:rPr>
          <w:b/>
          <w:bCs/>
          <w:sz w:val="22"/>
          <w:u w:val="single"/>
        </w:rPr>
      </w:pPr>
      <w:r w:rsidRPr="00E0618D">
        <w:rPr>
          <w:sz w:val="16"/>
        </w:rPr>
        <w:t xml:space="preserve">In sum, </w:t>
      </w:r>
      <w:r w:rsidRPr="002000B0">
        <w:rPr>
          <w:rStyle w:val="StyleBoldUnderline"/>
          <w:highlight w:val="yellow"/>
        </w:rPr>
        <w:t>when</w:t>
      </w:r>
      <w:r>
        <w:rPr>
          <w:rStyle w:val="StyleBoldUnderline"/>
        </w:rPr>
        <w:t>…</w:t>
      </w:r>
      <w:r>
        <w:rPr>
          <w:rStyle w:val="StyleBoldUnderline"/>
        </w:rPr>
        <w:t>of movements themselves.</w:t>
      </w:r>
    </w:p>
    <w:sectPr w:rsidR="000022F2" w:rsidRPr="00633D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FB0" w:rsidRDefault="001A5FB0" w:rsidP="005F5576">
      <w:r>
        <w:separator/>
      </w:r>
    </w:p>
  </w:endnote>
  <w:endnote w:type="continuationSeparator" w:id="0">
    <w:p w:rsidR="001A5FB0" w:rsidRDefault="001A5FB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FB0" w:rsidRDefault="001A5FB0" w:rsidP="005F5576">
      <w:r>
        <w:separator/>
      </w:r>
    </w:p>
  </w:footnote>
  <w:footnote w:type="continuationSeparator" w:id="0">
    <w:p w:rsidR="001A5FB0" w:rsidRDefault="001A5FB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D1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6D14"/>
    <w:rsid w:val="001A4F0E"/>
    <w:rsid w:val="001A5FB0"/>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384A"/>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A2E"/>
    <w:rsid w:val="00590731"/>
    <w:rsid w:val="005A506B"/>
    <w:rsid w:val="005A701C"/>
    <w:rsid w:val="005B2444"/>
    <w:rsid w:val="005B2D14"/>
    <w:rsid w:val="005B3140"/>
    <w:rsid w:val="005C0B05"/>
    <w:rsid w:val="005D1156"/>
    <w:rsid w:val="005D3D7C"/>
    <w:rsid w:val="005E0681"/>
    <w:rsid w:val="005E3B08"/>
    <w:rsid w:val="005E3FE4"/>
    <w:rsid w:val="005E572E"/>
    <w:rsid w:val="005F5576"/>
    <w:rsid w:val="006014AB"/>
    <w:rsid w:val="00605F20"/>
    <w:rsid w:val="0061680A"/>
    <w:rsid w:val="00623B70"/>
    <w:rsid w:val="00633DCC"/>
    <w:rsid w:val="0063578B"/>
    <w:rsid w:val="00636B3D"/>
    <w:rsid w:val="00641025"/>
    <w:rsid w:val="00650E98"/>
    <w:rsid w:val="00656C61"/>
    <w:rsid w:val="00657B96"/>
    <w:rsid w:val="006672D8"/>
    <w:rsid w:val="00670D96"/>
    <w:rsid w:val="00672877"/>
    <w:rsid w:val="00683154"/>
    <w:rsid w:val="00690115"/>
    <w:rsid w:val="00690898"/>
    <w:rsid w:val="00693039"/>
    <w:rsid w:val="00693A5A"/>
    <w:rsid w:val="006B302F"/>
    <w:rsid w:val="006C64D4"/>
    <w:rsid w:val="006E53F0"/>
    <w:rsid w:val="006F46C3"/>
    <w:rsid w:val="006F7CDF"/>
    <w:rsid w:val="006F7D2D"/>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44AE"/>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19A"/>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4B11"/>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348D"/>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69"/>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7660"/>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CB819CD-5D43-4746-90C6-F90E7973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Underline Style,Heading 3 - Citation,NO FORMAT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2111,No Spacing5,No Spacing112,No Spacing1121,small space,Medium Grid 21,Heading 2 Char Char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Underline Style Char,Heading 3 - Citation Char,NO FORMATTING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2111 Char,No Spacing5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link w:val="cardChar"/>
    <w:autoRedefine/>
    <w:qFormat/>
    <w:rsid w:val="00633DCC"/>
    <w:pPr>
      <w:ind w:left="144"/>
    </w:pPr>
    <w:rPr>
      <w:rFonts w:eastAsia="Times New Roman"/>
      <w:sz w:val="20"/>
      <w:lang w:bidi="en-US"/>
    </w:rPr>
  </w:style>
  <w:style w:type="character" w:customStyle="1" w:styleId="cardChar">
    <w:name w:val="card Char"/>
    <w:basedOn w:val="DefaultParagraphFont"/>
    <w:link w:val="card"/>
    <w:rsid w:val="00633DCC"/>
    <w:rPr>
      <w:rFonts w:ascii="Calibri" w:eastAsia="Times New Roman" w:hAnsi="Calibri" w:cs="Times New Roman"/>
      <w:sz w:val="20"/>
      <w:lang w:bidi="en-US"/>
    </w:rPr>
  </w:style>
  <w:style w:type="character" w:customStyle="1" w:styleId="underline">
    <w:name w:val="underline"/>
    <w:basedOn w:val="DefaultParagraphFont"/>
    <w:link w:val="textbold"/>
    <w:qFormat/>
    <w:rsid w:val="00633DCC"/>
    <w:rPr>
      <w:rFonts w:ascii="Times New Roman" w:hAnsi="Times New Roman"/>
      <w:sz w:val="20"/>
      <w:u w:val="single"/>
    </w:rPr>
  </w:style>
  <w:style w:type="paragraph" w:customStyle="1" w:styleId="textbold">
    <w:name w:val="text bold"/>
    <w:basedOn w:val="Normal"/>
    <w:link w:val="underline"/>
    <w:rsid w:val="00633DCC"/>
    <w:pPr>
      <w:ind w:left="720"/>
      <w:jc w:val="both"/>
    </w:pPr>
    <w:rPr>
      <w:rFonts w:ascii="Times New Roman" w:hAnsi="Times New Roman" w:cstheme="minorBidi"/>
      <w:sz w:val="20"/>
      <w:u w:val="single"/>
    </w:rPr>
  </w:style>
  <w:style w:type="character" w:customStyle="1" w:styleId="Emphasis2">
    <w:name w:val="Emphasis2"/>
    <w:basedOn w:val="DefaultParagraphFont"/>
    <w:rsid w:val="00633DCC"/>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st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Austen Yorko</dc:creator>
  <cp:keywords/>
  <dc:description/>
  <cp:lastModifiedBy>Austen Yorko</cp:lastModifiedBy>
  <cp:revision>2</cp:revision>
  <dcterms:created xsi:type="dcterms:W3CDTF">2013-09-21T17:30:00Z</dcterms:created>
  <dcterms:modified xsi:type="dcterms:W3CDTF">2013-09-21T17:32:00Z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