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C73BF" w:rsidP="00BC73BF">
      <w:pPr>
        <w:pStyle w:val="Heading2"/>
      </w:pPr>
      <w:bookmarkStart w:id="0" w:name="_GoBack"/>
      <w:bookmarkEnd w:id="0"/>
      <w:r>
        <w:t>2AC</w:t>
      </w:r>
    </w:p>
    <w:p w:rsidR="00BC73BF" w:rsidRDefault="00BC73BF" w:rsidP="00BC73BF">
      <w:pPr>
        <w:pStyle w:val="Heading3"/>
      </w:pPr>
      <w:r>
        <w:lastRenderedPageBreak/>
        <w:t>T-Increase</w:t>
      </w:r>
    </w:p>
    <w:p w:rsidR="00BC73BF" w:rsidRDefault="00BC73BF" w:rsidP="00BC73BF">
      <w:pPr>
        <w:pStyle w:val="Heading4"/>
        <w:rPr>
          <w:lang w:bidi="he-IL"/>
        </w:rPr>
      </w:pPr>
      <w:r>
        <w:rPr>
          <w:lang w:bidi="he-IL"/>
        </w:rPr>
        <w:t>War powers for detention are covered under the AUMF</w:t>
      </w:r>
    </w:p>
    <w:p w:rsidR="00BC73BF" w:rsidRPr="00482192" w:rsidRDefault="00BC73BF" w:rsidP="00BC73BF">
      <w:proofErr w:type="spellStart"/>
      <w:r w:rsidRPr="00482192">
        <w:rPr>
          <w:rStyle w:val="StyleStyleBold12pt"/>
        </w:rPr>
        <w:t>Elsea</w:t>
      </w:r>
      <w:proofErr w:type="spellEnd"/>
      <w:r w:rsidRPr="00482192">
        <w:rPr>
          <w:rStyle w:val="StyleStyleBold12pt"/>
        </w:rPr>
        <w:t xml:space="preserve"> 13</w:t>
      </w:r>
      <w:r w:rsidRPr="00482192">
        <w:t xml:space="preserve"> (Detention of U.S. Persons as Enemy Belligerents Jennifer K. </w:t>
      </w:r>
      <w:proofErr w:type="spellStart"/>
      <w:r w:rsidRPr="00482192">
        <w:t>Elsea</w:t>
      </w:r>
      <w:proofErr w:type="spellEnd"/>
      <w:r w:rsidRPr="00482192">
        <w:t xml:space="preserve"> Legislative Attorney July 25, 2013 www.fas.org/sgp/crs/natsec/R42337.pdf)</w:t>
      </w:r>
    </w:p>
    <w:p w:rsidR="00BC73BF" w:rsidRDefault="00BC73BF" w:rsidP="00BC73BF">
      <w:pPr>
        <w:autoSpaceDE w:val="0"/>
        <w:autoSpaceDN w:val="0"/>
        <w:adjustRightInd w:val="0"/>
        <w:rPr>
          <w:rFonts w:ascii="TimesNewRoman" w:hAnsi="TimesNewRoman" w:cs="TimesNewRoman"/>
          <w:lang w:bidi="he-IL"/>
        </w:rPr>
      </w:pPr>
    </w:p>
    <w:p w:rsidR="00BC73BF" w:rsidRPr="00D16468" w:rsidRDefault="00BC73BF" w:rsidP="00BC73BF">
      <w:pPr>
        <w:rPr>
          <w:rStyle w:val="StyleBoldUnderline"/>
        </w:rPr>
      </w:pPr>
      <w:r w:rsidRPr="00D16468">
        <w:rPr>
          <w:rStyle w:val="StyleBoldUnderline"/>
          <w:highlight w:val="green"/>
        </w:rPr>
        <w:t>The</w:t>
      </w:r>
      <w:r w:rsidRPr="00D16468">
        <w:rPr>
          <w:rStyle w:val="StyleBoldUnderline"/>
        </w:rPr>
        <w:t xml:space="preserve"> detainee </w:t>
      </w:r>
      <w:r w:rsidRPr="00D16468">
        <w:rPr>
          <w:rStyle w:val="StyleBoldUnderline"/>
          <w:highlight w:val="green"/>
        </w:rPr>
        <w:t>provisions passed</w:t>
      </w:r>
      <w:r w:rsidRPr="00D16468">
        <w:rPr>
          <w:highlight w:val="green"/>
        </w:rPr>
        <w:t xml:space="preserve"> </w:t>
      </w:r>
      <w:r w:rsidRPr="00D16468">
        <w:rPr>
          <w:rStyle w:val="StyleBoldUnderline"/>
          <w:highlight w:val="green"/>
        </w:rPr>
        <w:t>as part of the</w:t>
      </w:r>
      <w:r w:rsidRPr="00D16468">
        <w:rPr>
          <w:highlight w:val="green"/>
        </w:rPr>
        <w:t xml:space="preserve"> </w:t>
      </w:r>
      <w:r w:rsidRPr="00D16468">
        <w:rPr>
          <w:rStyle w:val="Emphasis"/>
          <w:highlight w:val="green"/>
        </w:rPr>
        <w:t>N</w:t>
      </w:r>
      <w:r w:rsidRPr="00482192">
        <w:t xml:space="preserve">ational </w:t>
      </w:r>
      <w:r w:rsidRPr="00D16468">
        <w:rPr>
          <w:rStyle w:val="Emphasis"/>
          <w:highlight w:val="green"/>
        </w:rPr>
        <w:t>D</w:t>
      </w:r>
      <w:r w:rsidRPr="00482192">
        <w:t xml:space="preserve">efense </w:t>
      </w:r>
      <w:r w:rsidRPr="00D16468">
        <w:rPr>
          <w:rStyle w:val="Emphasis"/>
          <w:highlight w:val="green"/>
        </w:rPr>
        <w:t>A</w:t>
      </w:r>
      <w:r w:rsidRPr="00482192">
        <w:t xml:space="preserve">uthorization </w:t>
      </w:r>
      <w:r w:rsidRPr="00D16468">
        <w:rPr>
          <w:rStyle w:val="Emphasis"/>
          <w:highlight w:val="green"/>
        </w:rPr>
        <w:t>A</w:t>
      </w:r>
      <w:r w:rsidRPr="00482192">
        <w:t xml:space="preserve">ct for FY2012 (2012 NDAA; P.L. 112-81), </w:t>
      </w:r>
      <w:r w:rsidRPr="00D16468">
        <w:rPr>
          <w:rStyle w:val="StyleBoldUnderline"/>
          <w:highlight w:val="green"/>
        </w:rPr>
        <w:t>affirm that the</w:t>
      </w:r>
      <w:r w:rsidRPr="00482192">
        <w:t xml:space="preserve"> Authorization for Use of Military Force </w:t>
      </w:r>
      <w:r w:rsidRPr="00D16468">
        <w:rPr>
          <w:rStyle w:val="Emphasis"/>
          <w:highlight w:val="green"/>
        </w:rPr>
        <w:t>(AUMF</w:t>
      </w:r>
      <w:r w:rsidRPr="00482192">
        <w:t xml:space="preserve">)1 in response to the terrorist attacks of September 11, 2001, </w:t>
      </w:r>
      <w:r w:rsidRPr="00D16468">
        <w:rPr>
          <w:rStyle w:val="StyleBoldUnderline"/>
          <w:highlight w:val="green"/>
        </w:rPr>
        <w:t>authorize</w:t>
      </w:r>
      <w:r w:rsidRPr="00D16468">
        <w:rPr>
          <w:rStyle w:val="StyleBoldUnderline"/>
        </w:rPr>
        <w:t xml:space="preserve"> the </w:t>
      </w:r>
      <w:r w:rsidRPr="00D16468">
        <w:rPr>
          <w:rStyle w:val="StyleBoldUnderline"/>
          <w:highlight w:val="green"/>
        </w:rPr>
        <w:t>detention of persons captured</w:t>
      </w:r>
      <w:r w:rsidRPr="00D16468">
        <w:rPr>
          <w:rStyle w:val="StyleBoldUnderline"/>
        </w:rPr>
        <w:t xml:space="preserve"> </w:t>
      </w:r>
      <w:r w:rsidRPr="00D16468">
        <w:rPr>
          <w:rStyle w:val="StyleBoldUnderline"/>
          <w:highlight w:val="green"/>
        </w:rPr>
        <w:t>in connection with hostilities</w:t>
      </w:r>
      <w:r w:rsidRPr="00D16468">
        <w:rPr>
          <w:highlight w:val="green"/>
        </w:rPr>
        <w:t xml:space="preserve">. </w:t>
      </w:r>
      <w:r w:rsidRPr="00D16468">
        <w:rPr>
          <w:rStyle w:val="StyleBoldUnderline"/>
          <w:highlight w:val="green"/>
        </w:rPr>
        <w:t>The act provides</w:t>
      </w:r>
      <w:r w:rsidRPr="00D16468">
        <w:rPr>
          <w:rStyle w:val="StyleBoldUnderline"/>
        </w:rPr>
        <w:t xml:space="preserve"> for the first time </w:t>
      </w:r>
      <w:r w:rsidRPr="00D16468">
        <w:rPr>
          <w:rStyle w:val="StyleBoldUnderline"/>
          <w:highlight w:val="green"/>
        </w:rPr>
        <w:t xml:space="preserve">a </w:t>
      </w:r>
      <w:r w:rsidRPr="00D16468">
        <w:rPr>
          <w:rStyle w:val="Emphasis"/>
          <w:highlight w:val="green"/>
        </w:rPr>
        <w:t>statutory definition</w:t>
      </w:r>
      <w:r w:rsidRPr="00D16468">
        <w:rPr>
          <w:rStyle w:val="StyleBoldUnderline"/>
          <w:highlight w:val="green"/>
        </w:rPr>
        <w:t xml:space="preserve"> of </w:t>
      </w:r>
      <w:r w:rsidRPr="00D16468">
        <w:rPr>
          <w:rStyle w:val="Emphasis"/>
          <w:highlight w:val="green"/>
        </w:rPr>
        <w:t xml:space="preserve">covered persons </w:t>
      </w:r>
      <w:r w:rsidRPr="00D16468">
        <w:rPr>
          <w:rStyle w:val="StyleBoldUnderline"/>
          <w:highlight w:val="green"/>
        </w:rPr>
        <w:t xml:space="preserve">whose </w:t>
      </w:r>
      <w:r w:rsidRPr="00D16468">
        <w:rPr>
          <w:rStyle w:val="Emphasis"/>
          <w:highlight w:val="green"/>
        </w:rPr>
        <w:t>detention is authorized</w:t>
      </w:r>
      <w:r w:rsidRPr="00D16468">
        <w:rPr>
          <w:rStyle w:val="StyleBoldUnderline"/>
        </w:rPr>
        <w:t xml:space="preserve"> pursuant to the AUMF</w:t>
      </w:r>
      <w:r w:rsidRPr="00482192">
        <w:t xml:space="preserve">.2 During consideration of the detention provision, much of the debate focused on the applicability of this detention authority to U.S. citizens and other persons within the United States.3 </w:t>
      </w:r>
      <w:r w:rsidRPr="00D16468">
        <w:rPr>
          <w:rStyle w:val="StyleBoldUnderline"/>
        </w:rPr>
        <w:t>Congress ultimately adopted a Senate amendment to clarify that the provision is not intended to affect</w:t>
      </w:r>
      <w:r w:rsidRPr="00482192">
        <w:t xml:space="preserve"> any existing law or </w:t>
      </w:r>
      <w:r w:rsidRPr="00D16468">
        <w:rPr>
          <w:rStyle w:val="StyleBoldUnderline"/>
        </w:rPr>
        <w:t xml:space="preserve">authorities relating to the </w:t>
      </w:r>
      <w:r w:rsidRPr="00D16468">
        <w:rPr>
          <w:rStyle w:val="Emphasis"/>
        </w:rPr>
        <w:t>detention of U.S. citizens</w:t>
      </w:r>
      <w:r w:rsidRPr="00482192">
        <w:t xml:space="preserve"> </w:t>
      </w:r>
      <w:r w:rsidRPr="00D16468">
        <w:rPr>
          <w:rStyle w:val="StyleBoldUnderline"/>
        </w:rPr>
        <w:t xml:space="preserve">or </w:t>
      </w:r>
      <w:r w:rsidRPr="00D16468">
        <w:rPr>
          <w:rStyle w:val="Emphasis"/>
        </w:rPr>
        <w:t>lawful resident aliens</w:t>
      </w:r>
      <w:r w:rsidRPr="00D16468">
        <w:rPr>
          <w:rStyle w:val="StyleBoldUnderline"/>
        </w:rPr>
        <w:t>, or any other persons captured or arrested in the United States</w:t>
      </w:r>
      <w:r w:rsidRPr="00482192">
        <w:t xml:space="preserve">.4 </w:t>
      </w:r>
      <w:r w:rsidRPr="00D16468">
        <w:rPr>
          <w:rStyle w:val="StyleBoldUnderline"/>
        </w:rPr>
        <w:t xml:space="preserve">This report analyzes </w:t>
      </w:r>
      <w:r w:rsidRPr="00D16468">
        <w:rPr>
          <w:rStyle w:val="StyleBoldUnderline"/>
          <w:highlight w:val="green"/>
        </w:rPr>
        <w:t xml:space="preserve">the existing law and authority to detain, as </w:t>
      </w:r>
      <w:r w:rsidRPr="00D16468">
        <w:rPr>
          <w:rStyle w:val="Emphasis"/>
          <w:highlight w:val="green"/>
        </w:rPr>
        <w:t>“enemy combatants</w:t>
      </w:r>
      <w:r w:rsidRPr="00D16468">
        <w:rPr>
          <w:rStyle w:val="StyleBoldUnderline"/>
        </w:rPr>
        <w:t>,</w:t>
      </w:r>
      <w:r w:rsidRPr="00482192">
        <w:t xml:space="preserve">”5 U.S. persons, </w:t>
      </w:r>
      <w:r w:rsidRPr="00D16468">
        <w:rPr>
          <w:rStyle w:val="StyleBoldUnderline"/>
        </w:rPr>
        <w:t>which,</w:t>
      </w:r>
      <w:r w:rsidRPr="00482192">
        <w:t xml:space="preserve"> for the purpose of this report </w:t>
      </w:r>
      <w:r w:rsidRPr="00D16468">
        <w:rPr>
          <w:rStyle w:val="StyleBoldUnderline"/>
          <w:highlight w:val="green"/>
        </w:rPr>
        <w:t>means persons</w:t>
      </w:r>
      <w:r w:rsidRPr="00D16468">
        <w:rPr>
          <w:rStyle w:val="StyleBoldUnderline"/>
        </w:rPr>
        <w:t xml:space="preserve"> who are generally understood to be subject to U.S. territorial jurisdiction or otherwise </w:t>
      </w:r>
      <w:r w:rsidRPr="00D16468">
        <w:rPr>
          <w:rStyle w:val="StyleBoldUnderline"/>
          <w:highlight w:val="green"/>
        </w:rPr>
        <w:t xml:space="preserve">entitled to constitutional protections; that is, </w:t>
      </w:r>
      <w:r w:rsidRPr="00D16468">
        <w:rPr>
          <w:rStyle w:val="Emphasis"/>
          <w:highlight w:val="green"/>
        </w:rPr>
        <w:t>American citizens</w:t>
      </w:r>
      <w:r w:rsidRPr="00D16468">
        <w:rPr>
          <w:rStyle w:val="StyleBoldUnderline"/>
          <w:highlight w:val="green"/>
        </w:rPr>
        <w:t xml:space="preserve">, </w:t>
      </w:r>
      <w:r w:rsidRPr="00D16468">
        <w:rPr>
          <w:rStyle w:val="Emphasis"/>
          <w:highlight w:val="green"/>
        </w:rPr>
        <w:t>resident aliens</w:t>
      </w:r>
      <w:r w:rsidRPr="00D16468">
        <w:rPr>
          <w:rStyle w:val="StyleBoldUnderline"/>
          <w:highlight w:val="green"/>
        </w:rPr>
        <w:t xml:space="preserve">, and </w:t>
      </w:r>
      <w:r w:rsidRPr="00D16468">
        <w:rPr>
          <w:rStyle w:val="Emphasis"/>
          <w:highlight w:val="green"/>
        </w:rPr>
        <w:t>other persons within the United States</w:t>
      </w:r>
      <w:r w:rsidRPr="00D16468">
        <w:rPr>
          <w:rStyle w:val="StyleBoldUnderline"/>
        </w:rPr>
        <w:t>.</w:t>
      </w:r>
    </w:p>
    <w:p w:rsidR="00BC73BF" w:rsidRDefault="00BC73BF" w:rsidP="00BC73BF"/>
    <w:p w:rsidR="00BC73BF" w:rsidRDefault="00BC73BF" w:rsidP="00BC73BF">
      <w:pPr>
        <w:pStyle w:val="Heading3"/>
      </w:pPr>
      <w:r>
        <w:lastRenderedPageBreak/>
        <w:t xml:space="preserve">Circumvention </w:t>
      </w:r>
    </w:p>
    <w:p w:rsidR="00BC73BF" w:rsidRPr="00453EA1" w:rsidRDefault="00BC73BF" w:rsidP="00BC73BF">
      <w:pPr>
        <w:pStyle w:val="Heading4"/>
        <w:numPr>
          <w:ilvl w:val="0"/>
          <w:numId w:val="3"/>
        </w:numPr>
      </w:pPr>
      <w:r w:rsidRPr="00453EA1">
        <w:t>Circumvention happens because of a lack of a clear statement – Plan solves</w:t>
      </w:r>
    </w:p>
    <w:p w:rsidR="00BC73BF" w:rsidRPr="004D3907" w:rsidRDefault="00BC73BF" w:rsidP="00BC73BF">
      <w:pPr>
        <w:rPr>
          <w:rStyle w:val="StyleStyleBold12pt"/>
          <w:b w:val="0"/>
          <w:bCs w:val="0"/>
        </w:rPr>
      </w:pPr>
      <w:r w:rsidRPr="00AC617A">
        <w:rPr>
          <w:rStyle w:val="StyleStyleBold12pt"/>
        </w:rPr>
        <w:t>Meltzer 8</w:t>
      </w:r>
      <w:r>
        <w:t xml:space="preserve"> – Law prof @ Harvard (Daniel J, “Habeas Corpus, Suspension, and Guantánamo: The </w:t>
      </w:r>
      <w:proofErr w:type="spellStart"/>
      <w:r>
        <w:t>Boumediene</w:t>
      </w:r>
      <w:proofErr w:type="spellEnd"/>
      <w:r>
        <w:t xml:space="preserve"> Decision,” The Supreme Court Review, </w:t>
      </w:r>
      <w:proofErr w:type="spellStart"/>
      <w:r>
        <w:t>Vol</w:t>
      </w:r>
      <w:proofErr w:type="spellEnd"/>
      <w:r>
        <w:t xml:space="preserve"> 2008, No. 1, University of Chicago Press) 9/19/13 *MCA = Military Commissions Act of 2006</w:t>
      </w:r>
    </w:p>
    <w:p w:rsidR="00BC73BF" w:rsidRPr="004D3907" w:rsidRDefault="00BC73BF" w:rsidP="00BC73BF">
      <w:pPr>
        <w:rPr>
          <w:sz w:val="16"/>
        </w:rPr>
      </w:pPr>
      <w:r w:rsidRPr="004D3907">
        <w:rPr>
          <w:rStyle w:val="StyleStyleBold12pt"/>
          <w:sz w:val="16"/>
        </w:rPr>
        <w:t xml:space="preserve">That was the state of play on the meaning of the Suspension Clause prior to </w:t>
      </w:r>
      <w:proofErr w:type="spellStart"/>
      <w:r w:rsidRPr="004D3907">
        <w:rPr>
          <w:rStyle w:val="StyleStyleBold12pt"/>
          <w:sz w:val="16"/>
        </w:rPr>
        <w:t>Boumediene</w:t>
      </w:r>
      <w:proofErr w:type="spellEnd"/>
      <w:r w:rsidRPr="004D3907">
        <w:rPr>
          <w:rStyle w:val="StyleStyleBold12pt"/>
          <w:sz w:val="16"/>
        </w:rPr>
        <w:t>. Justice Kennedy’s opinion for the Court essentially took the constitutional reasoning that had informed the statutory construction in St. Cyr and transformed it into a constitutional holding—</w:t>
      </w:r>
      <w:r w:rsidRPr="004D3907">
        <w:rPr>
          <w:rStyle w:val="StyleBoldUnderline"/>
        </w:rPr>
        <w:t xml:space="preserve">that </w:t>
      </w:r>
      <w:r w:rsidRPr="00D8670D">
        <w:rPr>
          <w:rStyle w:val="StyleBoldUnderline"/>
          <w:highlight w:val="yellow"/>
        </w:rPr>
        <w:t>the Suspension Clause affirmatively confers a right to habeas corpus review</w:t>
      </w:r>
      <w:r w:rsidRPr="004D3907">
        <w:rPr>
          <w:rStyle w:val="StyleStyleBold12pt"/>
          <w:sz w:val="16"/>
        </w:rPr>
        <w:t xml:space="preserve"> and that, accordingly, the preclusion of habeas jurisdiction in § 7 of the MCA is unconstitutional. Many issues in the </w:t>
      </w:r>
      <w:proofErr w:type="spellStart"/>
      <w:r w:rsidRPr="004D3907">
        <w:rPr>
          <w:rStyle w:val="StyleStyleBold12pt"/>
          <w:sz w:val="16"/>
        </w:rPr>
        <w:t>Boumediene</w:t>
      </w:r>
      <w:proofErr w:type="spellEnd"/>
      <w:r w:rsidRPr="004D3907">
        <w:rPr>
          <w:rStyle w:val="StyleStyleBold12pt"/>
          <w:sz w:val="16"/>
        </w:rPr>
        <w:t xml:space="preserve"> case were the subject of dispute between majority and dissent, but unlike in St. Cyr, </w:t>
      </w:r>
      <w:r w:rsidRPr="004D3907">
        <w:rPr>
          <w:rStyle w:val="StyleBoldUnderline"/>
        </w:rPr>
        <w:t xml:space="preserve">none of the dissenters in </w:t>
      </w:r>
      <w:proofErr w:type="spellStart"/>
      <w:r w:rsidRPr="004D3907">
        <w:rPr>
          <w:rStyle w:val="StyleBoldUnderline"/>
        </w:rPr>
        <w:t>Boumediene</w:t>
      </w:r>
      <w:proofErr w:type="spellEnd"/>
      <w:r w:rsidRPr="004D3907">
        <w:rPr>
          <w:rStyle w:val="StyleBoldUnderline"/>
        </w:rPr>
        <w:t xml:space="preserve"> objected that the Suspension Clause simply was not implicated if Congress permanently withdrew habeas jurisdiction over a particular set of cases</w:t>
      </w:r>
      <w:r w:rsidRPr="004D3907">
        <w:rPr>
          <w:rStyle w:val="StyleStyleBold12pt"/>
          <w:sz w:val="16"/>
        </w:rPr>
        <w:t xml:space="preserve">. To be sure, because the dissenters thought that, for other reasons, there was no violation of the Suspension Clause in any event, that was not a point on which they were obliged to take issue. But </w:t>
      </w:r>
      <w:r w:rsidRPr="004D3907">
        <w:rPr>
          <w:rStyle w:val="StyleBoldUnderline"/>
        </w:rPr>
        <w:t>the way that they phrased their conclusions is</w:t>
      </w:r>
      <w:r w:rsidRPr="004D3907">
        <w:rPr>
          <w:rStyle w:val="StyleStyleBold12pt"/>
          <w:sz w:val="16"/>
        </w:rPr>
        <w:t xml:space="preserve"> nonetheless </w:t>
      </w:r>
      <w:r w:rsidRPr="004D3907">
        <w:rPr>
          <w:rStyle w:val="StyleBoldUnderline"/>
        </w:rPr>
        <w:t>suggestive</w:t>
      </w:r>
      <w:r w:rsidRPr="004D3907">
        <w:rPr>
          <w:rStyle w:val="StyleStyleBold12pt"/>
          <w:sz w:val="16"/>
        </w:rPr>
        <w:t xml:space="preserve">: Justice </w:t>
      </w:r>
      <w:r w:rsidRPr="004D3907">
        <w:rPr>
          <w:rStyle w:val="StyleBoldUnderline"/>
        </w:rPr>
        <w:t>Scalia said “[</w:t>
      </w:r>
      <w:r w:rsidRPr="00D8670D">
        <w:rPr>
          <w:rStyle w:val="StyleBoldUnderline"/>
          <w:highlight w:val="yellow"/>
        </w:rPr>
        <w:t>t]he writ as preserved in the Constitution would not possibly extend farther than the common law</w:t>
      </w:r>
      <w:r w:rsidRPr="004D3907">
        <w:rPr>
          <w:rStyle w:val="StyleBoldUnderline"/>
        </w:rPr>
        <w:t xml:space="preserve"> provided when that Clause was written,”</w:t>
      </w:r>
      <w:r w:rsidRPr="004D3907">
        <w:rPr>
          <w:rStyle w:val="StyleStyleBold12pt"/>
          <w:sz w:val="16"/>
        </w:rPr>
        <w:t xml:space="preserve">67 </w:t>
      </w:r>
      <w:r w:rsidRPr="004D3907">
        <w:rPr>
          <w:rStyle w:val="StyleBoldUnderline"/>
        </w:rPr>
        <w:t>while</w:t>
      </w:r>
      <w:r w:rsidRPr="004D3907">
        <w:rPr>
          <w:rStyle w:val="StyleStyleBold12pt"/>
          <w:sz w:val="16"/>
        </w:rPr>
        <w:t xml:space="preserve"> Chief Justice </w:t>
      </w:r>
      <w:r w:rsidRPr="004D3907">
        <w:rPr>
          <w:rStyle w:val="StyleBoldUnderline"/>
        </w:rPr>
        <w:t>Roberts acknowledged</w:t>
      </w:r>
      <w:r w:rsidRPr="004D3907">
        <w:rPr>
          <w:rStyle w:val="StyleStyleBold12pt"/>
          <w:sz w:val="16"/>
        </w:rPr>
        <w:t xml:space="preserve"> the holding in St. Cyr that as an absolute minimum, </w:t>
      </w:r>
      <w:r w:rsidRPr="004D3907">
        <w:rPr>
          <w:rStyle w:val="StyleBoldUnderline"/>
        </w:rPr>
        <w:t>the Suspension Clause protects the writ</w:t>
      </w:r>
      <w:r w:rsidRPr="004D3907">
        <w:rPr>
          <w:rStyle w:val="StyleStyleBold12pt"/>
          <w:sz w:val="16"/>
        </w:rPr>
        <w:t xml:space="preserve"> as it existed in 1789.68</w:t>
      </w:r>
      <w:r w:rsidRPr="004D3907">
        <w:rPr>
          <w:rStyle w:val="StyleStyleBold12pt"/>
          <w:sz w:val="12"/>
        </w:rPr>
        <w:t>¶</w:t>
      </w:r>
      <w:r w:rsidRPr="004D3907">
        <w:rPr>
          <w:rStyle w:val="StyleStyleBold12pt"/>
          <w:sz w:val="16"/>
        </w:rPr>
        <w:t xml:space="preserve"> Much of the attention to the </w:t>
      </w:r>
      <w:proofErr w:type="spellStart"/>
      <w:r w:rsidRPr="004D3907">
        <w:rPr>
          <w:rStyle w:val="StyleStyleBold12pt"/>
          <w:sz w:val="16"/>
        </w:rPr>
        <w:t>Boumediene</w:t>
      </w:r>
      <w:proofErr w:type="spellEnd"/>
      <w:r w:rsidRPr="004D3907">
        <w:rPr>
          <w:rStyle w:val="StyleStyleBold12pt"/>
          <w:sz w:val="16"/>
        </w:rPr>
        <w:t xml:space="preserve"> decision has focused on the points on which the dissenters did take issue—the scope of the writ along various dimensions, as well as broader questions about the relationship of the courts to the political branches in matters relating to national security. As a result, </w:t>
      </w:r>
      <w:r w:rsidRPr="00DE572D">
        <w:rPr>
          <w:rStyle w:val="StyleBoldUnderline"/>
          <w:highlight w:val="yellow"/>
        </w:rPr>
        <w:t>the Court’s holding</w:t>
      </w:r>
      <w:r w:rsidRPr="004D3907">
        <w:rPr>
          <w:rStyle w:val="StyleBoldUnderline"/>
        </w:rPr>
        <w:t xml:space="preserve"> that the Suspension Clause confers </w:t>
      </w:r>
      <w:r w:rsidRPr="00DE572D">
        <w:rPr>
          <w:rStyle w:val="StyleBoldUnderline"/>
          <w:highlight w:val="yellow"/>
        </w:rPr>
        <w:t>an affirmative right to habeas</w:t>
      </w:r>
      <w:r w:rsidRPr="004D3907">
        <w:rPr>
          <w:rStyle w:val="StyleBoldUnderline"/>
        </w:rPr>
        <w:t xml:space="preserve"> relief </w:t>
      </w:r>
      <w:r w:rsidRPr="00DE572D">
        <w:rPr>
          <w:rStyle w:val="StyleBoldUnderline"/>
          <w:highlight w:val="yellow"/>
        </w:rPr>
        <w:t>has not received the attention</w:t>
      </w:r>
      <w:r w:rsidRPr="004D3907">
        <w:rPr>
          <w:rStyle w:val="StyleStyleBold12pt"/>
          <w:sz w:val="16"/>
        </w:rPr>
        <w:t xml:space="preserve"> </w:t>
      </w:r>
      <w:r w:rsidRPr="004D3907">
        <w:rPr>
          <w:sz w:val="16"/>
        </w:rPr>
        <w:t xml:space="preserve">that </w:t>
      </w:r>
      <w:r w:rsidRPr="00DE572D">
        <w:rPr>
          <w:rStyle w:val="StyleBoldUnderline"/>
          <w:highlight w:val="yellow"/>
        </w:rPr>
        <w:t>it deserves</w:t>
      </w:r>
      <w:r w:rsidRPr="004D3907">
        <w:rPr>
          <w:rStyle w:val="StyleStyleBold12pt"/>
          <w:sz w:val="16"/>
        </w:rPr>
        <w:t xml:space="preserve">. That holding is not, of course, a surprise in light of St. Cyr. </w:t>
      </w:r>
      <w:r w:rsidRPr="004D3907">
        <w:rPr>
          <w:rStyle w:val="StyleBoldUnderline"/>
        </w:rPr>
        <w:t>But the puzzle of how to construe the unusual guarantee found in the Suspension Clause</w:t>
      </w:r>
      <w:r w:rsidRPr="004D3907">
        <w:rPr>
          <w:rStyle w:val="StyleStyleBold12pt"/>
          <w:sz w:val="16"/>
        </w:rPr>
        <w:t xml:space="preserve"> had been the subject of considerable debate and </w:t>
      </w:r>
      <w:r w:rsidRPr="004D3907">
        <w:rPr>
          <w:rStyle w:val="StyleBoldUnderline"/>
        </w:rPr>
        <w:t>had not received an authoritative answer for more than two centuries</w:t>
      </w:r>
      <w:r w:rsidRPr="004D3907">
        <w:rPr>
          <w:rStyle w:val="StyleStyleBold12pt"/>
          <w:sz w:val="16"/>
        </w:rPr>
        <w:t xml:space="preserve"> into our nation’s history.</w:t>
      </w:r>
      <w:r w:rsidRPr="004D3907">
        <w:rPr>
          <w:rStyle w:val="StyleStyleBold12pt"/>
          <w:sz w:val="12"/>
        </w:rPr>
        <w:t>¶</w:t>
      </w:r>
      <w:r w:rsidRPr="004D3907">
        <w:rPr>
          <w:rStyle w:val="StyleStyleBold12pt"/>
          <w:sz w:val="16"/>
        </w:rPr>
        <w:t xml:space="preserve"> But even on that understanding, a subtler question remained: If the Founders presupposed that the writ would be available, in what courts would it be available? Some have argued that if federal courts have only that jurisdiction (including habeas jurisdiction) given them by Congress, then the Constitution cannot guarantee the right of access to a federal court, for habeas corpus or any other purpose. In a general version of this argument, Henry Hart famously contended both that it is a premise of the Constitution that some court must be open to hear a claim that the Constitution entitles a litigant to judicial redress and that, given the </w:t>
      </w:r>
      <w:proofErr w:type="spellStart"/>
      <w:r w:rsidRPr="004D3907">
        <w:rPr>
          <w:rStyle w:val="StyleStyleBold12pt"/>
          <w:sz w:val="16"/>
        </w:rPr>
        <w:t>Madisonian</w:t>
      </w:r>
      <w:proofErr w:type="spellEnd"/>
      <w:r w:rsidRPr="004D3907">
        <w:rPr>
          <w:rStyle w:val="StyleStyleBold12pt"/>
          <w:sz w:val="16"/>
        </w:rPr>
        <w:t xml:space="preserve"> Compromise, the state courts, which are courts of general jurisdiction, are the ultimate guardians of constitutional rights.69 In the more specific context of habeas corpus, this view suggests that the Suspension Clause, rather than guaranteeing federal court habeas corpus jurisdiction, instead restricts the power of Congress to interfere with state court habeas jurisdiction.70 William </w:t>
      </w:r>
      <w:proofErr w:type="spellStart"/>
      <w:r w:rsidRPr="004D3907">
        <w:rPr>
          <w:rStyle w:val="StyleStyleBold12pt"/>
          <w:sz w:val="16"/>
        </w:rPr>
        <w:t>Duker</w:t>
      </w:r>
      <w:proofErr w:type="spellEnd"/>
      <w:r w:rsidRPr="004D3907">
        <w:rPr>
          <w:rStyle w:val="StyleStyleBold12pt"/>
          <w:sz w:val="16"/>
        </w:rPr>
        <w:t>, who has advocated this position, notes among other things that the Clause appears in Article I, Section 9, other provisions of which also limit Congress’s power vis‐à‐vis the states.71</w:t>
      </w:r>
      <w:r w:rsidRPr="004D3907">
        <w:rPr>
          <w:rStyle w:val="StyleStyleBold12pt"/>
          <w:sz w:val="12"/>
        </w:rPr>
        <w:t>¶</w:t>
      </w:r>
      <w:r w:rsidRPr="004D3907">
        <w:rPr>
          <w:rStyle w:val="StyleStyleBold12pt"/>
          <w:sz w:val="16"/>
        </w:rPr>
        <w:t xml:space="preserve"> In </w:t>
      </w:r>
      <w:proofErr w:type="spellStart"/>
      <w:r w:rsidRPr="004D3907">
        <w:rPr>
          <w:rStyle w:val="StyleStyleBold12pt"/>
          <w:sz w:val="16"/>
        </w:rPr>
        <w:t>Boumediene</w:t>
      </w:r>
      <w:proofErr w:type="spellEnd"/>
      <w:r w:rsidRPr="004D3907">
        <w:rPr>
          <w:rStyle w:val="StyleStyleBold12pt"/>
          <w:sz w:val="16"/>
        </w:rPr>
        <w:t xml:space="preserve">, the Court appears to have passed entirely over this set of questions, simply assuming that if the congressional regime denied the detainees a constitutionally guaranteed right of access to habeas review, that constitutionally required review should be undertaken in federal court.72 But even accepting Hart’s general position—a position that, at least among commentators, is anything but uncontroversial,73 and that poses special challenges in the unusual context of extraterritorial detention74—the Court’s assumption seems to be well grounded. First, the decisions in </w:t>
      </w:r>
      <w:proofErr w:type="spellStart"/>
      <w:r w:rsidRPr="004D3907">
        <w:rPr>
          <w:rStyle w:val="StyleStyleBold12pt"/>
          <w:sz w:val="16"/>
        </w:rPr>
        <w:t>Ableman</w:t>
      </w:r>
      <w:proofErr w:type="spellEnd"/>
      <w:r w:rsidRPr="004D3907">
        <w:rPr>
          <w:rStyle w:val="StyleStyleBold12pt"/>
          <w:sz w:val="16"/>
        </w:rPr>
        <w:t xml:space="preserve"> v Booth75 and particularly in </w:t>
      </w:r>
      <w:proofErr w:type="spellStart"/>
      <w:r w:rsidRPr="004D3907">
        <w:rPr>
          <w:rStyle w:val="StyleStyleBold12pt"/>
          <w:sz w:val="16"/>
        </w:rPr>
        <w:t>Tarble’s</w:t>
      </w:r>
      <w:proofErr w:type="spellEnd"/>
      <w:r w:rsidRPr="004D3907">
        <w:rPr>
          <w:rStyle w:val="StyleStyleBold12pt"/>
          <w:sz w:val="16"/>
        </w:rPr>
        <w:t xml:space="preserve"> Case</w:t>
      </w:r>
      <w:proofErr w:type="gramStart"/>
      <w:r w:rsidRPr="004D3907">
        <w:rPr>
          <w:rStyle w:val="StyleStyleBold12pt"/>
          <w:sz w:val="16"/>
        </w:rPr>
        <w:t>,76</w:t>
      </w:r>
      <w:proofErr w:type="gramEnd"/>
      <w:r w:rsidRPr="004D3907">
        <w:rPr>
          <w:rStyle w:val="StyleStyleBold12pt"/>
          <w:sz w:val="16"/>
        </w:rPr>
        <w:t xml:space="preserve"> much criticized77 but never overruled, at the very least cast doubt upon the constitutional power of the state courts to issue habeas relief against federal custodians. Second, even if those decisions are read more narrowly as resting on an implied congressional preclusion of jurisdiction rather than on the state courts’ lack of constitutional power,78 the </w:t>
      </w:r>
      <w:proofErr w:type="spellStart"/>
      <w:r w:rsidRPr="004D3907">
        <w:rPr>
          <w:rStyle w:val="StyleStyleBold12pt"/>
          <w:sz w:val="16"/>
        </w:rPr>
        <w:t>Boumediene</w:t>
      </w:r>
      <w:proofErr w:type="spellEnd"/>
      <w:r w:rsidRPr="004D3907">
        <w:rPr>
          <w:rStyle w:val="StyleStyleBold12pt"/>
          <w:sz w:val="16"/>
        </w:rPr>
        <w:t xml:space="preserve"> Court’s assumption that any constitutionally required relief should be provided in federal court still rests on solid ground. Assume that access to either federal court or state court would suffice to provide the constitutionally required review. Section 7 of the Military Commissions Act, in precluding all courts (other than the D.C. Circuit operating under the DTA) from exercising habeas or any other jurisdiction, could be viewed as having two </w:t>
      </w:r>
      <w:proofErr w:type="spellStart"/>
      <w:r w:rsidRPr="004D3907">
        <w:rPr>
          <w:rStyle w:val="StyleStyleBold12pt"/>
          <w:sz w:val="16"/>
        </w:rPr>
        <w:t>subrules</w:t>
      </w:r>
      <w:proofErr w:type="spellEnd"/>
      <w:r w:rsidRPr="004D3907">
        <w:rPr>
          <w:rStyle w:val="StyleStyleBold12pt"/>
          <w:sz w:val="16"/>
        </w:rPr>
        <w:t xml:space="preserve">: (1) no federal court shall exercise such jurisdiction, and (2) no state court shall exercise such jurisdiction.79 On the assumption that constitutionally adequate redress could be provided by either a federal or a state court, either </w:t>
      </w:r>
      <w:proofErr w:type="spellStart"/>
      <w:r w:rsidRPr="004D3907">
        <w:rPr>
          <w:rStyle w:val="StyleStyleBold12pt"/>
          <w:sz w:val="16"/>
        </w:rPr>
        <w:t>subrule</w:t>
      </w:r>
      <w:proofErr w:type="spellEnd"/>
      <w:r w:rsidRPr="004D3907">
        <w:rPr>
          <w:rStyle w:val="StyleStyleBold12pt"/>
          <w:sz w:val="16"/>
        </w:rPr>
        <w:t xml:space="preserve"> would be valid without the other. The issue then becomes a matter of statutory severability: if Congress could not constitutionally satisfy its first‐order preference of precluding all review outside of the DTA, what second‐order preference should the Court ascribe to Congress: eliminating the barrier to federal court jurisdiction or the barrier to state court jurisdiction</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4D3907">
        <w:rPr>
          <w:rStyle w:val="StyleBoldUnderline"/>
        </w:rPr>
        <w:t>The Court’s unstated assumption that it was the barrier to federal court jurisdiction</w:t>
      </w:r>
      <w:r w:rsidRPr="004D3907">
        <w:rPr>
          <w:rStyle w:val="StyleStyleBold12pt"/>
          <w:sz w:val="16"/>
        </w:rPr>
        <w:t xml:space="preserve"> that should fall </w:t>
      </w:r>
      <w:r w:rsidRPr="004D3907">
        <w:rPr>
          <w:rStyle w:val="StyleBoldUnderline"/>
        </w:rPr>
        <w:t>is entirely sound</w:t>
      </w:r>
      <w:r w:rsidRPr="004D3907">
        <w:rPr>
          <w:rStyle w:val="StyleStyleBold12pt"/>
          <w:sz w:val="16"/>
        </w:rPr>
        <w:t xml:space="preserve">. To be sure, the Founders might not have shared that assumption; some have argued that they expected habeas jurisdiction to be exercised by the state courts,80 and indeed that the Suspension Clause presupposed rather than guaranteed the writ because of the unquestioned power of the state courts to issue it.81 </w:t>
      </w:r>
      <w:r w:rsidRPr="004D3907">
        <w:rPr>
          <w:rStyle w:val="StyleBoldUnderline"/>
        </w:rPr>
        <w:t>But here</w:t>
      </w:r>
      <w:r w:rsidRPr="004D3907">
        <w:rPr>
          <w:rStyle w:val="StyleStyleBold12pt"/>
          <w:sz w:val="16"/>
        </w:rPr>
        <w:t xml:space="preserve"> the decisions in </w:t>
      </w:r>
      <w:proofErr w:type="spellStart"/>
      <w:r w:rsidRPr="004D3907">
        <w:rPr>
          <w:rStyle w:val="StyleStyleBold12pt"/>
          <w:sz w:val="16"/>
        </w:rPr>
        <w:t>Ableman</w:t>
      </w:r>
      <w:proofErr w:type="spellEnd"/>
      <w:r w:rsidRPr="004D3907">
        <w:rPr>
          <w:rStyle w:val="StyleStyleBold12pt"/>
          <w:sz w:val="16"/>
        </w:rPr>
        <w:t xml:space="preserve"> v Booth and </w:t>
      </w:r>
      <w:proofErr w:type="spellStart"/>
      <w:r w:rsidRPr="004D3907">
        <w:rPr>
          <w:rStyle w:val="StyleStyleBold12pt"/>
          <w:sz w:val="16"/>
        </w:rPr>
        <w:t>Tarble’s</w:t>
      </w:r>
      <w:proofErr w:type="spellEnd"/>
      <w:r w:rsidRPr="004D3907">
        <w:rPr>
          <w:rStyle w:val="StyleStyleBold12pt"/>
          <w:sz w:val="16"/>
        </w:rPr>
        <w:t xml:space="preserve"> Case become relevant insofar as </w:t>
      </w:r>
      <w:r w:rsidRPr="004D3907">
        <w:rPr>
          <w:rStyle w:val="StyleBoldUnderline"/>
        </w:rPr>
        <w:t>they recognize a concern,</w:t>
      </w:r>
      <w:r w:rsidRPr="004D3907">
        <w:rPr>
          <w:rStyle w:val="StyleStyleBold12pt"/>
          <w:sz w:val="16"/>
        </w:rPr>
        <w:t xml:space="preserve"> born of experience rather than constitutional </w:t>
      </w:r>
      <w:proofErr w:type="spellStart"/>
      <w:r w:rsidRPr="004D3907">
        <w:rPr>
          <w:rStyle w:val="StyleStyleBold12pt"/>
          <w:sz w:val="16"/>
        </w:rPr>
        <w:t>originalism</w:t>
      </w:r>
      <w:proofErr w:type="spellEnd"/>
      <w:r w:rsidRPr="004D3907">
        <w:rPr>
          <w:rStyle w:val="StyleStyleBold12pt"/>
          <w:sz w:val="16"/>
        </w:rPr>
        <w:t xml:space="preserve">, </w:t>
      </w:r>
      <w:r w:rsidRPr="004D3907">
        <w:rPr>
          <w:rStyle w:val="StyleBoldUnderline"/>
        </w:rPr>
        <w:t xml:space="preserve">about the appropriateness of state court control of federal official action. That concern is also recognized by the </w:t>
      </w:r>
      <w:r w:rsidRPr="004D3907">
        <w:rPr>
          <w:rStyle w:val="StyleStyleBold12pt"/>
          <w:sz w:val="16"/>
        </w:rPr>
        <w:t xml:space="preserve">broad provision of </w:t>
      </w:r>
      <w:r w:rsidRPr="004D3907">
        <w:rPr>
          <w:rStyle w:val="StyleBoldUnderline"/>
        </w:rPr>
        <w:t>removal jurisdiction</w:t>
      </w:r>
      <w:r w:rsidRPr="004D3907">
        <w:rPr>
          <w:rStyle w:val="StyleStyleBold12pt"/>
          <w:sz w:val="16"/>
        </w:rPr>
        <w:t xml:space="preserve"> in 28 USC § 1442, </w:t>
      </w:r>
      <w:r w:rsidRPr="004D3907">
        <w:rPr>
          <w:rStyle w:val="StyleBoldUnderline"/>
        </w:rPr>
        <w:t>permitting federal officers to remove state court actions</w:t>
      </w:r>
      <w:r w:rsidRPr="004D3907">
        <w:rPr>
          <w:rStyle w:val="StyleStyleBold12pt"/>
          <w:sz w:val="16"/>
        </w:rPr>
        <w:t xml:space="preserve">—including state court actions that could not have been filed in the first instance in federal court. And most broadly of all, </w:t>
      </w:r>
      <w:r w:rsidRPr="006A2E60">
        <w:rPr>
          <w:rStyle w:val="StyleBoldUnderline"/>
          <w:highlight w:val="yellow"/>
        </w:rPr>
        <w:t>the aftermath of the Civil War and Reconstruction left us with a conception of federalism different from that embodied in the original Constitution</w:t>
      </w:r>
      <w:proofErr w:type="gramStart"/>
      <w:r w:rsidRPr="004D3907">
        <w:rPr>
          <w:rStyle w:val="StyleStyleBold12pt"/>
          <w:sz w:val="16"/>
        </w:rPr>
        <w:t>,82</w:t>
      </w:r>
      <w:proofErr w:type="gramEnd"/>
      <w:r w:rsidRPr="004D3907">
        <w:rPr>
          <w:rStyle w:val="StyleStyleBold12pt"/>
          <w:sz w:val="16"/>
        </w:rPr>
        <w:t xml:space="preserve"> </w:t>
      </w:r>
      <w:r w:rsidRPr="004D3907">
        <w:rPr>
          <w:rStyle w:val="StyleBoldUnderline"/>
        </w:rPr>
        <w:t>one</w:t>
      </w:r>
      <w:r w:rsidRPr="004D3907">
        <w:rPr>
          <w:rStyle w:val="StyleStyleBold12pt"/>
          <w:sz w:val="16"/>
        </w:rPr>
        <w:t xml:space="preserve"> in </w:t>
      </w:r>
      <w:r w:rsidRPr="004D3907">
        <w:rPr>
          <w:rStyle w:val="StyleBoldUnderline"/>
        </w:rPr>
        <w:t xml:space="preserve">which the role of the federal courts in </w:t>
      </w:r>
      <w:r w:rsidRPr="004D3907">
        <w:rPr>
          <w:rStyle w:val="StyleBoldUnderline"/>
        </w:rPr>
        <w:lastRenderedPageBreak/>
        <w:t>protecting individual rights assumes far greater prominence</w:t>
      </w:r>
      <w:r w:rsidRPr="004D3907">
        <w:rPr>
          <w:rStyle w:val="StyleStyleBold12pt"/>
          <w:sz w:val="16"/>
        </w:rPr>
        <w:t xml:space="preserve">. Relatedly, </w:t>
      </w:r>
      <w:r w:rsidRPr="004D3907">
        <w:rPr>
          <w:rStyle w:val="StyleBoldUnderline"/>
        </w:rPr>
        <w:t>insofar as there has been judicial review of habeas petitions</w:t>
      </w:r>
      <w:r w:rsidRPr="004D3907">
        <w:rPr>
          <w:rStyle w:val="StyleStyleBold12pt"/>
          <w:sz w:val="16"/>
        </w:rPr>
        <w:t xml:space="preserve"> brought by enemy combatants detained by the United States, both before and after 9/11, </w:t>
      </w:r>
      <w:r w:rsidRPr="004D3907">
        <w:rPr>
          <w:rStyle w:val="StyleBoldUnderline"/>
        </w:rPr>
        <w:t>that review has generally been in federal court</w:t>
      </w:r>
      <w:r w:rsidRPr="004D3907">
        <w:rPr>
          <w:rStyle w:val="StyleStyleBold12pt"/>
          <w:sz w:val="16"/>
        </w:rPr>
        <w:t xml:space="preserve">.83 And in sensitive matters of foreign relations, </w:t>
      </w:r>
      <w:r w:rsidRPr="004D3907">
        <w:rPr>
          <w:rStyle w:val="StyleBoldUnderline"/>
        </w:rPr>
        <w:t>there is no reason to believe that Congress would have wished to have state rather than federal courts involved</w:t>
      </w:r>
      <w:r w:rsidRPr="004D3907">
        <w:rPr>
          <w:rStyle w:val="StyleStyleBold12pt"/>
          <w:sz w:val="16"/>
        </w:rPr>
        <w:t>.</w:t>
      </w:r>
      <w:r w:rsidRPr="004D3907">
        <w:rPr>
          <w:rStyle w:val="StyleStyleBold12pt"/>
          <w:sz w:val="12"/>
        </w:rPr>
        <w:t>¶</w:t>
      </w:r>
      <w:r w:rsidRPr="004D3907">
        <w:rPr>
          <w:rStyle w:val="StyleStyleBold12pt"/>
          <w:sz w:val="16"/>
        </w:rPr>
        <w:t xml:space="preserve"> Thus, if one of the two </w:t>
      </w:r>
      <w:proofErr w:type="spellStart"/>
      <w:r w:rsidRPr="004D3907">
        <w:rPr>
          <w:rStyle w:val="StyleStyleBold12pt"/>
          <w:sz w:val="16"/>
        </w:rPr>
        <w:t>subrules</w:t>
      </w:r>
      <w:proofErr w:type="spellEnd"/>
      <w:r w:rsidRPr="004D3907">
        <w:rPr>
          <w:rStyle w:val="StyleStyleBold12pt"/>
          <w:sz w:val="16"/>
        </w:rPr>
        <w:t xml:space="preserve"> contained in § 7 must yield, it should be the one barring federal court review. And if that portion of § 7 of the MCA is held to be void, the federal courts, though courts of limited jurisdiction, could fall back upon the preexisting general grant of habeas jurisdiction under § 2241 as it previously stood, thereby avoiding any need to consider the more difficult situation in which the Suspension Clause applies but there is no background congressional grant of federal court jurisdiction on which to rely.</w:t>
      </w:r>
      <w:r w:rsidRPr="004D3907">
        <w:rPr>
          <w:rStyle w:val="StyleStyleBold12pt"/>
          <w:sz w:val="12"/>
        </w:rPr>
        <w:t>¶</w:t>
      </w:r>
      <w:r w:rsidRPr="004D3907">
        <w:rPr>
          <w:rStyle w:val="StyleStyleBold12pt"/>
          <w:sz w:val="16"/>
        </w:rPr>
        <w:t xml:space="preserve"> For all of these reasons, </w:t>
      </w:r>
      <w:r w:rsidRPr="0021407C">
        <w:rPr>
          <w:rStyle w:val="StyleBoldUnderline"/>
          <w:highlight w:val="yellow"/>
        </w:rPr>
        <w:t>the Court’s</w:t>
      </w:r>
      <w:r w:rsidRPr="004D3907">
        <w:rPr>
          <w:rStyle w:val="StyleStyleBold12pt"/>
          <w:sz w:val="16"/>
        </w:rPr>
        <w:t xml:space="preserve"> basic </w:t>
      </w:r>
      <w:r w:rsidRPr="004D3907">
        <w:rPr>
          <w:rStyle w:val="StyleBoldUnderline"/>
        </w:rPr>
        <w:t>premise about where constitutionally required relief must be provided seems correct. Also correct</w:t>
      </w:r>
      <w:r w:rsidRPr="004D3907">
        <w:rPr>
          <w:rStyle w:val="StyleStyleBold12pt"/>
          <w:sz w:val="16"/>
        </w:rPr>
        <w:t xml:space="preserve">, and of more fundamental importance, </w:t>
      </w:r>
      <w:r w:rsidRPr="004D3907">
        <w:rPr>
          <w:rStyle w:val="StyleBoldUnderline"/>
        </w:rPr>
        <w:t xml:space="preserve">is the </w:t>
      </w:r>
      <w:r w:rsidRPr="0021407C">
        <w:rPr>
          <w:rStyle w:val="StyleBoldUnderline"/>
          <w:highlight w:val="yellow"/>
        </w:rPr>
        <w:t>holding that the Suspension Clause affirmatively guarantees the right to habeas corpus review</w:t>
      </w:r>
      <w:r w:rsidRPr="004D3907">
        <w:rPr>
          <w:rStyle w:val="StyleStyleBold12pt"/>
          <w:sz w:val="16"/>
        </w:rPr>
        <w:t>.</w:t>
      </w:r>
      <w:r w:rsidRPr="004D3907">
        <w:rPr>
          <w:rStyle w:val="StyleStyleBold12pt"/>
          <w:sz w:val="12"/>
        </w:rPr>
        <w:t>¶</w:t>
      </w:r>
      <w:r w:rsidRPr="004D3907">
        <w:rPr>
          <w:rStyle w:val="StyleStyleBold12pt"/>
          <w:sz w:val="16"/>
        </w:rPr>
        <w:t xml:space="preserve"> B. Did the MCA Suspend the Writ</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754466">
        <w:rPr>
          <w:rStyle w:val="StyleBoldUnderline"/>
        </w:rPr>
        <w:t>The Government did not argue that the MCA constituted a congressional suspension of</w:t>
      </w:r>
      <w:r w:rsidRPr="004D3907">
        <w:rPr>
          <w:sz w:val="16"/>
        </w:rPr>
        <w:t xml:space="preserve"> the privilege of the </w:t>
      </w:r>
      <w:r w:rsidRPr="00754466">
        <w:rPr>
          <w:rStyle w:val="StyleBoldUnderline"/>
        </w:rPr>
        <w:t>writ. On one view, that failure seems surprising</w:t>
      </w:r>
      <w:r w:rsidRPr="004D3907">
        <w:rPr>
          <w:sz w:val="16"/>
        </w:rPr>
        <w:t xml:space="preserve">. While one might doubt that the 9/11 attacks were an invasion or rebellion, it was at least arguable that those words should be given a broad construction, extending generally to warlike actions, both internal and external. </w:t>
      </w:r>
      <w:r w:rsidRPr="00754466">
        <w:rPr>
          <w:rStyle w:val="StyleBoldUnderline"/>
        </w:rPr>
        <w:t>If the government had taken that somewhat aggressive view, it could have added that Congress</w:t>
      </w:r>
      <w:r w:rsidRPr="004D3907">
        <w:rPr>
          <w:sz w:val="16"/>
        </w:rPr>
        <w:t xml:space="preserve"> surely knew that it </w:t>
      </w:r>
      <w:r w:rsidRPr="00754466">
        <w:rPr>
          <w:rStyle w:val="StyleBoldUnderline"/>
        </w:rPr>
        <w:t>was curtailing habeas corpus</w:t>
      </w:r>
      <w:r w:rsidRPr="004D3907">
        <w:rPr>
          <w:sz w:val="16"/>
        </w:rPr>
        <w:t xml:space="preserve"> for a specified set of potential petitioners and that questions about the constitutionality of that curtailment had been raised as the measure was being debated. </w:t>
      </w:r>
      <w:r w:rsidRPr="00754466">
        <w:rPr>
          <w:rStyle w:val="StyleBoldUnderline"/>
        </w:rPr>
        <w:t>Although it is true that the MCA did not expressly state that it was suspending the writ, other congressional legislation has been effective without referring to the constitutional power being exercised; notably</w:t>
      </w:r>
      <w:r w:rsidRPr="004D3907">
        <w:rPr>
          <w:sz w:val="16"/>
        </w:rPr>
        <w:t xml:space="preserve">, resolutions </w:t>
      </w:r>
      <w:r w:rsidRPr="00754466">
        <w:rPr>
          <w:rStyle w:val="StyleBoldUnderline"/>
        </w:rPr>
        <w:t>authorizing the commencement of hostilities</w:t>
      </w:r>
      <w:r w:rsidRPr="004D3907">
        <w:rPr>
          <w:sz w:val="16"/>
        </w:rPr>
        <w:t xml:space="preserve"> (including the Authorization for the Use of Military Force enacted after 9/11</w:t>
      </w:r>
      <w:proofErr w:type="gramStart"/>
      <w:r w:rsidRPr="004D3907">
        <w:rPr>
          <w:sz w:val="16"/>
        </w:rPr>
        <w:t>,84</w:t>
      </w:r>
      <w:proofErr w:type="gramEnd"/>
      <w:r w:rsidRPr="004D3907">
        <w:rPr>
          <w:sz w:val="16"/>
        </w:rPr>
        <w:t xml:space="preserve"> which launched the war in Afghanistan) </w:t>
      </w:r>
      <w:r w:rsidRPr="00754466">
        <w:rPr>
          <w:rStyle w:val="StyleBoldUnderline"/>
        </w:rPr>
        <w:t>have been treated as adequate</w:t>
      </w:r>
      <w:r w:rsidRPr="004D3907">
        <w:rPr>
          <w:sz w:val="16"/>
        </w:rPr>
        <w:t xml:space="preserve"> without using the linguistic formula “</w:t>
      </w:r>
      <w:r w:rsidRPr="00754466">
        <w:rPr>
          <w:rStyle w:val="StyleBoldUnderline"/>
        </w:rPr>
        <w:t>declaration of war</w:t>
      </w:r>
      <w:r w:rsidRPr="004D3907">
        <w:rPr>
          <w:sz w:val="16"/>
        </w:rPr>
        <w:t>.”85</w:t>
      </w:r>
      <w:r w:rsidRPr="004D3907">
        <w:rPr>
          <w:sz w:val="12"/>
        </w:rPr>
        <w:t>¶</w:t>
      </w:r>
      <w:r w:rsidRPr="004D3907">
        <w:rPr>
          <w:sz w:val="16"/>
        </w:rPr>
        <w:t xml:space="preserve"> But </w:t>
      </w:r>
      <w:r w:rsidRPr="00754466">
        <w:rPr>
          <w:rStyle w:val="StyleBoldUnderline"/>
        </w:rPr>
        <w:t>given the legitimate uncertainty about whether the DTA/MCA regime infringed any constitutional right to habeas</w:t>
      </w:r>
      <w:r w:rsidRPr="004D3907">
        <w:rPr>
          <w:sz w:val="16"/>
        </w:rPr>
        <w:t xml:space="preserve"> possessed by the Guantánamo detainees (and four Justices thought it did not), </w:t>
      </w:r>
      <w:r w:rsidRPr="0033703F">
        <w:rPr>
          <w:rStyle w:val="StyleBoldUnderline"/>
          <w:highlight w:val="yellow"/>
        </w:rPr>
        <w:t>Congress might have sought to limit</w:t>
      </w:r>
      <w:r w:rsidRPr="004D3907">
        <w:rPr>
          <w:sz w:val="16"/>
        </w:rPr>
        <w:t xml:space="preserve"> what it viewed as a constitutionally </w:t>
      </w:r>
      <w:r w:rsidRPr="0033703F">
        <w:rPr>
          <w:rStyle w:val="StyleBoldUnderline"/>
          <w:highlight w:val="yellow"/>
        </w:rPr>
        <w:t>gratuitous</w:t>
      </w:r>
      <w:r w:rsidRPr="004D3907">
        <w:rPr>
          <w:sz w:val="16"/>
        </w:rPr>
        <w:t xml:space="preserve"> conferral of </w:t>
      </w:r>
      <w:r w:rsidRPr="0033703F">
        <w:rPr>
          <w:rStyle w:val="StyleBoldUnderline"/>
          <w:highlight w:val="yellow"/>
        </w:rPr>
        <w:t>statutory jurisdiction</w:t>
      </w:r>
      <w:r w:rsidRPr="004D3907">
        <w:rPr>
          <w:sz w:val="16"/>
        </w:rPr>
        <w:t xml:space="preserve"> (recognized by the </w:t>
      </w:r>
      <w:proofErr w:type="spellStart"/>
      <w:r w:rsidRPr="004D3907">
        <w:rPr>
          <w:sz w:val="16"/>
        </w:rPr>
        <w:t>Rasul</w:t>
      </w:r>
      <w:proofErr w:type="spellEnd"/>
      <w:r w:rsidRPr="004D3907">
        <w:rPr>
          <w:sz w:val="16"/>
        </w:rPr>
        <w:t xml:space="preserve"> decision) </w:t>
      </w:r>
      <w:r w:rsidRPr="0033703F">
        <w:rPr>
          <w:rStyle w:val="StyleBoldUnderline"/>
          <w:highlight w:val="yellow"/>
        </w:rPr>
        <w:t>without seeking to trench on constitutional rights</w:t>
      </w:r>
      <w:r w:rsidRPr="004D3907">
        <w:rPr>
          <w:sz w:val="16"/>
        </w:rPr>
        <w:t xml:space="preserve"> should its understanding of the Constitution be rejected by the Supreme Court. And there would have been a political price to pay had Congress and the President expressly advocated suspension of the writ. It is one thing to contend that the Guantánamo detainees, hardly a popular group with the voters, have no rights that are being infringed; it is another to contend that a most fundamental protection of liberty is being withdrawn. (That </w:t>
      </w:r>
      <w:r w:rsidRPr="0033703F">
        <w:rPr>
          <w:rStyle w:val="StyleBoldUnderline"/>
          <w:highlight w:val="yellow"/>
        </w:rPr>
        <w:t>the writ has been suspended on only four previous occasions</w:t>
      </w:r>
      <w:r w:rsidRPr="004D3907">
        <w:rPr>
          <w:sz w:val="16"/>
        </w:rPr>
        <w:t xml:space="preserve"> 86 and that the struggle against terrorism is not a conventional war would only highlight the extraordinary character of treating the MCA as an effort to suspend.) The political price highlights an underlying normative point: because suspension of so fundamental a liberty is a rare and solemn act, </w:t>
      </w:r>
      <w:r w:rsidRPr="0033703F">
        <w:rPr>
          <w:rStyle w:val="StyleBoldUnderline"/>
          <w:highlight w:val="yellow"/>
        </w:rPr>
        <w:t>the Court should impose a clear statement requirement</w:t>
      </w:r>
      <w:proofErr w:type="gramStart"/>
      <w:r w:rsidRPr="0033703F">
        <w:rPr>
          <w:sz w:val="16"/>
          <w:highlight w:val="yellow"/>
        </w:rPr>
        <w:t>,87</w:t>
      </w:r>
      <w:proofErr w:type="gramEnd"/>
      <w:r w:rsidRPr="0033703F">
        <w:rPr>
          <w:sz w:val="16"/>
          <w:highlight w:val="yellow"/>
        </w:rPr>
        <w:t xml:space="preserve"> </w:t>
      </w:r>
      <w:r w:rsidRPr="0033703F">
        <w:rPr>
          <w:rStyle w:val="StyleBoldUnderline"/>
          <w:highlight w:val="yellow"/>
        </w:rPr>
        <w:t>requiring that Congress plainly seek to suspend the writ</w:t>
      </w:r>
      <w:r w:rsidRPr="004D3907">
        <w:rPr>
          <w:sz w:val="16"/>
        </w:rPr>
        <w:t xml:space="preserve"> (as it has done with respect to all past measures that have been treated as suspensions).88 </w:t>
      </w:r>
      <w:r w:rsidRPr="00754466">
        <w:rPr>
          <w:rStyle w:val="StyleBoldUnderline"/>
        </w:rPr>
        <w:t>Against that background, the Court’s assumption that no suspension was intended seems well founded</w:t>
      </w:r>
      <w:r w:rsidRPr="004D3907">
        <w:rPr>
          <w:sz w:val="16"/>
        </w:rPr>
        <w:t>.</w:t>
      </w:r>
    </w:p>
    <w:p w:rsidR="00BC73BF" w:rsidRDefault="00BC73BF" w:rsidP="00BC73BF"/>
    <w:p w:rsidR="00BC73BF" w:rsidRDefault="00BC73BF" w:rsidP="00BC73BF">
      <w:pPr>
        <w:pStyle w:val="Heading3"/>
      </w:pPr>
      <w:r>
        <w:lastRenderedPageBreak/>
        <w:t>Credibility</w:t>
      </w:r>
    </w:p>
    <w:p w:rsidR="00BC73BF" w:rsidRDefault="00BC73BF" w:rsidP="00BC73BF">
      <w:pPr>
        <w:pStyle w:val="Heading4"/>
      </w:pPr>
      <w:r>
        <w:t>But public backlash solves status quo strikes and the link</w:t>
      </w:r>
    </w:p>
    <w:p w:rsidR="00BC73BF" w:rsidRDefault="00BC73BF" w:rsidP="00BC73BF">
      <w:r w:rsidRPr="009F7E82">
        <w:rPr>
          <w:rStyle w:val="StyleStyleBold12pt"/>
        </w:rPr>
        <w:t>Benjamin and Mir ’13</w:t>
      </w:r>
      <w:r>
        <w:t xml:space="preserve"> (Medea Benjamin and Noor Mir, Medea Benjamin is author of Drone Warfare: Killing by Remote Control. Noor Mir is the Drone Campaign Coordinator at CODEPINK, “Finally, the Backlash </w:t>
      </w:r>
      <w:proofErr w:type="gramStart"/>
      <w:r>
        <w:t>Against</w:t>
      </w:r>
      <w:proofErr w:type="gramEnd"/>
      <w:r>
        <w:t xml:space="preserve"> Drones Takes Flight”, http://original.antiwar.com/mbenjamin/2013/03/25/finally-the-backlash-against-drones-takes-flight/, March 26, 2013)</w:t>
      </w:r>
    </w:p>
    <w:p w:rsidR="00BC73BF" w:rsidRDefault="00BC73BF" w:rsidP="00BC73BF"/>
    <w:p w:rsidR="00BC73BF" w:rsidRDefault="00BC73BF" w:rsidP="00BC73BF">
      <w:pPr>
        <w:rPr>
          <w:rStyle w:val="StyleBoldUnderline"/>
        </w:rPr>
      </w:pPr>
      <w:r w:rsidRPr="0050798B">
        <w:rPr>
          <w:sz w:val="16"/>
        </w:rPr>
        <w:t xml:space="preserve">Rand Paul’s marathon 13-hour filibuster was not the end of the conversation on drones. </w:t>
      </w:r>
      <w:r w:rsidRPr="00BD072C">
        <w:rPr>
          <w:rStyle w:val="StyleBoldUnderline"/>
          <w:highlight w:val="green"/>
        </w:rPr>
        <w:t>Suddenly, drones are everywhere, and so is the backlash. Efforts to counter drones at home and abroad are growing in the courts</w:t>
      </w:r>
      <w:r w:rsidRPr="009F7E82">
        <w:rPr>
          <w:rStyle w:val="StyleBoldUnderline"/>
        </w:rPr>
        <w:t xml:space="preserve">, at places of worship, outside air force </w:t>
      </w:r>
      <w:r w:rsidRPr="00BD072C">
        <w:rPr>
          <w:rStyle w:val="StyleBoldUnderline"/>
          <w:highlight w:val="green"/>
        </w:rPr>
        <w:t>bases, inside the UN</w:t>
      </w:r>
      <w:r w:rsidRPr="00104DA2">
        <w:rPr>
          <w:rStyle w:val="StyleBoldUnderline"/>
          <w:highlight w:val="yellow"/>
        </w:rPr>
        <w:t>,</w:t>
      </w:r>
      <w:r w:rsidRPr="009F7E82">
        <w:rPr>
          <w:rStyle w:val="StyleBoldUnderline"/>
        </w:rPr>
        <w:t xml:space="preserve"> at state legislatures</w:t>
      </w:r>
      <w:r w:rsidRPr="00BD072C">
        <w:rPr>
          <w:rStyle w:val="StyleBoldUnderline"/>
          <w:highlight w:val="green"/>
        </w:rPr>
        <w:t>, inside Congress–</w:t>
      </w:r>
      <w:r w:rsidRPr="00BD072C">
        <w:rPr>
          <w:rStyle w:val="Emphasis"/>
          <w:highlight w:val="green"/>
        </w:rPr>
        <w:t>and having an effect on policy.</w:t>
      </w:r>
      <w:r>
        <w:rPr>
          <w:rStyle w:val="Emphasis"/>
        </w:rPr>
        <w:t xml:space="preserve"> </w:t>
      </w:r>
      <w:r w:rsidRPr="009F7E82">
        <w:rPr>
          <w:rStyle w:val="StyleBoldUnderline"/>
        </w:rPr>
        <w:t>April marks the national month of uprising against drone warfare.</w:t>
      </w:r>
      <w:r w:rsidRPr="0050798B">
        <w:rPr>
          <w:sz w:val="16"/>
        </w:rPr>
        <w:t xml:space="preserve"> Activists in upstate New York are converging on the Hancock Air National Guard Base where Predator drones are operated. In San Diego, they will take on Predator-maker General Atomics at both its headquarters and the home of the CEO. </w:t>
      </w:r>
      <w:r w:rsidRPr="009F7E82">
        <w:rPr>
          <w:rStyle w:val="StyleBoldUnderline"/>
        </w:rPr>
        <w:t xml:space="preserve">In D.C., a coalition of national and local organizations are coming together to say no to drones at the White House. And </w:t>
      </w:r>
      <w:r w:rsidRPr="00BD072C">
        <w:rPr>
          <w:rStyle w:val="Emphasis"/>
          <w:highlight w:val="green"/>
        </w:rPr>
        <w:t>all across the nation</w:t>
      </w:r>
      <w:r w:rsidRPr="009F7E82">
        <w:rPr>
          <w:rStyle w:val="StyleBoldUnderline"/>
        </w:rPr>
        <w:t xml:space="preserve">—including New York City, New </w:t>
      </w:r>
      <w:proofErr w:type="spellStart"/>
      <w:r w:rsidRPr="009F7E82">
        <w:rPr>
          <w:rStyle w:val="StyleBoldUnderline"/>
        </w:rPr>
        <w:t>Paltz</w:t>
      </w:r>
      <w:proofErr w:type="spellEnd"/>
      <w:r w:rsidRPr="009F7E82">
        <w:rPr>
          <w:rStyle w:val="StyleBoldUnderline"/>
        </w:rPr>
        <w:t>, Chicago, Tucson and Dayton—</w:t>
      </w:r>
      <w:r w:rsidRPr="00BD072C">
        <w:rPr>
          <w:rStyle w:val="StyleBoldUnderline"/>
          <w:highlight w:val="green"/>
        </w:rPr>
        <w:t>activists are planning</w:t>
      </w:r>
      <w:r w:rsidRPr="009F7E82">
        <w:rPr>
          <w:rStyle w:val="StyleBoldUnderline"/>
        </w:rPr>
        <w:t xml:space="preserve"> picket lines, workshops and sit-ins to </w:t>
      </w:r>
      <w:r w:rsidRPr="00BD072C">
        <w:rPr>
          <w:rStyle w:val="StyleBoldUnderline"/>
          <w:highlight w:val="green"/>
        </w:rPr>
        <w:t>protest</w:t>
      </w:r>
      <w:r w:rsidRPr="009F7E82">
        <w:rPr>
          <w:rStyle w:val="StyleBoldUnderline"/>
        </w:rPr>
        <w:t xml:space="preserve"> the covert wars. </w:t>
      </w:r>
      <w:r w:rsidRPr="00BD072C">
        <w:rPr>
          <w:rStyle w:val="StyleBoldUnderline"/>
          <w:highlight w:val="green"/>
        </w:rPr>
        <w:t>The word has even spread to Islamabad, Pakistan,</w:t>
      </w:r>
      <w:r w:rsidRPr="009F7E82">
        <w:rPr>
          <w:rStyle w:val="StyleBoldUnderline"/>
        </w:rPr>
        <w:t xml:space="preserve"> where activists are planning a vigil to honor victims</w:t>
      </w:r>
      <w:r w:rsidRPr="00BD072C">
        <w:rPr>
          <w:rStyle w:val="StyleBoldUnderline"/>
          <w:highlight w:val="green"/>
        </w:rPr>
        <w:t xml:space="preserve">. There has been an </w:t>
      </w:r>
      <w:r w:rsidRPr="00BD072C">
        <w:rPr>
          <w:rStyle w:val="Emphasis"/>
          <w:highlight w:val="green"/>
        </w:rPr>
        <w:t>unprecedented surge of activity</w:t>
      </w:r>
      <w:r w:rsidRPr="00BD072C">
        <w:rPr>
          <w:rStyle w:val="StyleBoldUnderline"/>
          <w:highlight w:val="green"/>
        </w:rPr>
        <w:t xml:space="preserve"> in cities, counties and</w:t>
      </w:r>
      <w:r w:rsidRPr="009F7E82">
        <w:rPr>
          <w:rStyle w:val="StyleBoldUnderline"/>
        </w:rPr>
        <w:t xml:space="preserve"> state </w:t>
      </w:r>
      <w:r w:rsidRPr="00BD072C">
        <w:rPr>
          <w:rStyle w:val="StyleBoldUnderline"/>
          <w:highlight w:val="green"/>
        </w:rPr>
        <w:t xml:space="preserve">legislatures across the country aimed at </w:t>
      </w:r>
      <w:r w:rsidRPr="00BD072C">
        <w:rPr>
          <w:rStyle w:val="Emphasis"/>
          <w:highlight w:val="green"/>
        </w:rPr>
        <w:t>regulating</w:t>
      </w:r>
      <w:r w:rsidRPr="009F7E82">
        <w:rPr>
          <w:rStyle w:val="StyleBoldUnderline"/>
        </w:rPr>
        <w:t xml:space="preserve"> domestic surveillance </w:t>
      </w:r>
      <w:proofErr w:type="spellStart"/>
      <w:r w:rsidRPr="00BD072C">
        <w:rPr>
          <w:rStyle w:val="StyleBoldUnderline"/>
          <w:highlight w:val="green"/>
        </w:rPr>
        <w:t>drones</w:t>
      </w:r>
      <w:r w:rsidRPr="0050798B">
        <w:rPr>
          <w:sz w:val="16"/>
        </w:rPr>
        <w:t>.</w:t>
      </w:r>
      <w:r>
        <w:rPr>
          <w:sz w:val="16"/>
        </w:rPr>
        <w:t>ffffff</w:t>
      </w:r>
      <w:proofErr w:type="spellEnd"/>
      <w:r w:rsidRPr="0050798B">
        <w:rPr>
          <w:sz w:val="16"/>
        </w:rPr>
        <w:t xml:space="preserve"> </w:t>
      </w:r>
      <w:proofErr w:type="gramStart"/>
      <w:r w:rsidRPr="0050798B">
        <w:rPr>
          <w:sz w:val="16"/>
        </w:rPr>
        <w:t>After</w:t>
      </w:r>
      <w:proofErr w:type="gramEnd"/>
      <w:r w:rsidRPr="0050798B">
        <w:rPr>
          <w:sz w:val="16"/>
        </w:rPr>
        <w:t xml:space="preserve"> a raucous city council hearing in Seattle in February, the Mayor agreed to terminate its drones program and return the city’s two drones to the manufacturer. Also in February, the city of Charlottesville, VA passed a 2-year moratorium and 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w:t>
      </w:r>
      <w:r w:rsidRPr="00BD072C">
        <w:rPr>
          <w:rStyle w:val="StyleBoldUnderline"/>
          <w:highlight w:val="green"/>
        </w:rPr>
        <w:t>Responding to</w:t>
      </w:r>
      <w:r w:rsidRPr="009F7E82">
        <w:rPr>
          <w:rStyle w:val="StyleBoldUnderline"/>
        </w:rPr>
        <w:t xml:space="preserve"> the </w:t>
      </w:r>
      <w:r w:rsidRPr="00BD072C">
        <w:rPr>
          <w:rStyle w:val="Emphasis"/>
          <w:highlight w:val="green"/>
        </w:rPr>
        <w:t>international outcry against drone warfare</w:t>
      </w:r>
      <w:r w:rsidRPr="00BD072C">
        <w:rPr>
          <w:rStyle w:val="StyleBoldUnderline"/>
          <w:highlight w:val="green"/>
        </w:rPr>
        <w:t>, the U</w:t>
      </w:r>
      <w:r w:rsidRPr="009F7E82">
        <w:rPr>
          <w:rStyle w:val="StyleBoldUnderline"/>
        </w:rPr>
        <w:t xml:space="preserve">nited </w:t>
      </w:r>
      <w:r w:rsidRPr="00BD072C">
        <w:rPr>
          <w:rStyle w:val="StyleBoldUnderline"/>
          <w:highlight w:val="green"/>
        </w:rPr>
        <w:t>N</w:t>
      </w:r>
      <w:r w:rsidRPr="009F7E82">
        <w:rPr>
          <w:rStyle w:val="StyleBoldUnderline"/>
        </w:rPr>
        <w:t xml:space="preserve">ations’ special rapporteur on counterterrorism and human rights, Ben </w:t>
      </w:r>
      <w:proofErr w:type="spellStart"/>
      <w:r w:rsidRPr="009F7E82">
        <w:rPr>
          <w:rStyle w:val="StyleBoldUnderline"/>
        </w:rPr>
        <w:t>Emmerson</w:t>
      </w:r>
      <w:proofErr w:type="spellEnd"/>
      <w:r w:rsidRPr="009F7E82">
        <w:rPr>
          <w:rStyle w:val="StyleBoldUnderline"/>
        </w:rPr>
        <w:t xml:space="preserve">, </w:t>
      </w:r>
      <w:r w:rsidRPr="00BD072C">
        <w:rPr>
          <w:rStyle w:val="StyleBoldUnderline"/>
          <w:highlight w:val="green"/>
        </w:rPr>
        <w:t>is conducting an</w:t>
      </w:r>
      <w:r w:rsidRPr="009F7E82">
        <w:rPr>
          <w:rStyle w:val="StyleBoldUnderline"/>
        </w:rPr>
        <w:t xml:space="preserve"> in-depth </w:t>
      </w:r>
      <w:r w:rsidRPr="00BD072C">
        <w:rPr>
          <w:rStyle w:val="StyleBoldUnderline"/>
          <w:highlight w:val="green"/>
        </w:rPr>
        <w:t>investigation</w:t>
      </w:r>
      <w:r w:rsidRPr="009F7E82">
        <w:rPr>
          <w:rStyle w:val="StyleBoldUnderline"/>
        </w:rPr>
        <w:t xml:space="preserve"> of 25 drone attacks and will release his report in the </w:t>
      </w:r>
      <w:proofErr w:type="gramStart"/>
      <w:r w:rsidRPr="009F7E82">
        <w:rPr>
          <w:rStyle w:val="StyleBoldUnderline"/>
        </w:rPr>
        <w:t>Spring</w:t>
      </w:r>
      <w:proofErr w:type="gramEnd"/>
      <w:r w:rsidRPr="009F7E82">
        <w:rPr>
          <w:rStyle w:val="StyleBoldUnderline"/>
        </w:rPr>
        <w:t>.</w:t>
      </w:r>
      <w:r w:rsidRPr="0050798B">
        <w:rPr>
          <w:sz w:val="16"/>
        </w:rPr>
        <w:t xml:space="preserve"> Meanwhile, on March 15, having returned from a visit to Pakistan to meet drone victims and government officials, </w:t>
      </w:r>
      <w:proofErr w:type="spellStart"/>
      <w:r w:rsidRPr="009F7E82">
        <w:rPr>
          <w:rStyle w:val="StyleBoldUnderline"/>
        </w:rPr>
        <w:t>Emmerson</w:t>
      </w:r>
      <w:proofErr w:type="spellEnd"/>
      <w:r w:rsidRPr="009F7E82">
        <w:rPr>
          <w:rStyle w:val="StyleBoldUnderline"/>
        </w:rPr>
        <w:t xml:space="preserve"> condemned the U.S. drone program in Pakistan, as “it involves the use of force on the territory of another State without its consent and is therefore a violation of Pakistan’s sovereignty.”</w:t>
      </w:r>
      <w:r>
        <w:rPr>
          <w:rStyle w:val="StyleBoldUnderline"/>
        </w:rPr>
        <w:t xml:space="preserve"> </w:t>
      </w:r>
      <w:r w:rsidRPr="0050798B">
        <w:rPr>
          <w:sz w:val="16"/>
        </w:rPr>
        <w:t>Leaders in the faith-based community broke their silence and began mobilizing against the nomination of John Brennan, with over 100 leaders urging the Senate to reject Brennan. And in an astounding development, The National Black Church Initiative (NBCI), a faith-based coalition of 34,000 churches comprised of 15 denominations and 15.7 million African Americans, issued a scathing statement about Obama’s drone policy, calling it “evil”, “monstrous” and “immoral.” The group’s president, Rev. Anthony Evans, exhorted other black leaders to speak out, saying “If the church does not speak against this immoral policy we will lose our moral voice, our soul, and our right to represent and preach the gospel of Jesus Christ.”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Congress is feeling some pressure to exercise its authority. The specter of tens of thousands of drones here at home when the FAA opens up US airspace to drones by 2015 has spurred new left/</w:t>
      </w:r>
      <w:proofErr w:type="spellStart"/>
      <w:r w:rsidRPr="0050798B">
        <w:rPr>
          <w:sz w:val="16"/>
        </w:rPr>
        <w:t>rightalliances</w:t>
      </w:r>
      <w:proofErr w:type="spellEnd"/>
      <w:r w:rsidRPr="0050798B">
        <w:rPr>
          <w:sz w:val="16"/>
        </w:rPr>
        <w:t xml:space="preserve">. Liberal Democratic Senator Ron Wyden joined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While trying to get redress in the courts for the killing of American citizens by drones in Yemen, the ACLU has been stymied by the Orwellian US government refusal to even acknowledge that the drone program exists. </w:t>
      </w:r>
      <w:proofErr w:type="gramStart"/>
      <w:r w:rsidRPr="0050798B">
        <w:rPr>
          <w:sz w:val="16"/>
        </w:rPr>
        <w:t xml:space="preserve">But on March 15, in an important victory for transparency, </w:t>
      </w:r>
      <w:proofErr w:type="spellStart"/>
      <w:r w:rsidRPr="0050798B">
        <w:rPr>
          <w:sz w:val="16"/>
        </w:rPr>
        <w:t>theD.C</w:t>
      </w:r>
      <w:proofErr w:type="spellEnd"/>
      <w:r w:rsidRPr="0050798B">
        <w:rPr>
          <w:sz w:val="16"/>
        </w:rPr>
        <w:t>.</w:t>
      </w:r>
      <w:proofErr w:type="gramEnd"/>
      <w:r w:rsidRPr="0050798B">
        <w:rPr>
          <w:sz w:val="16"/>
        </w:rPr>
        <w:t xml:space="preserve"> Court of Appeals rejected the CIA’s absurd claims that it “cannot confirm or deny” possessing information about the government’s use of drones for targeted killing, and sent the case back to a federal judge. Most Democrats have been all too willing to let President Obama carry on with his lethal drones, but on March 11, Congresswoman Barbara Lee and seven colleagues issued a letter to President Obama calling on him to publicly disclose the legal basis for drone killings,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There have even been signs of discontent within the military.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Following intense backlash from the military and veteran </w:t>
      </w:r>
      <w:r w:rsidRPr="0050798B">
        <w:rPr>
          <w:sz w:val="16"/>
        </w:rPr>
        <w:lastRenderedPageBreak/>
        <w:t xml:space="preserve">community, as well as a push from a group of bipartisan senators, new Defense Secretary Senator Chuck Hagel decided to review the criteria for this new “Distinguished Warfare” medal. Remote-control warfare is bad enough, but what is being developed is warfare by “killer robots” that don’t even have a human in the loop. </w:t>
      </w:r>
      <w:proofErr w:type="spellStart"/>
      <w:r w:rsidRPr="0050798B">
        <w:rPr>
          <w:sz w:val="16"/>
        </w:rPr>
        <w:t>Acampaign</w:t>
      </w:r>
      <w:proofErr w:type="spellEnd"/>
      <w:r w:rsidRPr="0050798B">
        <w:rPr>
          <w:sz w:val="16"/>
        </w:rPr>
        <w:t xml:space="preserve">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sidRPr="00BD072C">
        <w:rPr>
          <w:rStyle w:val="StyleBoldUnderline"/>
          <w:highlight w:val="green"/>
        </w:rPr>
        <w:t>Throughout the US–and the world–people are beginning to wake up to</w:t>
      </w:r>
      <w:r w:rsidRPr="009F7E82">
        <w:rPr>
          <w:rStyle w:val="StyleBoldUnderline"/>
        </w:rPr>
        <w:t xml:space="preserve"> the danger of spy and killer </w:t>
      </w:r>
      <w:r w:rsidRPr="00BD072C">
        <w:rPr>
          <w:rStyle w:val="StyleBoldUnderline"/>
          <w:highlight w:val="green"/>
        </w:rPr>
        <w:t xml:space="preserve">drones. Their actions are </w:t>
      </w:r>
      <w:r w:rsidRPr="00BD072C">
        <w:rPr>
          <w:rStyle w:val="Emphasis"/>
          <w:highlight w:val="green"/>
        </w:rPr>
        <w:t xml:space="preserve">already having an impact </w:t>
      </w:r>
      <w:r w:rsidRPr="00BD072C">
        <w:rPr>
          <w:rStyle w:val="StyleBoldUnderline"/>
          <w:highlight w:val="green"/>
        </w:rPr>
        <w:t>in forcing the Administration to share memos</w:t>
      </w:r>
      <w:r w:rsidRPr="009F7E82">
        <w:rPr>
          <w:rStyle w:val="StyleBoldUnderline"/>
        </w:rPr>
        <w:t xml:space="preserve"> with Congress, </w:t>
      </w:r>
      <w:r w:rsidRPr="00BD072C">
        <w:rPr>
          <w:rStyle w:val="StyleBoldUnderline"/>
          <w:highlight w:val="green"/>
        </w:rPr>
        <w:t>reduce the number of strikes</w:t>
      </w:r>
      <w:r w:rsidRPr="002368B2">
        <w:rPr>
          <w:rStyle w:val="StyleBoldUnderline"/>
        </w:rPr>
        <w:t xml:space="preserve"> and begin a process of taking drones out of the hands of the CIA.</w:t>
      </w:r>
      <w:r w:rsidRPr="009F7E82">
        <w:rPr>
          <w:rStyle w:val="StyleBoldUnderline"/>
        </w:rPr>
        <w:t xml:space="preserve"> </w:t>
      </w:r>
    </w:p>
    <w:p w:rsidR="00BC73BF" w:rsidRDefault="00BC73BF" w:rsidP="00BC73BF">
      <w:pPr>
        <w:rPr>
          <w:rStyle w:val="StyleBoldUnderline"/>
        </w:rPr>
      </w:pPr>
    </w:p>
    <w:p w:rsidR="00BC73BF" w:rsidRPr="0048632E" w:rsidRDefault="00BC73BF" w:rsidP="00BC73BF"/>
    <w:p w:rsidR="00BC73BF" w:rsidRDefault="00BC73BF" w:rsidP="00934279">
      <w:pPr>
        <w:pStyle w:val="Heading4"/>
      </w:pPr>
      <w:r>
        <w:t>Courts have historically gotten involved in military cases – even recently</w:t>
      </w:r>
    </w:p>
    <w:p w:rsidR="00BC73BF" w:rsidRPr="00476A32" w:rsidRDefault="00BC73BF" w:rsidP="00BC73BF">
      <w:r w:rsidRPr="00476A32">
        <w:rPr>
          <w:rStyle w:val="StyleStyleBold12pt"/>
        </w:rPr>
        <w:t>Fisher, 6</w:t>
      </w:r>
      <w:r>
        <w:t xml:space="preserve"> (Louis, is Scholar in Residence at the Constitution Project. Previously he worked for four decades at the Library of Congress as Senior Specialist in Separation of Powers (Congressional Research Service, from 1970 to 2006) and Specialist in Constitutional Law (the Law Library, from 2006 to 2010) , he taught full-time at Queens College for three years, later he taught part-time at Georgetown University, American University, Catholic University law school, Indiana University, Catholic University, the College of William and Mary law school, and Johns Hopkins University. Currently he is a Visiting Professor at the William and Mary law school, “Lost Constitutional Moorings: Recovering the War Power,” Indiana Law Review, 5/2006, p.p. 1221-1223)</w:t>
      </w:r>
    </w:p>
    <w:p w:rsidR="00BC73BF" w:rsidRDefault="00BC73BF" w:rsidP="00BC73BF"/>
    <w:p w:rsidR="00BC73BF" w:rsidRDefault="00BC73BF" w:rsidP="00BC73BF">
      <w:r>
        <w:t xml:space="preserve">From the Vietnam War to the present, </w:t>
      </w:r>
      <w:r w:rsidRPr="00476A32">
        <w:rPr>
          <w:rStyle w:val="StyleBoldUnderline"/>
        </w:rPr>
        <w:t xml:space="preserve">there has been a growing consensus that </w:t>
      </w:r>
      <w:r w:rsidRPr="00984D86">
        <w:rPr>
          <w:rStyle w:val="StyleBoldUnderline"/>
          <w:highlight w:val="green"/>
        </w:rPr>
        <w:t>federal courts lack both</w:t>
      </w:r>
      <w:r w:rsidRPr="00476A32">
        <w:rPr>
          <w:rStyle w:val="StyleBoldUnderline"/>
        </w:rPr>
        <w:t xml:space="preserve"> the </w:t>
      </w:r>
      <w:r w:rsidRPr="00984D86">
        <w:rPr>
          <w:rStyle w:val="StyleBoldUnderline"/>
          <w:highlight w:val="green"/>
        </w:rPr>
        <w:t>jurisdiction and the competence to decide war power disputes</w:t>
      </w:r>
      <w:r w:rsidRPr="00476A32">
        <w:rPr>
          <w:rStyle w:val="StyleBoldUnderline"/>
        </w:rPr>
        <w:t>. I have heard this sentiment directly from political science professors, law professors, and federal judges.</w:t>
      </w:r>
      <w:r>
        <w:t xml:space="preserve"> </w:t>
      </w:r>
      <w:r w:rsidRPr="00984D86">
        <w:rPr>
          <w:rStyle w:val="StyleBoldUnderline"/>
          <w:highlight w:val="green"/>
        </w:rPr>
        <w:t>Such a</w:t>
      </w:r>
      <w:r w:rsidRPr="00476A32">
        <w:rPr>
          <w:rStyle w:val="StyleBoldUnderline"/>
        </w:rPr>
        <w:t xml:space="preserve"> cramped </w:t>
      </w:r>
      <w:r w:rsidRPr="00984D86">
        <w:rPr>
          <w:rStyle w:val="StyleBoldUnderline"/>
          <w:highlight w:val="green"/>
        </w:rPr>
        <w:t>view finds no support in the first 150 years of U.S. history</w:t>
      </w:r>
      <w:r w:rsidRPr="00476A32">
        <w:rPr>
          <w:rStyle w:val="StyleBoldUnderline"/>
        </w:rPr>
        <w:t xml:space="preserve">, when </w:t>
      </w:r>
      <w:r w:rsidRPr="00984D86">
        <w:rPr>
          <w:rStyle w:val="StyleBoldUnderline"/>
          <w:highlight w:val="green"/>
        </w:rPr>
        <w:t>courts regularly accepted and decided such cases</w:t>
      </w:r>
      <w:r w:rsidRPr="00476A32">
        <w:rPr>
          <w:rStyle w:val="StyleBoldUnderline"/>
        </w:rPr>
        <w:t>,</w:t>
      </w:r>
      <w:r>
        <w:t xml:space="preserve"> sometimes for the President, </w:t>
      </w:r>
      <w:r w:rsidRPr="00984D86">
        <w:rPr>
          <w:rStyle w:val="Emphasis"/>
          <w:highlight w:val="green"/>
        </w:rPr>
        <w:t>sometimes against.</w:t>
      </w:r>
      <w:r>
        <w:t xml:space="preserve"> </w:t>
      </w:r>
      <w:r w:rsidRPr="00476A32">
        <w:rPr>
          <w:rStyle w:val="StyleBoldUnderline"/>
        </w:rPr>
        <w:t>It was only</w:t>
      </w:r>
      <w:r>
        <w:t xml:space="preserve"> </w:t>
      </w:r>
      <w:r w:rsidRPr="00476A32">
        <w:rPr>
          <w:rStyle w:val="StyleBoldUnderline"/>
        </w:rPr>
        <w:t>with Vietnam that courts began to avoid the merits of war power cases by invoking a variety of threshold tests, including standing, mootness, ripeness, the political question doctrine, and prudential considerations.</w:t>
      </w:r>
      <w:r>
        <w:t xml:space="preserve">138 </w:t>
      </w:r>
      <w:r w:rsidRPr="00476A32">
        <w:rPr>
          <w:rStyle w:val="StyleBoldUnderline"/>
        </w:rPr>
        <w:t xml:space="preserve">I am familiar with only one war power (actually commander in chief) case that the Supreme Court deliberately ducked over </w:t>
      </w:r>
      <w:r>
        <w:t xml:space="preserve">this period of 150 years.139 The State of Mississippi sought to enjoin President Andrew Johnson from using the military to implement two Reconstruction Acts. The Court worried what would happen if Johnson refused to comply with its order. Did the Court have the power (legal or political) to enforce its process? Federal courts had faced that prospect before without flinching. The Johnson case was doubly difficult because if Johnson complied with the Court order and became subject to impeachment by acting in contempt of congressional statutes, would the Court then step in to support Johnson in opposition to the House? Of course if the House impeached Johnson and the matter moved to a Senate trial, the Chief Justice would preside. All in all, the dispute was one to avoid. But </w:t>
      </w:r>
      <w:r w:rsidRPr="00476A32">
        <w:rPr>
          <w:rStyle w:val="StyleBoldUnderline"/>
        </w:rPr>
        <w:t xml:space="preserve">other than the Johnson case, federal courts regularly received war power disputes and disposed of them on the merits. </w:t>
      </w:r>
      <w:r w:rsidRPr="00984D86">
        <w:rPr>
          <w:rStyle w:val="StyleBoldUnderline"/>
          <w:highlight w:val="green"/>
        </w:rPr>
        <w:t>There was nothing about war power cases that disqualified the judiciary.</w:t>
      </w:r>
      <w:r w:rsidRPr="00476A32">
        <w:rPr>
          <w:rStyle w:val="StyleBoldUnderline"/>
        </w:rPr>
        <w:t xml:space="preserve"> They presented statutory and constitutional questions as did other cases.</w:t>
      </w:r>
      <w:r>
        <w:t xml:space="preserve"> The notion that courts are poorly suited to decide war power and foreign affairs issues does not emerge until after World War I. The legal literature began to treat matters of foreign policy, war, and peace as beyond the scope of judicial cognizance. That position appeared in a series of law review articles in the 1920s.140 Still, federal courts continued to take war power cases and decide them, as in the Steel Seizure case of 1952.141 The war in Vietnam and Southeast Asia sparked dozens of lawsuits challenging the President’s authority to wage war without a formal declaration or explicit authorization from Congress. Initially, federal courts dismissed these cases on the grounds that they posed a political question, they represented an unconsented suit against the United States, or the plaintiffs lacked standing. The Supreme Court regularly denied petitions seeking its review of the questions involved. For the first time in its history, federal courts were using the political question doctrine on a regular basis to avoid fundamental constitutional questions about the war power. By the early 1970s, however, federal courts seemed ready to reach the merits of the constitutionality of </w:t>
      </w:r>
      <w:r>
        <w:lastRenderedPageBreak/>
        <w:t xml:space="preserve">America’s involvement in Indochina and to assert the judiciary’s competence to decide such questions.142 </w:t>
      </w:r>
      <w:proofErr w:type="gramStart"/>
      <w:r w:rsidRPr="00476A32">
        <w:rPr>
          <w:rStyle w:val="StyleBoldUnderline"/>
        </w:rPr>
        <w:t>Following</w:t>
      </w:r>
      <w:proofErr w:type="gramEnd"/>
      <w:r w:rsidRPr="00476A32">
        <w:rPr>
          <w:rStyle w:val="StyleBoldUnderline"/>
        </w:rPr>
        <w:t xml:space="preserve"> the end of the Vietnam War, lawsuits continued to challenge presidential authority to conduct military operations without authorization from Congress. Federal judges fell back on various threshold tests to avoid deciding the dispute: ripeness, mootness, political questions, equitable discretion, and standing.</w:t>
      </w:r>
      <w:r>
        <w:t xml:space="preserve"> Many of the cases failed in court because they were brought by members of Congress. Federal judges regularly informed the lawmakers that if they wanted to resort to litigation they had to first exhaust the institutional remedies available to them, including voting to deny authorization or funding.143 The doctrinal incoherence among federal judges on war power issues is illustrated by a lawsuit challenging the constitutionality of President Clinton’s decision in 1999 to order the bombing of Yugoslavia without congressional authorization. A district court held that lawmakers lacked standing because their complaint––the alleged “nullification” of congressional votes––was not sufficiently concrete. To gain standing, legislative plaintiffs had to allege that their votes had been “completely nullified” or “virtually held for naught.”144 The case would have been ripe for judicial determination if Congress had directed Clinton to remove U.S. forces and he had refused, or if Congress had withheld funds for the air strikes in Yugoslavia and he had decided “to spend that money (or money earmarked for other purposes) anyway.”145 The D.C. Circuit affirmed on the same ground of lack of standing. It concluded that the lawmakers lacked standing because they possessed legislative power to force the President to withdraw U.S. troops, to cut off funds, or to impeach the President if he disregarded congressional authority.146 </w:t>
      </w:r>
      <w:proofErr w:type="gramStart"/>
      <w:r>
        <w:t>The</w:t>
      </w:r>
      <w:proofErr w:type="gramEnd"/>
      <w:r>
        <w:t xml:space="preserve"> appellate decision is interesting because the three judges wrote separate opinions based on very different legal doctrines. To Judge </w:t>
      </w:r>
      <w:proofErr w:type="spellStart"/>
      <w:r>
        <w:t>Silberman</w:t>
      </w:r>
      <w:proofErr w:type="spellEnd"/>
      <w:r>
        <w:t xml:space="preserve">, no one had a legal right to challenge the President’s use of military force. Such claims were </w:t>
      </w:r>
      <w:proofErr w:type="spellStart"/>
      <w:r>
        <w:t>nonjusticiable</w:t>
      </w:r>
      <w:proofErr w:type="spellEnd"/>
      <w:r>
        <w:t xml:space="preserve"> because courts lacked discoverable and manageable standards to decide questions related to the War Powers Clause.147 Judge </w:t>
      </w:r>
      <w:proofErr w:type="spellStart"/>
      <w:r>
        <w:t>Tatel</w:t>
      </w:r>
      <w:proofErr w:type="spellEnd"/>
      <w:r>
        <w:t xml:space="preserve"> rejected the view that the case posed a </w:t>
      </w:r>
      <w:proofErr w:type="spellStart"/>
      <w:r>
        <w:t>nonjusticiable</w:t>
      </w:r>
      <w:proofErr w:type="spellEnd"/>
      <w:r>
        <w:t xml:space="preserve"> political question or that there was a lack of manageable standards. He believed that the case presented purely legal issues, calling on the courts to determine the proper constitutional allocation of power between Congress and the President.148 The sweeping assertions of presidential power after 9/11 led to challenges in federal courts and eventually prompted the Supreme Court’s decisions on June 28, 2004. </w:t>
      </w:r>
      <w:r w:rsidRPr="00476A32">
        <w:rPr>
          <w:rStyle w:val="StyleBoldUnderline"/>
        </w:rPr>
        <w:t xml:space="preserve">Writing for the plurality in </w:t>
      </w:r>
      <w:proofErr w:type="spellStart"/>
      <w:r w:rsidRPr="00476A32">
        <w:rPr>
          <w:rStyle w:val="StyleBoldUnderline"/>
        </w:rPr>
        <w:t>Hamdi</w:t>
      </w:r>
      <w:proofErr w:type="spellEnd"/>
      <w:r w:rsidRPr="00476A32">
        <w:rPr>
          <w:rStyle w:val="StyleBoldUnderline"/>
        </w:rPr>
        <w:t xml:space="preserve"> v. Rumsfeld, Justice O’Connor rejected the government’s position that separation of powers principles “mandate a heavily circumscribed role for the courts.”149 A state of war, she said, “</w:t>
      </w:r>
      <w:proofErr w:type="gramStart"/>
      <w:r w:rsidRPr="00476A32">
        <w:rPr>
          <w:rStyle w:val="StyleBoldUnderline"/>
        </w:rPr>
        <w:t>is</w:t>
      </w:r>
      <w:proofErr w:type="gramEnd"/>
      <w:r w:rsidRPr="00476A32">
        <w:rPr>
          <w:rStyle w:val="StyleBoldUnderline"/>
        </w:rPr>
        <w:t xml:space="preserve"> not a blank check for the President when it comes to the rights of the Nation’s citizens.”</w:t>
      </w:r>
      <w:r>
        <w:t xml:space="preserve">150 This decision, with Justices scattering in different directions, provided few clear standards for the lower courts, but </w:t>
      </w:r>
      <w:r w:rsidRPr="00984D86">
        <w:rPr>
          <w:rStyle w:val="Emphasis"/>
          <w:highlight w:val="green"/>
        </w:rPr>
        <w:t>at least eight members of the Court rejected the notion that the judiciary lacks institutional competence to participate in constitutional questions of war.</w:t>
      </w:r>
      <w:r>
        <w:t xml:space="preserve">151 </w:t>
      </w:r>
    </w:p>
    <w:p w:rsidR="00BC73BF" w:rsidRDefault="00BC73BF" w:rsidP="00BC73BF"/>
    <w:p w:rsidR="00BC73BF" w:rsidRDefault="00BC73BF" w:rsidP="00934279">
      <w:pPr>
        <w:pStyle w:val="Heading4"/>
      </w:pPr>
      <w:r>
        <w:t>Ending deference key to rule of law</w:t>
      </w:r>
    </w:p>
    <w:p w:rsidR="00BC73BF" w:rsidRDefault="00BC73BF" w:rsidP="00BC73BF">
      <w:r w:rsidRPr="006856D4">
        <w:rPr>
          <w:rStyle w:val="StyleStyleBold12pt"/>
        </w:rPr>
        <w:t>Murphy 12</w:t>
      </w:r>
      <w:r>
        <w:t xml:space="preserve"> (Richard W., Visiting Professor (2005-2006), Seton Hall University School of Law; Professor, William Mitchell College of Law., Judicial Deference, Agency Commitment, and Force of Law, March 28, </w:t>
      </w:r>
      <w:hyperlink r:id="rId11" w:history="1">
        <w:r w:rsidRPr="009320E1">
          <w:rPr>
            <w:rStyle w:val="Hyperlink"/>
          </w:rPr>
          <w:t>http://moritzlaw.osu.edu/students/groups/oslj/files/2012/03/66.5.murphy.pdf</w:t>
        </w:r>
      </w:hyperlink>
      <w:r>
        <w:t xml:space="preserve">, p. 1013) </w:t>
      </w:r>
      <w:proofErr w:type="spellStart"/>
      <w:r>
        <w:t>ap</w:t>
      </w:r>
      <w:proofErr w:type="spellEnd"/>
    </w:p>
    <w:p w:rsidR="00BC73BF" w:rsidRPr="000660AA" w:rsidRDefault="00BC73BF" w:rsidP="00BC73BF">
      <w:pPr>
        <w:rPr>
          <w:sz w:val="16"/>
        </w:rPr>
      </w:pPr>
      <w:r w:rsidRPr="006856D4">
        <w:t xml:space="preserve">The </w:t>
      </w:r>
      <w:r w:rsidRPr="008238EC">
        <w:rPr>
          <w:rStyle w:val="StyleBoldUnderline"/>
          <w:highlight w:val="green"/>
        </w:rPr>
        <w:t xml:space="preserve">law governing judicial deference to agency statutory constructions is a ghastly brew of improbable fictions and </w:t>
      </w:r>
      <w:proofErr w:type="spellStart"/>
      <w:r w:rsidRPr="008238EC">
        <w:rPr>
          <w:rStyle w:val="StyleBoldUnderline"/>
          <w:highlight w:val="green"/>
        </w:rPr>
        <w:t>proceduralism</w:t>
      </w:r>
      <w:proofErr w:type="spellEnd"/>
      <w:r w:rsidRPr="000660AA">
        <w:rPr>
          <w:rStyle w:val="StyleBoldUnderline"/>
        </w:rPr>
        <w:t>.</w:t>
      </w:r>
      <w:r w:rsidRPr="000660AA">
        <w:rPr>
          <w:sz w:val="16"/>
        </w:rPr>
        <w:t xml:space="preserve"> One reason this state of affairs persists is that courts have failed to resolve a contradiction between two competing, sensible impulses in deference doctrine. Oceans of </w:t>
      </w:r>
      <w:r w:rsidRPr="000660AA">
        <w:rPr>
          <w:rStyle w:val="StyleBoldUnderline"/>
        </w:rPr>
        <w:t>precedent</w:t>
      </w:r>
      <w:r w:rsidRPr="000660AA">
        <w:rPr>
          <w:sz w:val="16"/>
        </w:rPr>
        <w:t xml:space="preserve"> over the last 150 years have </w:t>
      </w:r>
      <w:r w:rsidRPr="000660AA">
        <w:rPr>
          <w:rStyle w:val="StyleBoldUnderline"/>
        </w:rPr>
        <w:t>stressed</w:t>
      </w:r>
      <w:r w:rsidRPr="000660AA">
        <w:rPr>
          <w:sz w:val="16"/>
        </w:rPr>
        <w:t xml:space="preserve"> that </w:t>
      </w:r>
      <w:r w:rsidRPr="008238EC">
        <w:rPr>
          <w:rStyle w:val="StyleBoldUnderline"/>
          <w:highlight w:val="green"/>
        </w:rPr>
        <w:t>courts should defer to</w:t>
      </w:r>
      <w:r w:rsidRPr="000660AA">
        <w:rPr>
          <w:sz w:val="16"/>
        </w:rPr>
        <w:t xml:space="preserve"> longstanding, </w:t>
      </w:r>
      <w:r w:rsidRPr="008238EC">
        <w:rPr>
          <w:rStyle w:val="StyleBoldUnderline"/>
          <w:highlight w:val="green"/>
        </w:rPr>
        <w:t>reasonable constructions by agencies of statutes they administer</w:t>
      </w:r>
      <w:r w:rsidRPr="008238EC">
        <w:rPr>
          <w:sz w:val="16"/>
          <w:highlight w:val="green"/>
        </w:rPr>
        <w:t xml:space="preserve">. </w:t>
      </w:r>
      <w:r w:rsidRPr="008238EC">
        <w:rPr>
          <w:rStyle w:val="StyleBoldUnderline"/>
        </w:rPr>
        <w:t>Then</w:t>
      </w:r>
      <w:r w:rsidRPr="000660AA">
        <w:rPr>
          <w:sz w:val="16"/>
        </w:rPr>
        <w:t xml:space="preserve"> along </w:t>
      </w:r>
      <w:r w:rsidRPr="000660AA">
        <w:rPr>
          <w:rStyle w:val="StyleBoldUnderline"/>
        </w:rPr>
        <w:t>came Chevron, which</w:t>
      </w:r>
      <w:r w:rsidRPr="000660AA">
        <w:rPr>
          <w:sz w:val="16"/>
        </w:rPr>
        <w:t xml:space="preserve"> extolled agency flexibility and </w:t>
      </w:r>
      <w:r w:rsidRPr="000660AA">
        <w:rPr>
          <w:rStyle w:val="StyleBoldUnderline"/>
        </w:rPr>
        <w:t>instructed courts to extend</w:t>
      </w:r>
      <w:r w:rsidRPr="000660AA">
        <w:rPr>
          <w:sz w:val="16"/>
        </w:rPr>
        <w:t xml:space="preserve"> strong </w:t>
      </w:r>
      <w:r w:rsidRPr="000660AA">
        <w:rPr>
          <w:rStyle w:val="StyleBoldUnderline"/>
        </w:rPr>
        <w:t>deference even to</w:t>
      </w:r>
      <w:r w:rsidRPr="000660AA">
        <w:rPr>
          <w:sz w:val="16"/>
        </w:rPr>
        <w:t xml:space="preserve"> interpretive </w:t>
      </w:r>
      <w:r w:rsidRPr="000660AA">
        <w:rPr>
          <w:rStyle w:val="StyleBoldUnderline"/>
        </w:rPr>
        <w:t>flip-flops</w:t>
      </w:r>
      <w:r w:rsidRPr="000660AA">
        <w:rPr>
          <w:sz w:val="16"/>
        </w:rPr>
        <w:t>. Competition between the virtues of interpretive consistency and flexibility has bubbled through and confused judicial deference analysis ever since. The Supreme Court’s recent efforts to limit the scope of Chevron’s strong deference to those agency constructions carrying the “force of law” has worsened such confusion, in part because the Court’s discussion and application of this concept were incoherent.</w:t>
      </w:r>
      <w:r w:rsidRPr="000660AA">
        <w:rPr>
          <w:sz w:val="12"/>
        </w:rPr>
        <w:t>¶</w:t>
      </w:r>
      <w:r w:rsidRPr="000660AA">
        <w:rPr>
          <w:sz w:val="16"/>
        </w:rPr>
        <w:t xml:space="preserve"> This Article proposes a new “commitment” approach to this “force of law” limitation that has deep roots in the concept of the “rule of law” and considerable power to clarify deference doctrine by resolving the clash between the competing values of interpretive consistency and flexibility. </w:t>
      </w:r>
      <w:r w:rsidRPr="008238EC">
        <w:rPr>
          <w:rStyle w:val="StyleBoldUnderline"/>
          <w:highlight w:val="green"/>
        </w:rPr>
        <w:t>For</w:t>
      </w:r>
      <w:r w:rsidRPr="000660AA">
        <w:rPr>
          <w:sz w:val="16"/>
        </w:rPr>
        <w:t xml:space="preserve"> the </w:t>
      </w:r>
      <w:r w:rsidRPr="008238EC">
        <w:rPr>
          <w:rStyle w:val="StyleBoldUnderline"/>
          <w:highlight w:val="green"/>
        </w:rPr>
        <w:t>rule of law to be genuine, the default position must be</w:t>
      </w:r>
      <w:r w:rsidRPr="000660AA">
        <w:rPr>
          <w:sz w:val="16"/>
        </w:rPr>
        <w:t xml:space="preserve"> that </w:t>
      </w:r>
      <w:r w:rsidRPr="000660AA">
        <w:rPr>
          <w:rStyle w:val="StyleBoldUnderline"/>
        </w:rPr>
        <w:t>“</w:t>
      </w:r>
      <w:r w:rsidRPr="008238EC">
        <w:rPr>
          <w:rStyle w:val="StyleBoldUnderline"/>
          <w:highlight w:val="green"/>
        </w:rPr>
        <w:t>laws” have general applicability</w:t>
      </w:r>
      <w:r w:rsidRPr="000660AA">
        <w:rPr>
          <w:sz w:val="16"/>
        </w:rPr>
        <w:t xml:space="preserve">—in other </w:t>
      </w:r>
      <w:proofErr w:type="gramStart"/>
      <w:r w:rsidRPr="000660AA">
        <w:rPr>
          <w:sz w:val="16"/>
        </w:rPr>
        <w:t>words,</w:t>
      </w:r>
      <w:proofErr w:type="gramEnd"/>
      <w:r w:rsidRPr="000660AA">
        <w:rPr>
          <w:sz w:val="16"/>
        </w:rPr>
        <w:t xml:space="preserve"> the law for X should be the law for Y as well. This truism suggests that an agency’s statutory construction properly can enjoy the force of law only where </w:t>
      </w:r>
      <w:r w:rsidRPr="000660AA">
        <w:rPr>
          <w:sz w:val="16"/>
        </w:rPr>
        <w:lastRenderedPageBreak/>
        <w:t xml:space="preserve">the agency has committed to applying its construction consistently across time and parties. Where an agency’s construction is longstanding, the agency’s commitment to consistent application is self-evident. The puzzle, of course, is to reconcile this commitment approach with Chevron’s praise of interpretive flexibility. One solution is to recognize that an agency can genuinely commit to a new interpretation by adopting it in a manner that makes it costly to change course later. </w:t>
      </w:r>
      <w:r w:rsidRPr="008238EC">
        <w:rPr>
          <w:rStyle w:val="StyleBoldUnderline"/>
          <w:highlight w:val="green"/>
        </w:rPr>
        <w:t>Where agencies commit to consistency</w:t>
      </w:r>
      <w:r w:rsidRPr="000660AA">
        <w:rPr>
          <w:sz w:val="16"/>
        </w:rPr>
        <w:t xml:space="preserve"> in this way</w:t>
      </w:r>
      <w:r w:rsidRPr="000660AA">
        <w:rPr>
          <w:rStyle w:val="StyleBoldUnderline"/>
        </w:rPr>
        <w:t xml:space="preserve">, </w:t>
      </w:r>
      <w:r w:rsidRPr="008238EC">
        <w:rPr>
          <w:rStyle w:val="StyleBoldUnderline"/>
          <w:highlight w:val="green"/>
        </w:rPr>
        <w:t>there is less need for courts to engage in</w:t>
      </w:r>
      <w:r w:rsidRPr="000660AA">
        <w:rPr>
          <w:sz w:val="16"/>
        </w:rPr>
        <w:t xml:space="preserve"> independent </w:t>
      </w:r>
      <w:r w:rsidRPr="008238EC">
        <w:rPr>
          <w:rStyle w:val="StyleBoldUnderline"/>
          <w:highlight w:val="green"/>
        </w:rPr>
        <w:t>statutory construction</w:t>
      </w:r>
      <w:r w:rsidRPr="000660AA">
        <w:rPr>
          <w:rStyle w:val="StyleBoldUnderline"/>
        </w:rPr>
        <w:t xml:space="preserve"> to protect rule-of-law values, which </w:t>
      </w:r>
      <w:r w:rsidRPr="000660AA">
        <w:rPr>
          <w:sz w:val="16"/>
        </w:rPr>
        <w:t xml:space="preserve">should </w:t>
      </w:r>
      <w:r w:rsidRPr="000660AA">
        <w:rPr>
          <w:rStyle w:val="StyleBoldUnderline"/>
        </w:rPr>
        <w:t>leave courts freer to accept</w:t>
      </w:r>
      <w:r w:rsidRPr="000660AA">
        <w:rPr>
          <w:sz w:val="16"/>
        </w:rPr>
        <w:t xml:space="preserve"> the premise of strong </w:t>
      </w:r>
      <w:r w:rsidRPr="000660AA">
        <w:rPr>
          <w:rStyle w:val="StyleBoldUnderline"/>
        </w:rPr>
        <w:t>deference</w:t>
      </w:r>
      <w:r w:rsidRPr="000660AA">
        <w:rPr>
          <w:sz w:val="16"/>
        </w:rPr>
        <w:t xml:space="preserve"> that the best way to determine the “meaning” of an agency’s statute is to trust the agency’s own (rational) construction.</w:t>
      </w:r>
    </w:p>
    <w:p w:rsidR="00BC73BF" w:rsidRPr="004960B6" w:rsidRDefault="00BC73BF" w:rsidP="00BC73BF"/>
    <w:p w:rsidR="00BC73BF" w:rsidRDefault="00BC73BF" w:rsidP="00BC73BF">
      <w:pPr>
        <w:pStyle w:val="Heading3"/>
      </w:pPr>
      <w:r>
        <w:lastRenderedPageBreak/>
        <w:t>Giroux K</w:t>
      </w:r>
    </w:p>
    <w:p w:rsidR="00BC73BF" w:rsidRPr="003D3FEB" w:rsidRDefault="00BC73BF" w:rsidP="00BC73BF">
      <w:pPr>
        <w:pStyle w:val="Heading4"/>
      </w:pPr>
      <w:r w:rsidRPr="003D3FEB">
        <w:t>The alt does nothing - individual rejection fails</w:t>
      </w:r>
    </w:p>
    <w:p w:rsidR="00BC73BF" w:rsidRPr="003D3FEB" w:rsidRDefault="00BC73BF" w:rsidP="00BC73BF">
      <w:pPr>
        <w:rPr>
          <w:rFonts w:ascii="Georgia" w:eastAsia="PMingLiU" w:hAnsi="Georgia"/>
          <w:sz w:val="16"/>
          <w:lang w:eastAsia="zh-TW"/>
        </w:rPr>
      </w:pPr>
      <w:proofErr w:type="spellStart"/>
      <w:r w:rsidRPr="003D3FEB">
        <w:rPr>
          <w:rFonts w:eastAsia="PMingLiU"/>
          <w:b/>
          <w:sz w:val="24"/>
          <w:lang w:eastAsia="zh-TW"/>
        </w:rPr>
        <w:t>Milbrath</w:t>
      </w:r>
      <w:proofErr w:type="spellEnd"/>
      <w:r w:rsidRPr="003D3FEB">
        <w:rPr>
          <w:rFonts w:eastAsia="PMingLiU"/>
          <w:b/>
          <w:sz w:val="24"/>
          <w:lang w:eastAsia="zh-TW"/>
        </w:rPr>
        <w:t xml:space="preserve"> 96</w:t>
      </w:r>
      <w:r w:rsidRPr="003D3FEB">
        <w:rPr>
          <w:rFonts w:ascii="Georgia" w:eastAsia="PMingLiU" w:hAnsi="Georgia"/>
          <w:sz w:val="16"/>
          <w:lang w:eastAsia="zh-TW"/>
        </w:rPr>
        <w:t xml:space="preserve"> (Lester, Professor of </w:t>
      </w:r>
      <w:proofErr w:type="spellStart"/>
      <w:r w:rsidRPr="003D3FEB">
        <w:rPr>
          <w:rFonts w:ascii="Georgia" w:eastAsia="PMingLiU" w:hAnsi="Georgia"/>
          <w:sz w:val="16"/>
          <w:lang w:eastAsia="zh-TW"/>
        </w:rPr>
        <w:t>PoliSci</w:t>
      </w:r>
      <w:proofErr w:type="spellEnd"/>
      <w:r w:rsidRPr="003D3FEB">
        <w:rPr>
          <w:rFonts w:ascii="Georgia" w:eastAsia="PMingLiU" w:hAnsi="Georgia"/>
          <w:sz w:val="16"/>
          <w:lang w:eastAsia="zh-TW"/>
        </w:rPr>
        <w:t xml:space="preserve"> and Sociology at SUNY-Buffalo, “In Building Sustainable Societies,” p.289)</w:t>
      </w:r>
      <w:r w:rsidRPr="003D3FEB">
        <w:rPr>
          <w:rFonts w:ascii="Georgia" w:eastAsia="PMingLiU" w:hAnsi="Georgia"/>
          <w:sz w:val="16"/>
          <w:lang w:eastAsia="zh-TW"/>
        </w:rPr>
        <w:tab/>
      </w:r>
    </w:p>
    <w:p w:rsidR="00BC73BF" w:rsidRDefault="00BC73BF" w:rsidP="00BC73BF">
      <w:pPr>
        <w:ind w:right="288"/>
        <w:rPr>
          <w:rFonts w:ascii="Georgia" w:eastAsia="Calibri" w:hAnsi="Georgia"/>
        </w:rPr>
      </w:pPr>
      <w:r w:rsidRPr="003D3FEB">
        <w:rPr>
          <w:rFonts w:ascii="Georgia" w:eastAsia="Calibri" w:hAnsi="Georgia"/>
          <w:sz w:val="16"/>
        </w:rPr>
        <w:t xml:space="preserve">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w:t>
      </w:r>
      <w:r w:rsidRPr="003D3FEB">
        <w:rPr>
          <w:rFonts w:ascii="Georgia" w:eastAsia="Calibri" w:hAnsi="Georgia"/>
        </w:rPr>
        <w:t xml:space="preserve">new values, new lifestyles, and new worldview. But </w:t>
      </w:r>
      <w:r w:rsidRPr="003D3FEB">
        <w:rPr>
          <w:rFonts w:ascii="Georgia" w:eastAsia="Calibri" w:hAnsi="Georgia"/>
          <w:highlight w:val="magenta"/>
        </w:rPr>
        <w:t xml:space="preserve">lasting personal change is unlikely without </w:t>
      </w:r>
      <w:r w:rsidRPr="003D3FEB">
        <w:rPr>
          <w:rFonts w:ascii="Georgia" w:eastAsia="Calibri" w:hAnsi="Georgia"/>
        </w:rPr>
        <w:t xml:space="preserve">simultaneous </w:t>
      </w:r>
      <w:r w:rsidRPr="003D3FEB">
        <w:rPr>
          <w:rFonts w:ascii="Georgia" w:eastAsia="Calibri" w:hAnsi="Georgia"/>
          <w:highlight w:val="magenta"/>
        </w:rPr>
        <w:t>transformation of the</w:t>
      </w:r>
      <w:r w:rsidRPr="003D3FEB">
        <w:rPr>
          <w:rFonts w:ascii="Georgia" w:eastAsia="Calibri" w:hAnsi="Georgia"/>
        </w:rPr>
        <w:t xml:space="preserve"> socioeconomic/political </w:t>
      </w:r>
      <w:r w:rsidRPr="003D3FEB">
        <w:rPr>
          <w:rFonts w:ascii="Georgia" w:eastAsia="Calibri" w:hAnsi="Georgia"/>
          <w:highlight w:val="magenta"/>
        </w:rPr>
        <w:t>system</w:t>
      </w:r>
      <w:r w:rsidRPr="003D3FEB">
        <w:rPr>
          <w:rFonts w:ascii="Georgia" w:eastAsia="Calibri" w:hAnsi="Georgia"/>
        </w:rPr>
        <w:t xml:space="preserve"> in which people function. </w:t>
      </w:r>
      <w:r w:rsidRPr="003D3FEB">
        <w:rPr>
          <w:rFonts w:ascii="Georgia" w:eastAsia="Calibri" w:hAnsi="Georgia"/>
          <w:highlight w:val="magenta"/>
        </w:rPr>
        <w:t xml:space="preserve">Persons may </w:t>
      </w:r>
      <w:r w:rsidRPr="003D3FEB">
        <w:rPr>
          <w:rFonts w:ascii="Georgia" w:eastAsia="Calibri" w:hAnsi="Georgia"/>
        </w:rPr>
        <w:t xml:space="preserve">solemnly </w:t>
      </w:r>
      <w:r w:rsidRPr="003D3FEB">
        <w:rPr>
          <w:rFonts w:ascii="Georgia" w:eastAsia="Calibri" w:hAnsi="Georgia"/>
          <w:highlight w:val="magenta"/>
        </w:rPr>
        <w:t>resolve to change, but that resolve is likely to weaken as they perform</w:t>
      </w:r>
      <w:r w:rsidRPr="003D3FEB">
        <w:rPr>
          <w:rFonts w:ascii="Georgia" w:eastAsia="Calibri" w:hAnsi="Georgia"/>
        </w:rPr>
        <w:t xml:space="preserve"> day-to-day </w:t>
      </w:r>
      <w:r w:rsidRPr="003D3FEB">
        <w:rPr>
          <w:rFonts w:ascii="Georgia" w:eastAsia="Calibri" w:hAnsi="Georgia"/>
          <w:highlight w:val="magenta"/>
        </w:rPr>
        <w:t>within a system reinforcing different beliefs</w:t>
      </w:r>
      <w:r w:rsidRPr="003D3FEB">
        <w:rPr>
          <w:rFonts w:ascii="Georgia" w:eastAsia="Calibri" w:hAnsi="Georgia"/>
        </w:rPr>
        <w:t xml:space="preserve"> and values. </w:t>
      </w:r>
      <w:r w:rsidRPr="003D3FEB">
        <w:rPr>
          <w:rFonts w:ascii="Georgia" w:eastAsia="Calibri" w:hAnsi="Georgia"/>
          <w:highlight w:val="magenta"/>
        </w:rPr>
        <w:t>Change agents</w:t>
      </w:r>
      <w:r w:rsidRPr="003D3FEB">
        <w:rPr>
          <w:rFonts w:ascii="Georgia" w:eastAsia="Calibri" w:hAnsi="Georgia"/>
        </w:rPr>
        <w:t xml:space="preserve"> typically </w:t>
      </w:r>
      <w:r w:rsidRPr="003D3FEB">
        <w:rPr>
          <w:rFonts w:ascii="Georgia" w:eastAsia="Calibri" w:hAnsi="Georgia"/>
          <w:highlight w:val="magenta"/>
        </w:rPr>
        <w:t>are met with</w:t>
      </w:r>
      <w:r w:rsidRPr="003D3FEB">
        <w:rPr>
          <w:rFonts w:ascii="Georgia" w:eastAsia="Calibri" w:hAnsi="Georgia"/>
        </w:rPr>
        <w:t xml:space="preserve"> denial and </w:t>
      </w:r>
      <w:r w:rsidRPr="003D3FEB">
        <w:rPr>
          <w:rFonts w:ascii="Georgia" w:eastAsia="Calibri" w:hAnsi="Georgia"/>
          <w:highlight w:val="magenta"/>
        </w:rPr>
        <w:t>great resistance</w:t>
      </w:r>
      <w:r w:rsidRPr="003D3FEB">
        <w:rPr>
          <w:rFonts w:ascii="Georgia" w:eastAsia="Calibri" w:hAnsi="Georgia"/>
        </w:rPr>
        <w:t>. Reluctance to challenge mainstream society is the major reason most efforts emphasizing education to bring about change are ineffective. If societal transformation must be speedy, and most of us believe it must, pleading with individuals to change is not likely to be effective.</w:t>
      </w:r>
    </w:p>
    <w:p w:rsidR="00BC73BF" w:rsidRPr="006D7927" w:rsidRDefault="00BC73BF" w:rsidP="00BC73BF"/>
    <w:p w:rsidR="00BC73BF" w:rsidRPr="003D3FEB" w:rsidRDefault="00BC73BF" w:rsidP="00BC73BF">
      <w:pPr>
        <w:rPr>
          <w:rFonts w:ascii="Georgia" w:eastAsia="PMingLiU" w:hAnsi="Georgia"/>
          <w:b/>
          <w:sz w:val="24"/>
          <w:lang w:eastAsia="zh-TW"/>
        </w:rPr>
      </w:pPr>
      <w:r w:rsidRPr="003D3FEB">
        <w:rPr>
          <w:rFonts w:ascii="Georgia" w:eastAsia="PMingLiU" w:hAnsi="Georgia"/>
          <w:b/>
          <w:lang w:eastAsia="ko-KR"/>
        </w:rPr>
        <w:t xml:space="preserve">Prefer </w:t>
      </w:r>
      <w:proofErr w:type="spellStart"/>
      <w:r w:rsidRPr="003D3FEB">
        <w:rPr>
          <w:rFonts w:ascii="Georgia" w:eastAsia="PMingLiU" w:hAnsi="Georgia"/>
          <w:b/>
          <w:lang w:eastAsia="ko-KR"/>
        </w:rPr>
        <w:t>aff</w:t>
      </w:r>
      <w:proofErr w:type="spellEnd"/>
      <w:r w:rsidRPr="003D3FEB">
        <w:rPr>
          <w:rFonts w:ascii="Georgia" w:eastAsia="PMingLiU" w:hAnsi="Georgia"/>
          <w:b/>
          <w:lang w:eastAsia="ko-KR"/>
        </w:rPr>
        <w:t xml:space="preserve"> falsifiability – it disproves their methodology, destroys academic debate, and causes extinction.</w:t>
      </w:r>
    </w:p>
    <w:p w:rsidR="00BC73BF" w:rsidRPr="003D3FEB" w:rsidRDefault="00BC73BF" w:rsidP="00BC73BF">
      <w:pPr>
        <w:ind w:left="1440" w:hanging="1080"/>
        <w:rPr>
          <w:rFonts w:ascii="Georgia" w:eastAsia="PMingLiU" w:hAnsi="Georgia"/>
          <w:sz w:val="12"/>
          <w:szCs w:val="12"/>
          <w:lang w:eastAsia="zh-TW"/>
        </w:rPr>
      </w:pPr>
      <w:r w:rsidRPr="003D3FEB">
        <w:rPr>
          <w:rFonts w:ascii="Georgia" w:eastAsia="PMingLiU" w:hAnsi="Georgia"/>
          <w:b/>
          <w:highlight w:val="green"/>
          <w:lang w:eastAsia="zh-TW"/>
        </w:rPr>
        <w:t>Coyne ‘6</w:t>
      </w:r>
      <w:r w:rsidRPr="003D3FEB">
        <w:rPr>
          <w:rFonts w:ascii="Georgia" w:eastAsia="PMingLiU" w:hAnsi="Georgia"/>
          <w:sz w:val="20"/>
          <w:lang w:eastAsia="zh-TW"/>
        </w:rPr>
        <w:t xml:space="preserve"> </w:t>
      </w:r>
      <w:r w:rsidRPr="003D3FEB">
        <w:rPr>
          <w:rFonts w:ascii="Georgia" w:eastAsia="PMingLiU" w:hAnsi="Georgia"/>
          <w:sz w:val="12"/>
          <w:szCs w:val="12"/>
          <w:lang w:eastAsia="zh-TW"/>
        </w:rPr>
        <w:tab/>
        <w:t>(Jerry A., Author and Writer for the Times, “A plea for empiricism”, FOLLIES OF THE WISE, Dissenting essays, 405pp. Emeryville, CA: Shoemaker and Hoard, 1 59376 101 5)</w:t>
      </w:r>
    </w:p>
    <w:p w:rsidR="00BC73BF" w:rsidRDefault="00BC73BF" w:rsidP="00BC73BF">
      <w:pPr>
        <w:rPr>
          <w:rFonts w:ascii="Georgia" w:eastAsia="PMingLiU" w:hAnsi="Georgia"/>
          <w:sz w:val="20"/>
          <w:lang w:eastAsia="zh-TW"/>
        </w:rPr>
      </w:pPr>
      <w:r w:rsidRPr="003D3FEB">
        <w:rPr>
          <w:rFonts w:eastAsia="Malgun Gothic"/>
          <w:sz w:val="12"/>
          <w:szCs w:val="12"/>
          <w:u w:val="single"/>
        </w:rPr>
        <w:t>My discomfort with</w:t>
      </w:r>
      <w:r w:rsidRPr="003D3FEB">
        <w:rPr>
          <w:rFonts w:ascii="Georgia" w:eastAsia="PMingLiU" w:hAnsi="Georgia"/>
          <w:sz w:val="12"/>
          <w:szCs w:val="12"/>
          <w:lang w:eastAsia="zh-TW"/>
        </w:rPr>
        <w:t xml:space="preserve"> Freud’s </w:t>
      </w:r>
      <w:r w:rsidRPr="003D3FEB">
        <w:rPr>
          <w:rFonts w:eastAsia="Malgun Gothic"/>
          <w:sz w:val="12"/>
          <w:szCs w:val="12"/>
          <w:u w:val="single"/>
        </w:rPr>
        <w:t xml:space="preserve">lack of </w:t>
      </w:r>
      <w:proofErr w:type="spellStart"/>
      <w:r w:rsidRPr="003D3FEB">
        <w:rPr>
          <w:rFonts w:eastAsia="Malgun Gothic"/>
          <w:sz w:val="12"/>
          <w:szCs w:val="12"/>
          <w:u w:val="single"/>
        </w:rPr>
        <w:t>rigour</w:t>
      </w:r>
      <w:proofErr w:type="spellEnd"/>
      <w:r w:rsidRPr="003D3FEB">
        <w:rPr>
          <w:rFonts w:eastAsia="Malgun Gothic"/>
          <w:sz w:val="12"/>
          <w:szCs w:val="12"/>
          <w:u w:val="single"/>
        </w:rPr>
        <w:t xml:space="preserve"> only grew</w:t>
      </w:r>
      <w:r w:rsidRPr="003D3FEB">
        <w:rPr>
          <w:rFonts w:ascii="Georgia" w:eastAsia="PMingLiU" w:hAnsi="Georgia"/>
          <w:sz w:val="12"/>
          <w:szCs w:val="12"/>
          <w:lang w:eastAsia="zh-TW"/>
        </w:rPr>
        <w:t xml:space="preserve"> as I continued to read his books and case histories. The latter were especially problematic: surely there were better explanations of Little Hans’s fear of horses than their symbolic representation of his father, haunting Hans with the threat of retaliation for his </w:t>
      </w:r>
      <w:proofErr w:type="gramStart"/>
      <w:r w:rsidRPr="003D3FEB">
        <w:rPr>
          <w:rFonts w:ascii="Georgia" w:eastAsia="PMingLiU" w:hAnsi="Georgia"/>
          <w:sz w:val="12"/>
          <w:szCs w:val="12"/>
          <w:lang w:eastAsia="zh-TW"/>
        </w:rPr>
        <w:t>Oedipal</w:t>
      </w:r>
      <w:proofErr w:type="gramEnd"/>
      <w:r w:rsidRPr="003D3FEB">
        <w:rPr>
          <w:rFonts w:ascii="Georgia" w:eastAsia="PMingLiU" w:hAnsi="Georgia"/>
          <w:sz w:val="12"/>
          <w:szCs w:val="12"/>
          <w:lang w:eastAsia="zh-TW"/>
        </w:rPr>
        <w:t xml:space="preserve"> fantasies. (It has since more plausibly been suggested that Hans was simply traumatized after seeing a horse collapse in the street.) Was Freud making it all up as he went along? Or did I have a personality flaw that blinded me to the power of his contributions? After all, he is touted (along with Darwin and Marx) as one of the three greatest modern thinkers, and only a hermit could be unaware of how deeply his ideas permeate Western society. Fortunately, Frederick </w:t>
      </w:r>
      <w:r w:rsidRPr="003D3FEB">
        <w:rPr>
          <w:rFonts w:eastAsia="Malgun Gothic"/>
          <w:sz w:val="12"/>
          <w:szCs w:val="12"/>
          <w:u w:val="single"/>
        </w:rPr>
        <w:t>Crews has made a much more thorough study</w:t>
      </w:r>
      <w:r w:rsidRPr="003D3FEB">
        <w:rPr>
          <w:rFonts w:ascii="Georgia" w:eastAsia="PMingLiU" w:hAnsi="Georgia"/>
          <w:sz w:val="12"/>
          <w:szCs w:val="12"/>
          <w:lang w:eastAsia="zh-TW"/>
        </w:rPr>
        <w:t xml:space="preserve"> of Freud, distilling and interpreting not only his whole corpus but also the past three decades of Freud scholarship. </w:t>
      </w:r>
      <w:r w:rsidRPr="003D3FEB">
        <w:rPr>
          <w:rFonts w:eastAsia="Malgun Gothic"/>
          <w:sz w:val="12"/>
          <w:szCs w:val="12"/>
          <w:u w:val="single"/>
        </w:rPr>
        <w:t>His conclusion is that Freud was indeed making it up as he went along</w:t>
      </w:r>
      <w:r w:rsidRPr="003D3FEB">
        <w:rPr>
          <w:rFonts w:ascii="Georgia" w:eastAsia="PMingLiU" w:hAnsi="Georgia"/>
          <w:sz w:val="12"/>
          <w:szCs w:val="12"/>
          <w:lang w:eastAsia="zh-TW"/>
        </w:rPr>
        <w:t xml:space="preserve">. In Follies of the Wise, </w:t>
      </w:r>
      <w:r w:rsidRPr="003D3FEB">
        <w:rPr>
          <w:rFonts w:eastAsia="Malgun Gothic"/>
          <w:sz w:val="12"/>
          <w:szCs w:val="12"/>
          <w:u w:val="single"/>
        </w:rPr>
        <w:t>Crews</w:t>
      </w:r>
      <w:r w:rsidRPr="003D3FEB">
        <w:rPr>
          <w:rFonts w:ascii="Georgia" w:eastAsia="PMingLiU" w:hAnsi="Georgia"/>
          <w:sz w:val="12"/>
          <w:szCs w:val="12"/>
          <w:lang w:eastAsia="zh-TW"/>
        </w:rPr>
        <w:t xml:space="preserve"> </w:t>
      </w:r>
      <w:r w:rsidRPr="003D3FEB">
        <w:rPr>
          <w:rFonts w:eastAsia="Malgun Gothic"/>
          <w:sz w:val="12"/>
          <w:szCs w:val="12"/>
          <w:u w:val="single"/>
        </w:rPr>
        <w:t>takes</w:t>
      </w:r>
      <w:r w:rsidRPr="003D3FEB">
        <w:rPr>
          <w:rFonts w:ascii="Georgia" w:eastAsia="PMingLiU" w:hAnsi="Georgia"/>
          <w:sz w:val="12"/>
          <w:szCs w:val="12"/>
          <w:lang w:eastAsia="zh-TW"/>
        </w:rPr>
        <w:t xml:space="preserve"> on</w:t>
      </w:r>
      <w:r w:rsidRPr="003D3FEB">
        <w:rPr>
          <w:rFonts w:ascii="Georgia" w:eastAsia="PMingLiU" w:hAnsi="Georgia"/>
          <w:sz w:val="20"/>
          <w:lang w:eastAsia="zh-TW"/>
        </w:rPr>
        <w:t xml:space="preserve"> </w:t>
      </w:r>
      <w:r w:rsidRPr="003D3FEB">
        <w:rPr>
          <w:rFonts w:eastAsia="Malgun Gothic"/>
          <w:sz w:val="24"/>
          <w:szCs w:val="24"/>
          <w:u w:val="single"/>
        </w:rPr>
        <w:t>not only</w:t>
      </w:r>
      <w:r w:rsidRPr="003D3FEB">
        <w:rPr>
          <w:rFonts w:ascii="Georgia" w:eastAsia="PMingLiU" w:hAnsi="Georgia"/>
          <w:sz w:val="20"/>
          <w:lang w:eastAsia="zh-TW"/>
        </w:rPr>
        <w:t xml:space="preserve"> </w:t>
      </w:r>
      <w:r w:rsidRPr="003D3FEB">
        <w:rPr>
          <w:rFonts w:eastAsia="Malgun Gothic"/>
          <w:sz w:val="24"/>
          <w:szCs w:val="24"/>
          <w:u w:val="single"/>
        </w:rPr>
        <w:t xml:space="preserve">Freud and psychoanalysis, but also other fields of </w:t>
      </w:r>
      <w:r w:rsidRPr="003D3FEB">
        <w:rPr>
          <w:rFonts w:eastAsia="Malgun Gothic"/>
          <w:sz w:val="24"/>
          <w:szCs w:val="24"/>
          <w:highlight w:val="green"/>
          <w:u w:val="single"/>
        </w:rPr>
        <w:t xml:space="preserve">intellectual inquiry </w:t>
      </w:r>
      <w:r w:rsidRPr="003D3FEB">
        <w:rPr>
          <w:rFonts w:eastAsia="Malgun Gothic"/>
          <w:sz w:val="24"/>
          <w:szCs w:val="24"/>
          <w:u w:val="single"/>
        </w:rPr>
        <w:t xml:space="preserve">which </w:t>
      </w:r>
      <w:r w:rsidRPr="003D3FEB">
        <w:rPr>
          <w:rFonts w:eastAsia="Malgun Gothic"/>
          <w:sz w:val="24"/>
          <w:szCs w:val="24"/>
          <w:highlight w:val="green"/>
          <w:u w:val="single"/>
        </w:rPr>
        <w:t>have caused rational people to succumb to irrational ideas</w:t>
      </w:r>
      <w:r w:rsidRPr="003D3FEB">
        <w:rPr>
          <w:rFonts w:ascii="Georgia" w:eastAsia="PMingLiU" w:hAnsi="Georgia"/>
          <w:sz w:val="12"/>
          <w:szCs w:val="12"/>
          <w:lang w:eastAsia="zh-TW"/>
        </w:rPr>
        <w:t xml:space="preserve">: recovered-memory therapy, alien abduction, theosophy, Rorschach inkblot analysis, intelligent design creationism, and even poststructuralist literary theory. </w:t>
      </w:r>
      <w:r w:rsidRPr="003D3FEB">
        <w:rPr>
          <w:rFonts w:eastAsia="Malgun Gothic"/>
          <w:sz w:val="12"/>
          <w:szCs w:val="12"/>
          <w:u w:val="single"/>
        </w:rPr>
        <w:t>All of these</w:t>
      </w:r>
      <w:r w:rsidRPr="003D3FEB">
        <w:rPr>
          <w:rFonts w:ascii="Georgia" w:eastAsia="PMingLiU" w:hAnsi="Georgia"/>
          <w:sz w:val="12"/>
          <w:szCs w:val="12"/>
          <w:lang w:eastAsia="zh-TW"/>
        </w:rPr>
        <w:t xml:space="preserve">, asserts Crews, </w:t>
      </w:r>
      <w:r w:rsidRPr="003D3FEB">
        <w:rPr>
          <w:rFonts w:eastAsia="Malgun Gothic"/>
          <w:sz w:val="12"/>
          <w:szCs w:val="12"/>
          <w:u w:val="single"/>
        </w:rPr>
        <w:t>violate “the ethic of respecting that which is known, acknowledging what is still unknown, and acting as if one cared about the difference”.</w:t>
      </w:r>
      <w:r w:rsidRPr="003D3FEB">
        <w:rPr>
          <w:rFonts w:ascii="Georgia" w:eastAsia="PMingLiU" w:hAnsi="Georgia"/>
          <w:sz w:val="12"/>
          <w:szCs w:val="12"/>
          <w:lang w:eastAsia="zh-TW"/>
        </w:rPr>
        <w:t xml:space="preserve"> This, then, is a collection about epistemology, and one that should be read by anyone still </w:t>
      </w:r>
      <w:proofErr w:type="spellStart"/>
      <w:r w:rsidRPr="003D3FEB">
        <w:rPr>
          <w:rFonts w:ascii="Georgia" w:eastAsia="PMingLiU" w:hAnsi="Georgia"/>
          <w:sz w:val="12"/>
          <w:szCs w:val="12"/>
          <w:lang w:eastAsia="zh-TW"/>
        </w:rPr>
        <w:t>harbouring</w:t>
      </w:r>
      <w:proofErr w:type="spellEnd"/>
      <w:r w:rsidRPr="003D3FEB">
        <w:rPr>
          <w:rFonts w:ascii="Georgia" w:eastAsia="PMingLiU" w:hAnsi="Georgia"/>
          <w:sz w:val="12"/>
          <w:szCs w:val="12"/>
          <w:lang w:eastAsia="zh-TW"/>
        </w:rPr>
        <w:t xml:space="preserve"> the delusion that Freud was an important thinker, that psychoanalysis is an important cure, that intelligent design is a credible alternative to Darwinism, or that religion and science can coexist happily. It is perhaps strange that a retired professor of literature should become our preeminent critic of Freudianism and other intellectual follies on empirical grounds. But Crews has a keen mind, whetted by decades of arguing about the meaning of American literature, a scientific temperament, and is a fine prose stylist. And his credentials, at least for criticizing Freud, are authenticated by the fact that he was once an ardent Freudian, having written a psychoanalytic analysis of Nathaniel Hawthorne (The Sins of the Fathers, 1966), and then later disowned much of that book after developing misgivings about Freud’s system. Laid out in the first four essays, </w:t>
      </w:r>
      <w:proofErr w:type="spellStart"/>
      <w:r w:rsidRPr="003D3FEB">
        <w:rPr>
          <w:rFonts w:ascii="Georgia" w:eastAsia="PMingLiU" w:hAnsi="Georgia"/>
          <w:sz w:val="12"/>
          <w:szCs w:val="12"/>
          <w:lang w:eastAsia="zh-TW"/>
        </w:rPr>
        <w:t>Crews’s</w:t>
      </w:r>
      <w:proofErr w:type="spellEnd"/>
      <w:r w:rsidRPr="003D3FEB">
        <w:rPr>
          <w:rFonts w:ascii="Georgia" w:eastAsia="PMingLiU" w:hAnsi="Georgia"/>
          <w:sz w:val="12"/>
          <w:szCs w:val="12"/>
          <w:lang w:eastAsia="zh-TW"/>
        </w:rPr>
        <w:t xml:space="preserve"> brief against Freud is hard to refute. Through Freud’s letters and documents, Crews reveals him to be not the compassionate healer of legend, but a cold and calculating megalomaniac, determined to go down in history as the Darwin of the psyche. </w:t>
      </w:r>
      <w:r w:rsidRPr="003D3FEB">
        <w:rPr>
          <w:rFonts w:eastAsia="Malgun Gothic"/>
          <w:sz w:val="12"/>
          <w:szCs w:val="12"/>
          <w:u w:val="single"/>
        </w:rPr>
        <w:t>Not only did he not care about patients</w:t>
      </w:r>
      <w:r w:rsidRPr="003D3FEB">
        <w:rPr>
          <w:rFonts w:ascii="Georgia" w:eastAsia="PMingLiU" w:hAnsi="Georgia"/>
          <w:sz w:val="12"/>
          <w:szCs w:val="12"/>
          <w:lang w:eastAsia="zh-TW"/>
        </w:rPr>
        <w:t xml:space="preserve"> (he sometimes napped or wrote letters while they were free-associating): </w:t>
      </w:r>
      <w:r w:rsidRPr="003D3FEB">
        <w:rPr>
          <w:rFonts w:eastAsia="Malgun Gothic"/>
          <w:sz w:val="12"/>
          <w:szCs w:val="12"/>
          <w:u w:val="single"/>
        </w:rPr>
        <w:t>there is no historical evidence that he effectively cured any of them</w:t>
      </w:r>
      <w:r w:rsidRPr="003D3FEB">
        <w:rPr>
          <w:rFonts w:ascii="Georgia" w:eastAsia="PMingLiU" w:hAnsi="Georgia"/>
          <w:sz w:val="12"/>
          <w:szCs w:val="12"/>
          <w:lang w:eastAsia="zh-TW"/>
        </w:rPr>
        <w:t xml:space="preserve">. </w:t>
      </w:r>
      <w:r w:rsidRPr="003D3FEB">
        <w:rPr>
          <w:rFonts w:eastAsia="Malgun Gothic"/>
          <w:sz w:val="12"/>
          <w:szCs w:val="12"/>
          <w:u w:val="single"/>
        </w:rPr>
        <w:t xml:space="preserve">And </w:t>
      </w:r>
      <w:r w:rsidRPr="003D3FEB">
        <w:rPr>
          <w:rFonts w:eastAsia="Malgun Gothic"/>
          <w:sz w:val="24"/>
          <w:szCs w:val="24"/>
          <w:u w:val="single"/>
        </w:rPr>
        <w:t>the propositions of psychoanalysis have proven to be either untestable or falsified.</w:t>
      </w:r>
      <w:r w:rsidRPr="003D3FEB">
        <w:rPr>
          <w:rFonts w:ascii="Georgia" w:eastAsia="PMingLiU" w:hAnsi="Georgia"/>
          <w:sz w:val="20"/>
          <w:lang w:eastAsia="zh-TW"/>
        </w:rPr>
        <w:t xml:space="preserve"> </w:t>
      </w:r>
      <w:r w:rsidRPr="003D3FEB">
        <w:rPr>
          <w:rFonts w:eastAsia="Malgun Gothic"/>
          <w:sz w:val="24"/>
          <w:szCs w:val="24"/>
          <w:u w:val="single"/>
        </w:rPr>
        <w:t>How can we disprove the idea, for example, that we have a death drive</w:t>
      </w:r>
      <w:r w:rsidRPr="003D3FEB">
        <w:rPr>
          <w:rFonts w:ascii="Georgia" w:eastAsia="PMingLiU" w:hAnsi="Georgia"/>
          <w:sz w:val="20"/>
          <w:lang w:eastAsia="zh-TW"/>
        </w:rPr>
        <w:t xml:space="preserve">? Or that dreams always represent wish </w:t>
      </w:r>
      <w:proofErr w:type="spellStart"/>
      <w:r w:rsidRPr="003D3FEB">
        <w:rPr>
          <w:rFonts w:ascii="Georgia" w:eastAsia="PMingLiU" w:hAnsi="Georgia"/>
          <w:sz w:val="20"/>
          <w:lang w:eastAsia="zh-TW"/>
        </w:rPr>
        <w:t>fulfilments</w:t>
      </w:r>
      <w:proofErr w:type="spellEnd"/>
      <w:r w:rsidRPr="003D3FEB">
        <w:rPr>
          <w:rFonts w:ascii="Georgia" w:eastAsia="PMingLiU" w:hAnsi="Georgia"/>
          <w:sz w:val="20"/>
          <w:lang w:eastAsia="zh-TW"/>
        </w:rPr>
        <w:t xml:space="preserve">? </w:t>
      </w:r>
      <w:r w:rsidRPr="003D3FEB">
        <w:rPr>
          <w:rFonts w:eastAsia="Malgun Gothic"/>
          <w:sz w:val="24"/>
          <w:szCs w:val="24"/>
          <w:u w:val="single"/>
        </w:rPr>
        <w:t>When faced with counter-examples</w:t>
      </w:r>
      <w:r w:rsidRPr="003D3FEB">
        <w:rPr>
          <w:rFonts w:ascii="Georgia" w:eastAsia="PMingLiU" w:hAnsi="Georgia"/>
          <w:sz w:val="20"/>
          <w:lang w:eastAsia="zh-TW"/>
        </w:rPr>
        <w:t xml:space="preserve">, </w:t>
      </w:r>
      <w:r w:rsidRPr="003D3FEB">
        <w:rPr>
          <w:rFonts w:eastAsia="Malgun Gothic"/>
          <w:sz w:val="24"/>
          <w:szCs w:val="24"/>
          <w:u w:val="single"/>
        </w:rPr>
        <w:t>Freudianism always proves malleable enough to incorporate them as evidence for the theory</w:t>
      </w:r>
      <w:r w:rsidRPr="003D3FEB">
        <w:rPr>
          <w:rFonts w:ascii="Georgia" w:eastAsia="PMingLiU" w:hAnsi="Georgia"/>
          <w:sz w:val="12"/>
          <w:szCs w:val="12"/>
          <w:lang w:eastAsia="zh-TW"/>
        </w:rPr>
        <w:t xml:space="preserve">. Other key elements of Freudian theory have never been corroborated. </w:t>
      </w:r>
      <w:r w:rsidRPr="003D3FEB">
        <w:rPr>
          <w:rFonts w:eastAsia="Malgun Gothic"/>
          <w:sz w:val="12"/>
          <w:szCs w:val="12"/>
          <w:u w:val="single"/>
        </w:rPr>
        <w:t xml:space="preserve">There are no scientifically convincing experiments, for example, demonstrating the repression of traumatic memories. </w:t>
      </w:r>
      <w:r w:rsidRPr="003D3FEB">
        <w:rPr>
          <w:rFonts w:ascii="Georgia" w:eastAsia="PMingLiU" w:hAnsi="Georgia"/>
          <w:sz w:val="12"/>
          <w:szCs w:val="12"/>
          <w:lang w:eastAsia="zh-TW"/>
        </w:rPr>
        <w:t xml:space="preserve">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w:t>
      </w:r>
      <w:r w:rsidRPr="003D3FEB">
        <w:rPr>
          <w:rFonts w:eastAsia="Malgun Gothic"/>
          <w:sz w:val="12"/>
          <w:szCs w:val="12"/>
          <w:u w:val="single"/>
        </w:rPr>
        <w:t>Realizing</w:t>
      </w:r>
      <w:r w:rsidRPr="003D3FEB">
        <w:rPr>
          <w:rFonts w:ascii="Georgia" w:eastAsia="PMingLiU" w:hAnsi="Georgia"/>
          <w:sz w:val="12"/>
          <w:szCs w:val="12"/>
          <w:lang w:eastAsia="zh-TW"/>
        </w:rPr>
        <w:t xml:space="preserve"> the </w:t>
      </w:r>
      <w:r w:rsidRPr="003D3FEB">
        <w:rPr>
          <w:rFonts w:eastAsia="Malgun Gothic"/>
          <w:sz w:val="12"/>
          <w:szCs w:val="12"/>
          <w:u w:val="single"/>
        </w:rPr>
        <w:t>scientific weaknesses of</w:t>
      </w:r>
      <w:r w:rsidRPr="003D3FEB">
        <w:rPr>
          <w:rFonts w:ascii="Georgia" w:eastAsia="PMingLiU" w:hAnsi="Georgia"/>
          <w:sz w:val="12"/>
          <w:szCs w:val="12"/>
          <w:lang w:eastAsia="zh-TW"/>
        </w:rPr>
        <w:t xml:space="preserve"> Freud, </w:t>
      </w:r>
      <w:r w:rsidRPr="003D3FEB">
        <w:rPr>
          <w:rFonts w:eastAsia="Malgun Gothic"/>
          <w:sz w:val="12"/>
          <w:szCs w:val="12"/>
          <w:u w:val="single"/>
        </w:rPr>
        <w:t xml:space="preserve">many diehards have taken the </w:t>
      </w:r>
      <w:proofErr w:type="spellStart"/>
      <w:r w:rsidRPr="003D3FEB">
        <w:rPr>
          <w:rFonts w:eastAsia="Malgun Gothic"/>
          <w:sz w:val="12"/>
          <w:szCs w:val="12"/>
          <w:u w:val="single"/>
        </w:rPr>
        <w:t>fall-back</w:t>
      </w:r>
      <w:proofErr w:type="spellEnd"/>
      <w:r w:rsidRPr="003D3FEB">
        <w:rPr>
          <w:rFonts w:eastAsia="Malgun Gothic"/>
          <w:sz w:val="12"/>
          <w:szCs w:val="12"/>
          <w:u w:val="single"/>
        </w:rPr>
        <w:t xml:space="preserve"> position</w:t>
      </w:r>
      <w:r w:rsidRPr="003D3FEB">
        <w:rPr>
          <w:rFonts w:ascii="Georgia" w:eastAsia="PMingLiU" w:hAnsi="Georgia"/>
          <w:sz w:val="12"/>
          <w:szCs w:val="12"/>
          <w:lang w:eastAsia="zh-TW"/>
        </w:rPr>
        <w:t xml:space="preserve"> that he was nevertheless a thinker of the first rank. Didn’t Freud give us the idea of the unconscious, they argue? Well, not really, for </w:t>
      </w:r>
      <w:r w:rsidRPr="003D3FEB">
        <w:rPr>
          <w:rFonts w:eastAsia="Malgun Gothic"/>
          <w:sz w:val="12"/>
          <w:szCs w:val="12"/>
          <w:u w:val="single"/>
        </w:rPr>
        <w:t>there was a whole history of pre-Freudian thought about people’s buried motives, including the writings of Shakespeare and Nietzsche.</w:t>
      </w:r>
      <w:r w:rsidRPr="003D3FEB">
        <w:rPr>
          <w:rFonts w:ascii="Georgia" w:eastAsia="PMingLiU" w:hAnsi="Georgia"/>
          <w:sz w:val="12"/>
          <w:szCs w:val="12"/>
          <w:lang w:eastAsia="zh-TW"/>
        </w:rPr>
        <w:t xml:space="preserve"> The “unconscious” was a commonplace of Romantic psychology and philosophy. And those who champion Freud as a philosopher must realize that his package also includes less </w:t>
      </w:r>
      <w:proofErr w:type="spellStart"/>
      <w:r w:rsidRPr="003D3FEB">
        <w:rPr>
          <w:rFonts w:ascii="Georgia" w:eastAsia="PMingLiU" w:hAnsi="Georgia"/>
          <w:sz w:val="12"/>
          <w:szCs w:val="12"/>
          <w:lang w:eastAsia="zh-TW"/>
        </w:rPr>
        <w:t>savoury</w:t>
      </w:r>
      <w:proofErr w:type="spellEnd"/>
      <w:r w:rsidRPr="003D3FEB">
        <w:rPr>
          <w:rFonts w:ascii="Georgia" w:eastAsia="PMingLiU" w:hAnsi="Georgia"/>
          <w:sz w:val="12"/>
          <w:szCs w:val="12"/>
          <w:lang w:eastAsia="zh-TW"/>
        </w:rPr>
        <w:t xml:space="preserve"> items like penis envy, the amorality of women, and our Lamarckian inheritance of “racial memory”. The quality of </w:t>
      </w:r>
      <w:proofErr w:type="spellStart"/>
      <w:r w:rsidRPr="003D3FEB">
        <w:rPr>
          <w:rFonts w:eastAsia="Malgun Gothic"/>
          <w:sz w:val="12"/>
          <w:szCs w:val="12"/>
          <w:u w:val="single"/>
        </w:rPr>
        <w:t>Crews’s</w:t>
      </w:r>
      <w:proofErr w:type="spellEnd"/>
      <w:r w:rsidRPr="003D3FEB">
        <w:rPr>
          <w:rFonts w:ascii="Georgia" w:eastAsia="PMingLiU" w:hAnsi="Georgia"/>
          <w:sz w:val="12"/>
          <w:szCs w:val="12"/>
          <w:lang w:eastAsia="zh-TW"/>
        </w:rPr>
        <w:t xml:space="preserve"> prose is particularly evident in his two chapters on evolution versus creationism. In the first, </w:t>
      </w:r>
      <w:r w:rsidRPr="003D3FEB">
        <w:rPr>
          <w:rFonts w:eastAsia="Malgun Gothic"/>
          <w:sz w:val="12"/>
          <w:szCs w:val="12"/>
          <w:u w:val="single"/>
        </w:rPr>
        <w:t>he takes on creationists in their new guise as intelligent-design advocates</w:t>
      </w:r>
      <w:r w:rsidRPr="003D3FEB">
        <w:rPr>
          <w:rFonts w:ascii="Georgia" w:eastAsia="PMingLiU" w:hAnsi="Georgia"/>
          <w:sz w:val="12"/>
          <w:szCs w:val="12"/>
          <w:lang w:eastAsia="zh-TW"/>
        </w:rPr>
        <w:t xml:space="preserve">, </w:t>
      </w:r>
      <w:r w:rsidRPr="003D3FEB">
        <w:rPr>
          <w:rFonts w:eastAsia="Malgun Gothic"/>
          <w:sz w:val="12"/>
          <w:szCs w:val="12"/>
          <w:u w:val="single"/>
        </w:rPr>
        <w:t>chastis</w:t>
      </w:r>
      <w:r w:rsidRPr="003D3FEB">
        <w:rPr>
          <w:rFonts w:ascii="Georgia" w:eastAsia="PMingLiU" w:hAnsi="Georgia"/>
          <w:sz w:val="12"/>
          <w:szCs w:val="12"/>
          <w:lang w:eastAsia="zh-TW"/>
        </w:rPr>
        <w:t>ing</w:t>
      </w:r>
      <w:r w:rsidRPr="003D3FEB">
        <w:rPr>
          <w:rFonts w:eastAsia="Malgun Gothic"/>
          <w:sz w:val="12"/>
          <w:szCs w:val="12"/>
          <w:u w:val="single"/>
        </w:rPr>
        <w:t xml:space="preserve"> them for pushing not only bad science</w:t>
      </w:r>
      <w:r w:rsidRPr="003D3FEB">
        <w:rPr>
          <w:rFonts w:ascii="Georgia" w:eastAsia="PMingLiU" w:hAnsi="Georgia"/>
          <w:sz w:val="12"/>
          <w:szCs w:val="12"/>
          <w:lang w:eastAsia="zh-TW"/>
        </w:rPr>
        <w:t xml:space="preserve">, </w:t>
      </w:r>
      <w:r w:rsidRPr="003D3FEB">
        <w:rPr>
          <w:rFonts w:eastAsia="Malgun Gothic"/>
          <w:sz w:val="12"/>
          <w:szCs w:val="12"/>
          <w:u w:val="single"/>
        </w:rPr>
        <w:t>but contorted faith</w:t>
      </w:r>
      <w:r w:rsidRPr="003D3FEB">
        <w:rPr>
          <w:rFonts w:ascii="Georgia" w:eastAsia="PMingLiU" w:hAnsi="Georgia"/>
          <w:sz w:val="12"/>
          <w:szCs w:val="12"/>
          <w:lang w:eastAsia="zh-TW"/>
        </w:rPr>
        <w:t>: “</w:t>
      </w:r>
      <w:r w:rsidRPr="003D3FEB">
        <w:rPr>
          <w:rFonts w:eastAsia="Malgun Gothic"/>
          <w:sz w:val="12"/>
          <w:szCs w:val="12"/>
          <w:u w:val="single"/>
        </w:rPr>
        <w:t>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w:t>
      </w:r>
      <w:r w:rsidRPr="003D3FEB">
        <w:rPr>
          <w:rFonts w:ascii="Georgia" w:eastAsia="PMingLiU" w:hAnsi="Georgia"/>
          <w:sz w:val="12"/>
          <w:szCs w:val="12"/>
          <w:lang w:eastAsia="zh-TW"/>
        </w:rPr>
        <w:t>.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w:t>
      </w:r>
      <w:r w:rsidRPr="003D3FEB">
        <w:rPr>
          <w:rFonts w:ascii="Georgia" w:eastAsia="PMingLiU" w:hAnsi="Georgia"/>
          <w:sz w:val="20"/>
          <w:lang w:eastAsia="zh-TW"/>
        </w:rPr>
        <w:t xml:space="preserve"> </w:t>
      </w:r>
      <w:r w:rsidRPr="003D3FEB">
        <w:rPr>
          <w:rFonts w:eastAsia="Malgun Gothic"/>
          <w:sz w:val="24"/>
          <w:szCs w:val="24"/>
          <w:highlight w:val="green"/>
          <w:u w:val="single"/>
        </w:rPr>
        <w:t>Supernatural forces</w:t>
      </w:r>
      <w:r w:rsidRPr="003D3FEB">
        <w:rPr>
          <w:rFonts w:eastAsia="Malgun Gothic"/>
          <w:sz w:val="24"/>
          <w:szCs w:val="24"/>
          <w:u w:val="single"/>
        </w:rPr>
        <w:t xml:space="preserve"> and events, essential aspects of most religions</w:t>
      </w:r>
      <w:r w:rsidRPr="003D3FEB">
        <w:rPr>
          <w:rFonts w:eastAsia="Malgun Gothic"/>
          <w:sz w:val="24"/>
          <w:szCs w:val="24"/>
          <w:highlight w:val="green"/>
          <w:u w:val="single"/>
        </w:rPr>
        <w:t xml:space="preserve">, play no role in science, </w:t>
      </w:r>
      <w:r w:rsidRPr="003D3FEB">
        <w:rPr>
          <w:rFonts w:eastAsia="Malgun Gothic"/>
          <w:sz w:val="24"/>
          <w:szCs w:val="24"/>
          <w:u w:val="single"/>
        </w:rPr>
        <w:t>not because we exclude them deliberately, but because</w:t>
      </w:r>
      <w:r w:rsidRPr="003D3FEB">
        <w:rPr>
          <w:rFonts w:eastAsia="Malgun Gothic"/>
          <w:sz w:val="24"/>
          <w:szCs w:val="24"/>
          <w:highlight w:val="green"/>
          <w:u w:val="single"/>
        </w:rPr>
        <w:t xml:space="preserve"> they have never been a useful way to understand </w:t>
      </w:r>
      <w:r w:rsidRPr="003D3FEB">
        <w:rPr>
          <w:rFonts w:eastAsia="Malgun Gothic"/>
          <w:sz w:val="24"/>
          <w:szCs w:val="24"/>
          <w:u w:val="single"/>
        </w:rPr>
        <w:t>nature</w:t>
      </w:r>
      <w:r w:rsidRPr="003D3FEB">
        <w:rPr>
          <w:rFonts w:ascii="Georgia" w:eastAsia="PMingLiU" w:hAnsi="Georgia"/>
          <w:sz w:val="20"/>
          <w:lang w:eastAsia="zh-TW"/>
        </w:rPr>
        <w:t xml:space="preserve">. </w:t>
      </w:r>
      <w:r w:rsidRPr="003D3FEB">
        <w:rPr>
          <w:rFonts w:eastAsia="Malgun Gothic"/>
          <w:sz w:val="24"/>
          <w:szCs w:val="24"/>
          <w:highlight w:val="green"/>
          <w:u w:val="single"/>
        </w:rPr>
        <w:t>Scientific “truths” are empirically supported observations agreed on by different observers</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Religious</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“truths</w:t>
      </w:r>
      <w:r w:rsidRPr="003D3FEB">
        <w:rPr>
          <w:rFonts w:ascii="Georgia" w:eastAsia="PMingLiU" w:hAnsi="Georgia"/>
          <w:sz w:val="20"/>
          <w:lang w:eastAsia="zh-TW"/>
        </w:rPr>
        <w:t xml:space="preserve">,” </w:t>
      </w:r>
      <w:r w:rsidRPr="003D3FEB">
        <w:rPr>
          <w:rFonts w:eastAsia="Malgun Gothic"/>
          <w:sz w:val="24"/>
          <w:szCs w:val="24"/>
          <w:u w:val="single"/>
        </w:rPr>
        <w:t>on the other hand</w:t>
      </w:r>
      <w:r w:rsidRPr="003D3FEB">
        <w:rPr>
          <w:rFonts w:ascii="Georgia" w:eastAsia="PMingLiU" w:hAnsi="Georgia"/>
          <w:sz w:val="20"/>
          <w:lang w:eastAsia="zh-TW"/>
        </w:rPr>
        <w:t xml:space="preserve">, </w:t>
      </w:r>
      <w:r w:rsidRPr="003D3FEB">
        <w:rPr>
          <w:rFonts w:eastAsia="Malgun Gothic"/>
          <w:sz w:val="24"/>
          <w:szCs w:val="24"/>
          <w:highlight w:val="green"/>
          <w:u w:val="single"/>
        </w:rPr>
        <w:t>are personal</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unverifiable and contested</w:t>
      </w:r>
      <w:r w:rsidRPr="003D3FEB">
        <w:rPr>
          <w:rFonts w:ascii="Georgia" w:eastAsia="PMingLiU" w:hAnsi="Georgia"/>
          <w:sz w:val="20"/>
          <w:lang w:eastAsia="zh-TW"/>
        </w:rPr>
        <w:t xml:space="preserve"> by those of different faiths. </w:t>
      </w:r>
      <w:r w:rsidRPr="003D3FEB">
        <w:rPr>
          <w:rFonts w:eastAsia="Malgun Gothic"/>
          <w:sz w:val="24"/>
          <w:szCs w:val="24"/>
          <w:u w:val="single"/>
        </w:rPr>
        <w:t>Science is nonsectarian</w:t>
      </w:r>
      <w:r w:rsidRPr="003D3FEB">
        <w:rPr>
          <w:rFonts w:ascii="Georgia" w:eastAsia="PMingLiU" w:hAnsi="Georgia"/>
          <w:sz w:val="20"/>
          <w:lang w:eastAsia="zh-TW"/>
        </w:rPr>
        <w:t xml:space="preserve">: </w:t>
      </w:r>
      <w:r w:rsidRPr="003D3FEB">
        <w:rPr>
          <w:rFonts w:eastAsia="Malgun Gothic"/>
          <w:sz w:val="24"/>
          <w:szCs w:val="24"/>
          <w:highlight w:val="green"/>
          <w:u w:val="single"/>
        </w:rPr>
        <w:t>those who disagree on scientific issues do not blow each other up</w:t>
      </w:r>
      <w:r w:rsidRPr="003D3FEB">
        <w:rPr>
          <w:rFonts w:ascii="Georgia" w:eastAsia="PMingLiU" w:hAnsi="Georgia"/>
          <w:sz w:val="20"/>
          <w:highlight w:val="green"/>
          <w:lang w:eastAsia="zh-TW"/>
        </w:rPr>
        <w:t xml:space="preserve">. </w:t>
      </w:r>
      <w:r w:rsidRPr="003D3FEB">
        <w:rPr>
          <w:rFonts w:eastAsia="Malgun Gothic"/>
          <w:sz w:val="24"/>
          <w:szCs w:val="24"/>
          <w:highlight w:val="green"/>
          <w:u w:val="single"/>
        </w:rPr>
        <w:t>Science encourages doubt</w:t>
      </w:r>
      <w:r w:rsidRPr="003D3FEB">
        <w:rPr>
          <w:rFonts w:eastAsia="Malgun Gothic"/>
          <w:sz w:val="24"/>
          <w:szCs w:val="24"/>
          <w:u w:val="single"/>
        </w:rPr>
        <w:t xml:space="preserve">; </w:t>
      </w:r>
      <w:r w:rsidRPr="003D3FEB">
        <w:rPr>
          <w:rFonts w:eastAsia="Malgun Gothic"/>
          <w:sz w:val="12"/>
          <w:szCs w:val="12"/>
          <w:u w:val="single"/>
        </w:rPr>
        <w:t xml:space="preserve">most religions quash it. </w:t>
      </w:r>
      <w:r w:rsidRPr="003D3FEB">
        <w:rPr>
          <w:rFonts w:ascii="Georgia" w:eastAsia="PMingLiU" w:hAnsi="Georgia"/>
          <w:sz w:val="12"/>
          <w:szCs w:val="12"/>
          <w:lang w:eastAsia="zh-TW"/>
        </w:rPr>
        <w:t xml:space="preserve">But religion is not completely separable from science. </w:t>
      </w:r>
      <w:r w:rsidRPr="003D3FEB">
        <w:rPr>
          <w:rFonts w:eastAsia="Malgun Gothic"/>
          <w:sz w:val="12"/>
          <w:szCs w:val="12"/>
          <w:u w:val="single"/>
        </w:rPr>
        <w:t>Virtually all religions make improbable claims that are in principle empirically testable, and thus within the domain of science</w:t>
      </w:r>
      <w:r w:rsidRPr="003D3FEB">
        <w:rPr>
          <w:rFonts w:ascii="Georgia" w:eastAsia="PMingLiU" w:hAnsi="Georgia"/>
          <w:sz w:val="12"/>
          <w:szCs w:val="12"/>
          <w:lang w:eastAsia="zh-TW"/>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w:t>
      </w:r>
      <w:r w:rsidRPr="003D3FEB">
        <w:rPr>
          <w:rFonts w:ascii="Georgia" w:eastAsia="PMingLiU" w:hAnsi="Georgia"/>
          <w:sz w:val="12"/>
          <w:szCs w:val="12"/>
          <w:lang w:eastAsia="zh-TW"/>
        </w:rPr>
        <w:lastRenderedPageBreak/>
        <w:t xml:space="preserve">American evolutionists, need the support of the many faithful who respect science. It is not politically or tactically useful to point out the fundamental and </w:t>
      </w:r>
      <w:proofErr w:type="spellStart"/>
      <w:r w:rsidRPr="003D3FEB">
        <w:rPr>
          <w:rFonts w:ascii="Georgia" w:eastAsia="PMingLiU" w:hAnsi="Georgia"/>
          <w:sz w:val="12"/>
          <w:szCs w:val="12"/>
          <w:lang w:eastAsia="zh-TW"/>
        </w:rPr>
        <w:t>unbreachable</w:t>
      </w:r>
      <w:proofErr w:type="spellEnd"/>
      <w:r w:rsidRPr="003D3FEB">
        <w:rPr>
          <w:rFonts w:ascii="Georgia" w:eastAsia="PMingLiU" w:hAnsi="Georgia"/>
          <w:sz w:val="12"/>
          <w:szCs w:val="12"/>
          <w:lang w:eastAsia="zh-TW"/>
        </w:rPr>
        <w:t xml:space="preserve"> gaps between science and theology. Indeed, scientists and philosophers have written many books (equivalents of </w:t>
      </w:r>
      <w:proofErr w:type="spellStart"/>
      <w:r w:rsidRPr="003D3FEB">
        <w:rPr>
          <w:rFonts w:ascii="Georgia" w:eastAsia="PMingLiU" w:hAnsi="Georgia"/>
          <w:sz w:val="12"/>
          <w:szCs w:val="12"/>
          <w:lang w:eastAsia="zh-TW"/>
        </w:rPr>
        <w:t>Leibnizian</w:t>
      </w:r>
      <w:proofErr w:type="spellEnd"/>
      <w:r w:rsidRPr="003D3FEB">
        <w:rPr>
          <w:rFonts w:ascii="Georgia" w:eastAsia="PMingLiU" w:hAnsi="Georgia"/>
          <w:sz w:val="12"/>
          <w:szCs w:val="12"/>
          <w:lang w:eastAsia="zh-TW"/>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3D3FEB">
        <w:rPr>
          <w:rFonts w:ascii="Georgia" w:eastAsia="PMingLiU" w:hAnsi="Georgia"/>
          <w:sz w:val="12"/>
          <w:szCs w:val="12"/>
          <w:lang w:eastAsia="zh-TW"/>
        </w:rPr>
        <w:t>Haught</w:t>
      </w:r>
      <w:proofErr w:type="spellEnd"/>
      <w:r w:rsidRPr="003D3FEB">
        <w:rPr>
          <w:rFonts w:ascii="Georgia" w:eastAsia="PMingLiU" w:hAnsi="Georgia"/>
          <w:sz w:val="12"/>
          <w:szCs w:val="12"/>
          <w:lang w:eastAsia="zh-TW"/>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3D3FEB">
        <w:rPr>
          <w:rFonts w:eastAsia="Malgun Gothic"/>
          <w:sz w:val="12"/>
          <w:szCs w:val="12"/>
          <w:u w:val="single"/>
        </w:rPr>
        <w:t>Crews points out the</w:t>
      </w:r>
      <w:r w:rsidRPr="003D3FEB">
        <w:rPr>
          <w:rFonts w:eastAsia="Malgun Gothic"/>
          <w:sz w:val="24"/>
          <w:szCs w:val="24"/>
          <w:u w:val="single"/>
        </w:rPr>
        <w:t xml:space="preserve"> </w:t>
      </w:r>
      <w:r w:rsidRPr="003D3FEB">
        <w:rPr>
          <w:rFonts w:eastAsia="Malgun Gothic"/>
          <w:b/>
          <w:sz w:val="24"/>
          <w:szCs w:val="24"/>
          <w:highlight w:val="green"/>
          <w:u w:val="single"/>
        </w:rPr>
        <w:t xml:space="preserve">dangers to </w:t>
      </w:r>
      <w:r w:rsidRPr="003D3FEB">
        <w:rPr>
          <w:rFonts w:eastAsia="Malgun Gothic"/>
          <w:b/>
          <w:sz w:val="24"/>
          <w:szCs w:val="24"/>
          <w:highlight w:val="green"/>
          <w:u w:val="single"/>
          <w:bdr w:val="single" w:sz="4" w:space="0" w:color="auto" w:frame="1"/>
        </w:rPr>
        <w:t>the survival of our planet</w:t>
      </w:r>
      <w:r w:rsidRPr="003D3FEB">
        <w:rPr>
          <w:rFonts w:eastAsia="Malgun Gothic"/>
          <w:b/>
          <w:sz w:val="24"/>
          <w:szCs w:val="24"/>
          <w:highlight w:val="green"/>
          <w:u w:val="single"/>
        </w:rPr>
        <w:t xml:space="preserve"> arising</w:t>
      </w:r>
      <w:r w:rsidRPr="003D3FEB">
        <w:rPr>
          <w:rFonts w:eastAsia="Malgun Gothic"/>
          <w:sz w:val="24"/>
          <w:szCs w:val="24"/>
          <w:highlight w:val="green"/>
          <w:u w:val="single"/>
        </w:rPr>
        <w:t xml:space="preserve"> from</w:t>
      </w:r>
      <w:r w:rsidRPr="003D3FEB">
        <w:rPr>
          <w:rFonts w:ascii="Georgia" w:eastAsia="PMingLiU" w:hAnsi="Georgia"/>
          <w:sz w:val="20"/>
          <w:lang w:eastAsia="zh-TW"/>
        </w:rPr>
        <w:t xml:space="preserve"> a rejection of Darwinism</w:t>
      </w:r>
      <w:r w:rsidRPr="003D3FEB">
        <w:rPr>
          <w:rFonts w:eastAsia="Malgun Gothic"/>
          <w:sz w:val="24"/>
          <w:szCs w:val="24"/>
          <w:u w:val="single"/>
        </w:rPr>
        <w:t xml:space="preserve">. Such </w:t>
      </w:r>
      <w:r w:rsidRPr="003D3FEB">
        <w:rPr>
          <w:rFonts w:eastAsia="Malgun Gothic"/>
          <w:sz w:val="24"/>
          <w:szCs w:val="24"/>
          <w:highlight w:val="green"/>
          <w:u w:val="single"/>
        </w:rPr>
        <w:t>rejection promotes apathy towards overpopulation, pollution</w:t>
      </w:r>
      <w:r w:rsidRPr="003D3FEB">
        <w:rPr>
          <w:rFonts w:eastAsia="Malgun Gothic"/>
          <w:sz w:val="24"/>
          <w:szCs w:val="24"/>
          <w:u w:val="single"/>
        </w:rPr>
        <w:t xml:space="preserve">, deforestation </w:t>
      </w:r>
      <w:r w:rsidRPr="003D3FEB">
        <w:rPr>
          <w:rFonts w:eastAsia="Malgun Gothic"/>
          <w:sz w:val="24"/>
          <w:szCs w:val="24"/>
          <w:highlight w:val="green"/>
          <w:u w:val="single"/>
        </w:rPr>
        <w:t>and other environmental crimes</w:t>
      </w:r>
      <w:r w:rsidRPr="003D3FEB">
        <w:rPr>
          <w:rFonts w:ascii="Georgia" w:eastAsia="PMingLiU" w:hAnsi="Georgia"/>
          <w:sz w:val="20"/>
          <w:lang w:eastAsia="zh-TW"/>
        </w:rPr>
        <w:t xml:space="preserve">: “So long as we regard ourselves as creatures apart </w:t>
      </w:r>
      <w:proofErr w:type="gramStart"/>
      <w:r w:rsidRPr="003D3FEB">
        <w:rPr>
          <w:rFonts w:ascii="Georgia" w:eastAsia="PMingLiU" w:hAnsi="Georgia"/>
          <w:sz w:val="20"/>
          <w:lang w:eastAsia="zh-TW"/>
        </w:rPr>
        <w:t>who</w:t>
      </w:r>
      <w:proofErr w:type="gramEnd"/>
      <w:r w:rsidRPr="003D3FEB">
        <w:rPr>
          <w:rFonts w:ascii="Georgia" w:eastAsia="PMingLiU" w:hAnsi="Georgia"/>
          <w:sz w:val="20"/>
          <w:lang w:eastAsia="zh-TW"/>
        </w:rPr>
        <w:t xml:space="preserve"> need only repent of our personal sins to retain heaven’s blessing, we won’t take the full measure of our species-wise responsibility for these calamities</w:t>
      </w:r>
      <w:r w:rsidRPr="003D3FEB">
        <w:rPr>
          <w:rFonts w:eastAsia="Malgun Gothic"/>
          <w:sz w:val="24"/>
          <w:szCs w:val="24"/>
          <w:u w:val="single"/>
        </w:rPr>
        <w:t xml:space="preserve">”. </w:t>
      </w:r>
      <w:proofErr w:type="gramStart"/>
      <w:r w:rsidRPr="003D3FEB">
        <w:rPr>
          <w:rFonts w:eastAsia="Malgun Gothic"/>
          <w:sz w:val="24"/>
          <w:szCs w:val="24"/>
          <w:u w:val="single"/>
        </w:rPr>
        <w:t>Crews includes</w:t>
      </w:r>
      <w:proofErr w:type="gramEnd"/>
      <w:r w:rsidRPr="003D3FEB">
        <w:rPr>
          <w:rFonts w:eastAsia="Malgun Gothic"/>
          <w:sz w:val="24"/>
          <w:szCs w:val="24"/>
          <w:u w:val="single"/>
        </w:rPr>
        <w:t xml:space="preserve"> three final essays on </w:t>
      </w:r>
      <w:r w:rsidRPr="003D3FEB">
        <w:rPr>
          <w:rFonts w:eastAsia="Malgun Gothic"/>
          <w:sz w:val="24"/>
          <w:szCs w:val="24"/>
          <w:highlight w:val="green"/>
          <w:u w:val="single"/>
        </w:rPr>
        <w:t>deconstruction and other misguided movements in literary theory</w:t>
      </w:r>
      <w:r w:rsidRPr="003D3FEB">
        <w:rPr>
          <w:rFonts w:eastAsia="Malgun Gothic"/>
          <w:sz w:val="24"/>
          <w:szCs w:val="24"/>
          <w:u w:val="single"/>
        </w:rPr>
        <w:t xml:space="preserve">. These also show “follies of the wise” in that they </w:t>
      </w:r>
      <w:r w:rsidRPr="003D3FEB">
        <w:rPr>
          <w:rFonts w:eastAsia="Malgun Gothic"/>
          <w:sz w:val="24"/>
          <w:szCs w:val="24"/>
          <w:highlight w:val="green"/>
          <w:u w:val="single"/>
        </w:rPr>
        <w:t>involve interpretations of texts that are unanchored by evidence</w:t>
      </w:r>
      <w:r w:rsidRPr="003D3FEB">
        <w:rPr>
          <w:rFonts w:eastAsia="Malgun Gothic"/>
          <w:sz w:val="24"/>
          <w:szCs w:val="24"/>
          <w:u w:val="single"/>
        </w:rPr>
        <w:t xml:space="preserve">. Fortunately, the harm inflicted by </w:t>
      </w:r>
      <w:proofErr w:type="spellStart"/>
      <w:r w:rsidRPr="003D3FEB">
        <w:rPr>
          <w:rFonts w:eastAsia="Malgun Gothic"/>
          <w:sz w:val="24"/>
          <w:szCs w:val="24"/>
          <w:u w:val="single"/>
        </w:rPr>
        <w:t>Lacan</w:t>
      </w:r>
      <w:proofErr w:type="spellEnd"/>
      <w:r w:rsidRPr="003D3FEB">
        <w:rPr>
          <w:rFonts w:eastAsia="Malgun Gothic"/>
          <w:sz w:val="24"/>
          <w:szCs w:val="24"/>
          <w:u w:val="single"/>
        </w:rPr>
        <w:t xml:space="preserve"> and his epigones is limited to the good </w:t>
      </w:r>
      <w:proofErr w:type="spellStart"/>
      <w:r w:rsidRPr="003D3FEB">
        <w:rPr>
          <w:rFonts w:eastAsia="Malgun Gothic"/>
          <w:sz w:val="24"/>
          <w:szCs w:val="24"/>
          <w:u w:val="single"/>
        </w:rPr>
        <w:t>judgement</w:t>
      </w:r>
      <w:proofErr w:type="spellEnd"/>
      <w:r w:rsidRPr="003D3FEB">
        <w:rPr>
          <w:rFonts w:eastAsia="Malgun Gothic"/>
          <w:sz w:val="24"/>
          <w:szCs w:val="24"/>
          <w:u w:val="single"/>
        </w:rPr>
        <w:t xml:space="preserve"> of professors of literature.</w:t>
      </w:r>
      <w:r w:rsidRPr="003D3FEB">
        <w:rPr>
          <w:rFonts w:ascii="Georgia" w:eastAsia="PMingLiU" w:hAnsi="Georgia"/>
          <w:sz w:val="20"/>
          <w:lang w:eastAsia="zh-TW"/>
        </w:rPr>
        <w:t xml:space="preserve"> </w:t>
      </w:r>
      <w:proofErr w:type="gramStart"/>
      <w:r w:rsidRPr="003D3FEB">
        <w:rPr>
          <w:rFonts w:ascii="Georgia" w:eastAsia="PMingLiU" w:hAnsi="Georgia"/>
          <w:sz w:val="20"/>
          <w:lang w:eastAsia="zh-TW"/>
        </w:rPr>
        <w:t>Follies of the Wise is</w:t>
      </w:r>
      <w:proofErr w:type="gramEnd"/>
      <w:r w:rsidRPr="003D3FEB">
        <w:rPr>
          <w:rFonts w:ascii="Georgia" w:eastAsia="PMingLiU" w:hAnsi="Georgia"/>
          <w:sz w:val="20"/>
          <w:lang w:eastAsia="zh-TW"/>
        </w:rPr>
        <w:t xml:space="preserve"> one of the most refreshing and edifying collections of essays in recent years. Much like Christopher Hitchens in the </w:t>
      </w:r>
      <w:smartTag w:uri="urn:schemas-microsoft-com:office:smarttags" w:element="place">
        <w:smartTag w:uri="urn:schemas-microsoft-com:office:smarttags" w:element="country-region">
          <w:r w:rsidRPr="003D3FEB">
            <w:rPr>
              <w:rFonts w:ascii="Georgia" w:eastAsia="PMingLiU" w:hAnsi="Georgia"/>
              <w:sz w:val="20"/>
              <w:lang w:eastAsia="zh-TW"/>
            </w:rPr>
            <w:t>UK</w:t>
          </w:r>
        </w:smartTag>
      </w:smartTag>
      <w:r w:rsidRPr="003D3FEB">
        <w:rPr>
          <w:rFonts w:ascii="Georgia" w:eastAsia="PMingLiU" w:hAnsi="Georgia"/>
          <w:sz w:val="20"/>
          <w:lang w:eastAsia="zh-TW"/>
        </w:rPr>
        <w:t xml:space="preserve">, Crews serves a vital function as National </w:t>
      </w:r>
      <w:proofErr w:type="spellStart"/>
      <w:r w:rsidRPr="003D3FEB">
        <w:rPr>
          <w:rFonts w:ascii="Georgia" w:eastAsia="PMingLiU" w:hAnsi="Georgia"/>
          <w:sz w:val="20"/>
          <w:lang w:eastAsia="zh-TW"/>
        </w:rPr>
        <w:t>Sceptic</w:t>
      </w:r>
      <w:proofErr w:type="spellEnd"/>
      <w:r w:rsidRPr="003D3FEB">
        <w:rPr>
          <w:rFonts w:ascii="Georgia" w:eastAsia="PMingLiU" w:hAnsi="Georgia"/>
          <w:sz w:val="20"/>
          <w:lang w:eastAsia="zh-TW"/>
        </w:rPr>
        <w:t>. He ends on a ringing note: “</w:t>
      </w:r>
      <w:r w:rsidRPr="003D3FEB">
        <w:rPr>
          <w:rFonts w:eastAsia="Malgun Gothic"/>
          <w:b/>
          <w:sz w:val="24"/>
          <w:szCs w:val="24"/>
          <w:highlight w:val="green"/>
          <w:u w:val="single"/>
        </w:rPr>
        <w:t xml:space="preserve">The human race has produced </w:t>
      </w:r>
      <w:r w:rsidRPr="003D3FEB">
        <w:rPr>
          <w:rFonts w:eastAsia="Malgun Gothic"/>
          <w:b/>
          <w:sz w:val="24"/>
          <w:szCs w:val="24"/>
          <w:highlight w:val="green"/>
          <w:u w:val="single"/>
          <w:bdr w:val="single" w:sz="4" w:space="0" w:color="auto" w:frame="1"/>
        </w:rPr>
        <w:t>only one successfully validated epistemology</w:t>
      </w:r>
      <w:r w:rsidRPr="003D3FEB">
        <w:rPr>
          <w:rFonts w:eastAsia="Malgun Gothic"/>
          <w:sz w:val="24"/>
          <w:szCs w:val="24"/>
          <w:u w:val="single"/>
        </w:rPr>
        <w:t>, characterizing all scrupulous inquiry into the real world, from quarks to poems</w:t>
      </w:r>
      <w:r w:rsidRPr="003D3FEB">
        <w:rPr>
          <w:rFonts w:ascii="Georgia" w:eastAsia="PMingLiU" w:hAnsi="Georgia"/>
          <w:sz w:val="20"/>
          <w:lang w:eastAsia="zh-TW"/>
        </w:rPr>
        <w:t xml:space="preserve">. </w:t>
      </w:r>
      <w:r w:rsidRPr="003D3FEB">
        <w:rPr>
          <w:rFonts w:eastAsia="Malgun Gothic"/>
          <w:sz w:val="24"/>
          <w:szCs w:val="24"/>
          <w:u w:val="single"/>
        </w:rPr>
        <w:t xml:space="preserve">It is, simply, </w:t>
      </w:r>
      <w:r w:rsidRPr="003D3FEB">
        <w:rPr>
          <w:rFonts w:eastAsia="Malgun Gothic"/>
          <w:b/>
          <w:sz w:val="24"/>
          <w:szCs w:val="24"/>
          <w:highlight w:val="green"/>
          <w:u w:val="single"/>
        </w:rPr>
        <w:t>empiricism</w:t>
      </w:r>
      <w:r w:rsidRPr="003D3FEB">
        <w:rPr>
          <w:rFonts w:eastAsia="Malgun Gothic"/>
          <w:sz w:val="24"/>
          <w:szCs w:val="24"/>
          <w:u w:val="single"/>
        </w:rPr>
        <w:t>, or the submitting of propositions to the arbitration of evidence that is acknowledged to be such by all of the contending parties</w:t>
      </w:r>
      <w:r w:rsidRPr="003D3FEB">
        <w:rPr>
          <w:rFonts w:ascii="Georgia" w:eastAsia="PMingLiU" w:hAnsi="Georgia"/>
          <w:sz w:val="20"/>
          <w:lang w:eastAsia="zh-TW"/>
        </w:rPr>
        <w:t xml:space="preserve">. </w:t>
      </w:r>
      <w:r w:rsidRPr="003D3FEB">
        <w:rPr>
          <w:rFonts w:eastAsia="Malgun Gothic"/>
          <w:sz w:val="24"/>
          <w:szCs w:val="24"/>
          <w:highlight w:val="green"/>
          <w:u w:val="single"/>
        </w:rPr>
        <w:t>Ideas that claim immunity from such review</w:t>
      </w:r>
      <w:r w:rsidRPr="003D3FEB">
        <w:rPr>
          <w:rFonts w:ascii="Georgia" w:eastAsia="PMingLiU" w:hAnsi="Georgia"/>
          <w:sz w:val="20"/>
          <w:highlight w:val="green"/>
          <w:lang w:eastAsia="zh-TW"/>
        </w:rPr>
        <w:t xml:space="preserve">, </w:t>
      </w:r>
      <w:r w:rsidRPr="003D3FEB">
        <w:rPr>
          <w:rFonts w:eastAsia="Malgun Gothic"/>
          <w:sz w:val="24"/>
          <w:szCs w:val="24"/>
          <w:u w:val="single"/>
        </w:rPr>
        <w:t>whether because of mystical faith or privileged “clinical insight” or the say-so of eminent authorities</w:t>
      </w:r>
      <w:r w:rsidRPr="003D3FEB">
        <w:rPr>
          <w:rFonts w:ascii="Georgia" w:eastAsia="PMingLiU" w:hAnsi="Georgia"/>
          <w:sz w:val="20"/>
          <w:lang w:eastAsia="zh-TW"/>
        </w:rPr>
        <w:t xml:space="preserve">, </w:t>
      </w:r>
      <w:r w:rsidRPr="003D3FEB">
        <w:rPr>
          <w:rFonts w:eastAsia="Malgun Gothic"/>
          <w:sz w:val="24"/>
          <w:szCs w:val="24"/>
          <w:highlight w:val="green"/>
          <w:u w:val="single"/>
        </w:rPr>
        <w:t xml:space="preserve">are not to be countenanced until they can pass the same skeptical ordeal </w:t>
      </w:r>
      <w:r w:rsidRPr="003D3FEB">
        <w:rPr>
          <w:rFonts w:eastAsia="Malgun Gothic"/>
          <w:sz w:val="24"/>
          <w:szCs w:val="24"/>
          <w:u w:val="single"/>
        </w:rPr>
        <w:t>to which all other contenders are subjected.”</w:t>
      </w:r>
      <w:r w:rsidRPr="003D3FEB">
        <w:rPr>
          <w:rFonts w:ascii="Georgia" w:eastAsia="PMingLiU" w:hAnsi="Georgia"/>
          <w:sz w:val="20"/>
          <w:lang w:eastAsia="zh-TW"/>
        </w:rPr>
        <w:t xml:space="preserve"> As science in </w:t>
      </w:r>
      <w:smartTag w:uri="urn:schemas-microsoft-com:office:smarttags" w:element="place">
        <w:smartTag w:uri="urn:schemas-microsoft-com:office:smarttags" w:element="country-region">
          <w:r w:rsidRPr="003D3FEB">
            <w:rPr>
              <w:rFonts w:ascii="Georgia" w:eastAsia="PMingLiU" w:hAnsi="Georgia"/>
              <w:sz w:val="20"/>
              <w:lang w:eastAsia="zh-TW"/>
            </w:rPr>
            <w:t>America</w:t>
          </w:r>
        </w:smartTag>
      </w:smartTag>
      <w:r w:rsidRPr="003D3FEB">
        <w:rPr>
          <w:rFonts w:ascii="Georgia" w:eastAsia="PMingLiU" w:hAnsi="Georgia"/>
          <w:sz w:val="20"/>
          <w:lang w:eastAsia="zh-TW"/>
        </w:rPr>
        <w:t xml:space="preserve"> becomes ever more harried and debased by politics and religion, we desperately need to heed </w:t>
      </w:r>
      <w:proofErr w:type="spellStart"/>
      <w:r w:rsidRPr="003D3FEB">
        <w:rPr>
          <w:rFonts w:ascii="Georgia" w:eastAsia="PMingLiU" w:hAnsi="Georgia"/>
          <w:sz w:val="20"/>
          <w:lang w:eastAsia="zh-TW"/>
        </w:rPr>
        <w:t>Crews’s</w:t>
      </w:r>
      <w:proofErr w:type="spellEnd"/>
      <w:r w:rsidRPr="003D3FEB">
        <w:rPr>
          <w:rFonts w:ascii="Georgia" w:eastAsia="PMingLiU" w:hAnsi="Georgia"/>
          <w:sz w:val="20"/>
          <w:lang w:eastAsia="zh-TW"/>
        </w:rPr>
        <w:t xml:space="preserve"> plea for empiricism.</w:t>
      </w:r>
    </w:p>
    <w:p w:rsidR="00BC73BF" w:rsidRDefault="00BC73BF" w:rsidP="00BC73BF">
      <w:pPr>
        <w:rPr>
          <w:rFonts w:ascii="Georgia" w:eastAsia="PMingLiU" w:hAnsi="Georgia"/>
          <w:sz w:val="20"/>
          <w:lang w:eastAsia="zh-TW"/>
        </w:rPr>
      </w:pPr>
    </w:p>
    <w:p w:rsidR="00BC73BF" w:rsidRPr="007120E9" w:rsidRDefault="00BC73BF" w:rsidP="00BC73BF">
      <w:pPr>
        <w:pStyle w:val="Heading4"/>
        <w:rPr>
          <w:rFonts w:asciiTheme="minorHAnsi" w:hAnsiTheme="minorHAnsi" w:cstheme="minorHAnsi"/>
          <w:sz w:val="22"/>
        </w:rPr>
      </w:pPr>
      <w:r w:rsidRPr="007120E9">
        <w:rPr>
          <w:rFonts w:asciiTheme="minorHAnsi" w:hAnsiTheme="minorHAnsi" w:cstheme="minorHAnsi"/>
        </w:rPr>
        <w:t>Their white supremacy approach is essentialist- reproduces the most dangerous forms of racism and is doomed to fail</w:t>
      </w:r>
    </w:p>
    <w:p w:rsidR="00BC73BF" w:rsidRPr="007120E9" w:rsidRDefault="00BC73BF" w:rsidP="00BC73BF">
      <w:pPr>
        <w:rPr>
          <w:rFonts w:asciiTheme="minorHAnsi" w:hAnsiTheme="minorHAnsi" w:cstheme="minorHAnsi"/>
        </w:rPr>
      </w:pPr>
      <w:proofErr w:type="spellStart"/>
      <w:r w:rsidRPr="007120E9">
        <w:rPr>
          <w:rStyle w:val="StyleStyleBold12pt"/>
          <w:rFonts w:asciiTheme="minorHAnsi" w:hAnsiTheme="minorHAnsi" w:cstheme="minorHAnsi"/>
        </w:rPr>
        <w:t>Hartigan</w:t>
      </w:r>
      <w:proofErr w:type="spellEnd"/>
      <w:r w:rsidRPr="007120E9">
        <w:rPr>
          <w:rStyle w:val="StyleStyleBold12pt"/>
          <w:rFonts w:asciiTheme="minorHAnsi" w:hAnsiTheme="minorHAnsi" w:cstheme="minorHAnsi"/>
        </w:rPr>
        <w:t xml:space="preserve"> 5</w:t>
      </w:r>
      <w:r w:rsidRPr="007120E9">
        <w:rPr>
          <w:rFonts w:asciiTheme="minorHAnsi" w:hAnsiTheme="minorHAnsi" w:cstheme="minorHAnsi"/>
        </w:rPr>
        <w:t xml:space="preserve">- </w:t>
      </w:r>
      <w:proofErr w:type="gramStart"/>
      <w:r w:rsidRPr="007120E9">
        <w:rPr>
          <w:rFonts w:asciiTheme="minorHAnsi" w:hAnsiTheme="minorHAnsi" w:cstheme="minorHAnsi"/>
        </w:rPr>
        <w:t>prof</w:t>
      </w:r>
      <w:proofErr w:type="gramEnd"/>
      <w:r w:rsidRPr="007120E9">
        <w:rPr>
          <w:rFonts w:asciiTheme="minorHAnsi" w:hAnsiTheme="minorHAnsi" w:cstheme="minorHAnsi"/>
        </w:rPr>
        <w:t xml:space="preserve"> of anthropology @ UT, PhD from University of California, Santa Cruz (John, South Atlantic Quarterly 104.3, Summer, “Culture against Race: Reworking the Basis for Racial Analysis” //MGD) </w:t>
      </w:r>
    </w:p>
    <w:p w:rsidR="00BC73BF" w:rsidRPr="007120E9" w:rsidRDefault="00BC73BF" w:rsidP="00BC73BF">
      <w:pPr>
        <w:rPr>
          <w:rFonts w:asciiTheme="minorHAnsi" w:hAnsiTheme="minorHAnsi" w:cstheme="minorHAnsi"/>
          <w:sz w:val="16"/>
        </w:rPr>
      </w:pPr>
      <w:r w:rsidRPr="007120E9">
        <w:rPr>
          <w:rFonts w:asciiTheme="minorHAnsi" w:hAnsiTheme="minorHAnsi" w:cstheme="minorHAnsi"/>
          <w:sz w:val="16"/>
        </w:rPr>
        <w:t xml:space="preserve">One might be tempted to assume that </w:t>
      </w:r>
      <w:r w:rsidRPr="007120E9">
        <w:rPr>
          <w:rFonts w:asciiTheme="minorHAnsi" w:hAnsiTheme="minorHAnsi" w:cstheme="minorHAnsi"/>
          <w:b/>
          <w:u w:val="single"/>
        </w:rPr>
        <w:t>Gilroy’s</w:t>
      </w:r>
      <w:r w:rsidRPr="007120E9">
        <w:rPr>
          <w:rFonts w:asciiTheme="minorHAnsi" w:hAnsiTheme="minorHAnsi" w:cstheme="minorHAnsi"/>
          <w:sz w:val="16"/>
        </w:rPr>
        <w:t xml:space="preserve"> stance is largely polemical, but his </w:t>
      </w:r>
      <w:r w:rsidRPr="007120E9">
        <w:rPr>
          <w:rFonts w:asciiTheme="minorHAnsi" w:hAnsiTheme="minorHAnsi" w:cstheme="minorHAnsi"/>
          <w:b/>
          <w:u w:val="single"/>
        </w:rPr>
        <w:t>critique is thoroughgoing, as is his call to reject ‘‘this desire to cling on to ‘race’ and</w:t>
      </w:r>
      <w:r w:rsidRPr="007120E9">
        <w:rPr>
          <w:rFonts w:asciiTheme="minorHAnsi" w:hAnsiTheme="minorHAnsi" w:cstheme="minorHAnsi"/>
          <w:sz w:val="16"/>
        </w:rPr>
        <w:t xml:space="preserve"> </w:t>
      </w:r>
      <w:r w:rsidRPr="007120E9">
        <w:rPr>
          <w:rFonts w:asciiTheme="minorHAnsi" w:hAnsiTheme="minorHAnsi" w:cstheme="minorHAnsi"/>
          <w:b/>
          <w:u w:val="single"/>
        </w:rPr>
        <w:t>go on stubbornly and unimaginatively seeing the world on the distinctive scales</w:t>
      </w:r>
      <w:r w:rsidRPr="007120E9">
        <w:rPr>
          <w:rFonts w:asciiTheme="minorHAnsi" w:hAnsiTheme="minorHAnsi" w:cstheme="minorHAnsi"/>
          <w:sz w:val="16"/>
        </w:rPr>
        <w:t xml:space="preserve"> </w:t>
      </w:r>
      <w:r w:rsidRPr="007120E9">
        <w:rPr>
          <w:rFonts w:asciiTheme="minorHAnsi" w:hAnsiTheme="minorHAnsi" w:cstheme="minorHAnsi"/>
          <w:b/>
          <w:u w:val="single"/>
        </w:rPr>
        <w:t>that it has specified</w:t>
      </w:r>
      <w:r w:rsidRPr="007120E9">
        <w:rPr>
          <w:rFonts w:asciiTheme="minorHAnsi" w:hAnsiTheme="minorHAnsi" w:cstheme="minorHAnsi"/>
          <w:sz w:val="16"/>
        </w:rPr>
        <w:t xml:space="preserve">.’’ </w:t>
      </w:r>
      <w:r w:rsidRPr="007120E9">
        <w:rPr>
          <w:rFonts w:asciiTheme="minorHAnsi" w:hAnsiTheme="minorHAnsi" w:cstheme="minorHAnsi"/>
          <w:b/>
          <w:u w:val="single"/>
        </w:rPr>
        <w:t>In spite of</w:t>
      </w:r>
      <w:r w:rsidRPr="007120E9">
        <w:rPr>
          <w:rFonts w:asciiTheme="minorHAnsi" w:hAnsiTheme="minorHAnsi" w:cstheme="minorHAnsi"/>
          <w:sz w:val="16"/>
        </w:rPr>
        <w:t xml:space="preserve"> powerful, </w:t>
      </w:r>
      <w:r w:rsidRPr="007120E9">
        <w:rPr>
          <w:rFonts w:asciiTheme="minorHAnsi" w:hAnsiTheme="minorHAnsi" w:cstheme="minorHAnsi"/>
          <w:b/>
          <w:u w:val="single"/>
        </w:rPr>
        <w:t xml:space="preserve">novel efforts to </w:t>
      </w:r>
      <w:r w:rsidRPr="007120E9">
        <w:rPr>
          <w:rFonts w:asciiTheme="minorHAnsi" w:hAnsiTheme="minorHAnsi" w:cstheme="minorHAnsi"/>
          <w:sz w:val="16"/>
        </w:rPr>
        <w:t xml:space="preserve">fundamentally </w:t>
      </w:r>
      <w:r w:rsidRPr="007120E9">
        <w:rPr>
          <w:rFonts w:asciiTheme="minorHAnsi" w:hAnsiTheme="minorHAnsi" w:cstheme="minorHAnsi"/>
          <w:b/>
          <w:u w:val="single"/>
        </w:rPr>
        <w:t>transform racial analysis—such as the emergence of ‘‘whiteness studies’’</w:t>
      </w:r>
      <w:r w:rsidRPr="007120E9">
        <w:rPr>
          <w:rFonts w:asciiTheme="minorHAnsi" w:hAnsiTheme="minorHAnsi" w:cstheme="minorHAnsi"/>
          <w:sz w:val="16"/>
        </w:rPr>
        <w:t xml:space="preserve"> </w:t>
      </w:r>
      <w:r w:rsidRPr="007120E9">
        <w:rPr>
          <w:rFonts w:asciiTheme="minorHAnsi" w:hAnsiTheme="minorHAnsi" w:cstheme="minorHAnsi"/>
          <w:b/>
          <w:u w:val="single"/>
        </w:rPr>
        <w:t>or analyses of the ‘‘new racism’’—Gilroy is emphatic in ‘‘</w:t>
      </w:r>
      <w:r w:rsidRPr="00526812">
        <w:rPr>
          <w:rFonts w:asciiTheme="minorHAnsi" w:hAnsiTheme="minorHAnsi" w:cstheme="minorHAnsi"/>
          <w:b/>
          <w:highlight w:val="green"/>
          <w:u w:val="single"/>
        </w:rPr>
        <w:t>demand</w:t>
      </w:r>
      <w:r w:rsidRPr="007120E9">
        <w:rPr>
          <w:rFonts w:asciiTheme="minorHAnsi" w:hAnsiTheme="minorHAnsi" w:cstheme="minorHAnsi"/>
          <w:b/>
          <w:u w:val="single"/>
        </w:rPr>
        <w:t>[</w:t>
      </w:r>
      <w:proofErr w:type="spellStart"/>
      <w:r w:rsidRPr="007120E9">
        <w:rPr>
          <w:rFonts w:asciiTheme="minorHAnsi" w:hAnsiTheme="minorHAnsi" w:cstheme="minorHAnsi"/>
          <w:b/>
          <w:u w:val="single"/>
        </w:rPr>
        <w:t>ing</w:t>
      </w:r>
      <w:proofErr w:type="spellEnd"/>
      <w:r w:rsidRPr="007120E9">
        <w:rPr>
          <w:rFonts w:asciiTheme="minorHAnsi" w:hAnsiTheme="minorHAnsi" w:cstheme="minorHAnsi"/>
          <w:b/>
          <w:u w:val="single"/>
        </w:rPr>
        <w:t xml:space="preserve">] </w:t>
      </w:r>
      <w:r w:rsidRPr="00526812">
        <w:rPr>
          <w:rFonts w:asciiTheme="minorHAnsi" w:hAnsiTheme="minorHAnsi" w:cstheme="minorHAnsi"/>
          <w:b/>
          <w:highlight w:val="green"/>
          <w:u w:val="single"/>
        </w:rPr>
        <w:t>liberation not from white supremacy alone</w:t>
      </w:r>
      <w:r w:rsidRPr="007120E9">
        <w:rPr>
          <w:rFonts w:asciiTheme="minorHAnsi" w:hAnsiTheme="minorHAnsi" w:cstheme="minorHAnsi"/>
          <w:b/>
          <w:u w:val="single"/>
        </w:rPr>
        <w:t>,</w:t>
      </w:r>
      <w:r w:rsidRPr="007120E9">
        <w:rPr>
          <w:rFonts w:asciiTheme="minorHAnsi" w:hAnsiTheme="minorHAnsi" w:cstheme="minorHAnsi"/>
          <w:sz w:val="16"/>
        </w:rPr>
        <w:t xml:space="preserve"> however urgently that is required, </w:t>
      </w:r>
      <w:r w:rsidRPr="00526812">
        <w:rPr>
          <w:rFonts w:asciiTheme="minorHAnsi" w:hAnsiTheme="minorHAnsi" w:cstheme="minorHAnsi"/>
          <w:b/>
          <w:highlight w:val="green"/>
          <w:u w:val="single"/>
        </w:rPr>
        <w:t xml:space="preserve">but from all </w:t>
      </w:r>
      <w:proofErr w:type="spellStart"/>
      <w:r w:rsidRPr="00526812">
        <w:rPr>
          <w:rFonts w:asciiTheme="minorHAnsi" w:hAnsiTheme="minorHAnsi" w:cstheme="minorHAnsi"/>
          <w:b/>
          <w:highlight w:val="green"/>
          <w:u w:val="single"/>
        </w:rPr>
        <w:t>racializing</w:t>
      </w:r>
      <w:proofErr w:type="spellEnd"/>
      <w:r w:rsidRPr="00526812">
        <w:rPr>
          <w:rFonts w:asciiTheme="minorHAnsi" w:hAnsiTheme="minorHAnsi" w:cstheme="minorHAnsi"/>
          <w:b/>
          <w:highlight w:val="green"/>
          <w:u w:val="single"/>
        </w:rPr>
        <w:t xml:space="preserve"> and </w:t>
      </w:r>
      <w:proofErr w:type="spellStart"/>
      <w:r w:rsidRPr="00526812">
        <w:rPr>
          <w:rFonts w:asciiTheme="minorHAnsi" w:hAnsiTheme="minorHAnsi" w:cstheme="minorHAnsi"/>
          <w:b/>
          <w:highlight w:val="green"/>
          <w:u w:val="single"/>
        </w:rPr>
        <w:t>raciological</w:t>
      </w:r>
      <w:proofErr w:type="spellEnd"/>
      <w:r w:rsidRPr="00526812">
        <w:rPr>
          <w:rFonts w:asciiTheme="minorHAnsi" w:hAnsiTheme="minorHAnsi" w:cstheme="minorHAnsi"/>
          <w:b/>
          <w:highlight w:val="green"/>
          <w:u w:val="single"/>
        </w:rPr>
        <w:t xml:space="preserve"> thought</w:t>
      </w:r>
      <w:r w:rsidRPr="007120E9">
        <w:rPr>
          <w:rFonts w:asciiTheme="minorHAnsi" w:hAnsiTheme="minorHAnsi" w:cstheme="minorHAnsi"/>
          <w:sz w:val="16"/>
        </w:rPr>
        <w:t xml:space="preserve">, </w:t>
      </w:r>
      <w:proofErr w:type="spellStart"/>
      <w:r w:rsidRPr="007120E9">
        <w:rPr>
          <w:rFonts w:asciiTheme="minorHAnsi" w:hAnsiTheme="minorHAnsi" w:cstheme="minorHAnsi"/>
          <w:sz w:val="16"/>
        </w:rPr>
        <w:t>fromracialized</w:t>
      </w:r>
      <w:proofErr w:type="spellEnd"/>
      <w:r w:rsidRPr="007120E9">
        <w:rPr>
          <w:rFonts w:asciiTheme="minorHAnsi" w:hAnsiTheme="minorHAnsi" w:cstheme="minorHAnsi"/>
          <w:sz w:val="16"/>
        </w:rPr>
        <w:t xml:space="preserve"> seeing, </w:t>
      </w:r>
      <w:proofErr w:type="spellStart"/>
      <w:r w:rsidRPr="007120E9">
        <w:rPr>
          <w:rFonts w:asciiTheme="minorHAnsi" w:hAnsiTheme="minorHAnsi" w:cstheme="minorHAnsi"/>
          <w:sz w:val="16"/>
        </w:rPr>
        <w:t>racialized</w:t>
      </w:r>
      <w:proofErr w:type="spellEnd"/>
      <w:r w:rsidRPr="007120E9">
        <w:rPr>
          <w:rFonts w:asciiTheme="minorHAnsi" w:hAnsiTheme="minorHAnsi" w:cstheme="minorHAnsi"/>
          <w:sz w:val="16"/>
        </w:rPr>
        <w:t xml:space="preserve"> thinking, </w:t>
      </w:r>
      <w:r w:rsidRPr="00526812">
        <w:rPr>
          <w:rFonts w:asciiTheme="minorHAnsi" w:hAnsiTheme="minorHAnsi" w:cstheme="minorHAnsi"/>
          <w:b/>
          <w:highlight w:val="green"/>
          <w:u w:val="single"/>
        </w:rPr>
        <w:t xml:space="preserve">and </w:t>
      </w:r>
      <w:proofErr w:type="spellStart"/>
      <w:r w:rsidRPr="00526812">
        <w:rPr>
          <w:rFonts w:asciiTheme="minorHAnsi" w:hAnsiTheme="minorHAnsi" w:cstheme="minorHAnsi"/>
          <w:b/>
          <w:highlight w:val="green"/>
          <w:u w:val="single"/>
        </w:rPr>
        <w:t>racialized</w:t>
      </w:r>
      <w:proofErr w:type="spellEnd"/>
      <w:r w:rsidRPr="00526812">
        <w:rPr>
          <w:rFonts w:asciiTheme="minorHAnsi" w:hAnsiTheme="minorHAnsi" w:cstheme="minorHAnsi"/>
          <w:b/>
          <w:highlight w:val="green"/>
          <w:u w:val="single"/>
        </w:rPr>
        <w:t xml:space="preserve"> thinking</w:t>
      </w:r>
      <w:r w:rsidRPr="007120E9">
        <w:rPr>
          <w:rFonts w:asciiTheme="minorHAnsi" w:hAnsiTheme="minorHAnsi" w:cstheme="minorHAnsi"/>
          <w:b/>
          <w:u w:val="single"/>
        </w:rPr>
        <w:t xml:space="preserve"> about thinking’’</w:t>
      </w:r>
      <w:r w:rsidRPr="007120E9">
        <w:rPr>
          <w:rFonts w:asciiTheme="minorHAnsi" w:hAnsiTheme="minorHAnsi" w:cstheme="minorHAnsi"/>
          <w:sz w:val="16"/>
        </w:rPr>
        <w:t xml:space="preserve"> (40). In contrast to </w:t>
      </w:r>
      <w:proofErr w:type="spellStart"/>
      <w:r w:rsidRPr="007120E9">
        <w:rPr>
          <w:rFonts w:asciiTheme="minorHAnsi" w:hAnsiTheme="minorHAnsi" w:cstheme="minorHAnsi"/>
          <w:sz w:val="16"/>
        </w:rPr>
        <w:t>Visweswaran</w:t>
      </w:r>
      <w:proofErr w:type="spellEnd"/>
      <w:r w:rsidRPr="007120E9">
        <w:rPr>
          <w:rFonts w:asciiTheme="minorHAnsi" w:hAnsiTheme="minorHAnsi" w:cstheme="minorHAnsi"/>
          <w:sz w:val="16"/>
        </w:rPr>
        <w:t>—and, interestingly, voicing concerns over ‘‘cultural politics’’ that resonate with Dominguez’s critique—</w:t>
      </w:r>
      <w:r w:rsidRPr="00526812">
        <w:rPr>
          <w:rFonts w:asciiTheme="minorHAnsi" w:hAnsiTheme="minorHAnsi" w:cstheme="minorHAnsi"/>
          <w:b/>
          <w:highlight w:val="green"/>
          <w:u w:val="single"/>
        </w:rPr>
        <w:t>Gilroy sees a host of problems in ‘‘black political cultures’’ that rely on ‘‘essentialist approaches to building solidarity’’</w:t>
      </w:r>
      <w:r w:rsidRPr="00526812">
        <w:rPr>
          <w:rFonts w:asciiTheme="minorHAnsi" w:hAnsiTheme="minorHAnsi" w:cstheme="minorHAnsi"/>
          <w:sz w:val="16"/>
          <w:highlight w:val="green"/>
        </w:rPr>
        <w:t xml:space="preserve"> (</w:t>
      </w:r>
      <w:r w:rsidRPr="007120E9">
        <w:rPr>
          <w:rFonts w:asciiTheme="minorHAnsi" w:hAnsiTheme="minorHAnsi" w:cstheme="minorHAnsi"/>
          <w:sz w:val="16"/>
        </w:rPr>
        <w:t xml:space="preserve">38).14 </w:t>
      </w:r>
      <w:proofErr w:type="gramStart"/>
      <w:r w:rsidRPr="007120E9">
        <w:rPr>
          <w:rFonts w:asciiTheme="minorHAnsi" w:hAnsiTheme="minorHAnsi" w:cstheme="minorHAnsi"/>
          <w:sz w:val="16"/>
        </w:rPr>
        <w:t>Nor</w:t>
      </w:r>
      <w:proofErr w:type="gramEnd"/>
      <w:r w:rsidRPr="007120E9">
        <w:rPr>
          <w:rFonts w:asciiTheme="minorHAnsi" w:hAnsiTheme="minorHAnsi" w:cstheme="minorHAnsi"/>
          <w:sz w:val="16"/>
        </w:rPr>
        <w:t xml:space="preserve"> does he share Harrison’s confidence in making racism the centerpiece of critical cultural analysis. Gilroy plainly asserts that ‘‘the starting point of this book is that the era of New Racism is emphatically over’’ (34</w:t>
      </w:r>
      <w:r w:rsidRPr="00526812">
        <w:rPr>
          <w:rFonts w:asciiTheme="minorHAnsi" w:hAnsiTheme="minorHAnsi" w:cstheme="minorHAnsi"/>
          <w:b/>
          <w:highlight w:val="green"/>
          <w:u w:val="single"/>
        </w:rPr>
        <w:t>). A singular focus</w:t>
      </w:r>
      <w:r w:rsidRPr="007120E9">
        <w:rPr>
          <w:rFonts w:asciiTheme="minorHAnsi" w:hAnsiTheme="minorHAnsi" w:cstheme="minorHAnsi"/>
          <w:b/>
          <w:u w:val="single"/>
        </w:rPr>
        <w:t xml:space="preserve"> on racism </w:t>
      </w:r>
      <w:r w:rsidRPr="00526812">
        <w:rPr>
          <w:rFonts w:asciiTheme="minorHAnsi" w:hAnsiTheme="minorHAnsi" w:cstheme="minorHAnsi"/>
          <w:b/>
          <w:highlight w:val="green"/>
          <w:u w:val="single"/>
        </w:rPr>
        <w:t>precludes an attention to</w:t>
      </w:r>
      <w:r w:rsidRPr="007120E9">
        <w:rPr>
          <w:rFonts w:asciiTheme="minorHAnsi" w:hAnsiTheme="minorHAnsi" w:cstheme="minorHAnsi"/>
          <w:b/>
          <w:u w:val="single"/>
        </w:rPr>
        <w:t xml:space="preserve"> ‘‘the appearance of sharp </w:t>
      </w:r>
      <w:proofErr w:type="spellStart"/>
      <w:r w:rsidRPr="00526812">
        <w:rPr>
          <w:rFonts w:asciiTheme="minorHAnsi" w:hAnsiTheme="minorHAnsi" w:cstheme="minorHAnsi"/>
          <w:b/>
          <w:highlight w:val="green"/>
          <w:u w:val="single"/>
        </w:rPr>
        <w:t>intraracial</w:t>
      </w:r>
      <w:proofErr w:type="spellEnd"/>
      <w:r w:rsidRPr="00526812">
        <w:rPr>
          <w:rFonts w:asciiTheme="minorHAnsi" w:hAnsiTheme="minorHAnsi" w:cstheme="minorHAnsi"/>
          <w:b/>
          <w:highlight w:val="green"/>
          <w:u w:val="single"/>
        </w:rPr>
        <w:t xml:space="preserve"> conflicts’’</w:t>
      </w:r>
      <w:r w:rsidRPr="007120E9">
        <w:rPr>
          <w:rFonts w:asciiTheme="minorHAnsi" w:hAnsiTheme="minorHAnsi" w:cstheme="minorHAnsi"/>
          <w:b/>
          <w:u w:val="single"/>
        </w:rPr>
        <w:t xml:space="preserve"> </w:t>
      </w:r>
      <w:r w:rsidRPr="00526812">
        <w:rPr>
          <w:rFonts w:asciiTheme="minorHAnsi" w:hAnsiTheme="minorHAnsi" w:cstheme="minorHAnsi"/>
          <w:b/>
          <w:highlight w:val="green"/>
          <w:u w:val="single"/>
        </w:rPr>
        <w:t>and does</w:t>
      </w:r>
      <w:r w:rsidRPr="007120E9">
        <w:rPr>
          <w:rFonts w:asciiTheme="minorHAnsi" w:hAnsiTheme="minorHAnsi" w:cstheme="minorHAnsi"/>
          <w:b/>
          <w:u w:val="single"/>
        </w:rPr>
        <w:t xml:space="preserve"> not effectively </w:t>
      </w:r>
      <w:r w:rsidRPr="00526812">
        <w:rPr>
          <w:rFonts w:asciiTheme="minorHAnsi" w:hAnsiTheme="minorHAnsi" w:cstheme="minorHAnsi"/>
          <w:b/>
          <w:highlight w:val="green"/>
          <w:u w:val="single"/>
        </w:rPr>
        <w:t>address</w:t>
      </w:r>
      <w:r w:rsidRPr="007120E9">
        <w:rPr>
          <w:rFonts w:asciiTheme="minorHAnsi" w:hAnsiTheme="minorHAnsi" w:cstheme="minorHAnsi"/>
          <w:sz w:val="16"/>
        </w:rPr>
        <w:t xml:space="preserve"> the ‘‘several </w:t>
      </w:r>
      <w:r w:rsidRPr="00526812">
        <w:rPr>
          <w:rFonts w:asciiTheme="minorHAnsi" w:hAnsiTheme="minorHAnsi" w:cstheme="minorHAnsi"/>
          <w:b/>
          <w:highlight w:val="green"/>
          <w:u w:val="single"/>
        </w:rPr>
        <w:t>new forms of determinism</w:t>
      </w:r>
      <w:r w:rsidRPr="007120E9">
        <w:rPr>
          <w:rFonts w:asciiTheme="minorHAnsi" w:hAnsiTheme="minorHAnsi" w:cstheme="minorHAnsi"/>
          <w:b/>
          <w:u w:val="single"/>
        </w:rPr>
        <w:t xml:space="preserve"> abroad’’</w:t>
      </w:r>
      <w:r w:rsidRPr="007120E9">
        <w:rPr>
          <w:rFonts w:asciiTheme="minorHAnsi" w:hAnsiTheme="minorHAnsi" w:cstheme="minorHAnsi"/>
          <w:sz w:val="16"/>
        </w:rPr>
        <w:t xml:space="preserve"> (38, 34). </w:t>
      </w:r>
      <w:r w:rsidRPr="007120E9">
        <w:rPr>
          <w:rFonts w:asciiTheme="minorHAnsi" w:hAnsiTheme="minorHAnsi" w:cstheme="minorHAnsi"/>
          <w:b/>
          <w:u w:val="single"/>
        </w:rPr>
        <w:t>We</w:t>
      </w:r>
      <w:r w:rsidRPr="007120E9">
        <w:rPr>
          <w:rFonts w:asciiTheme="minorHAnsi" w:hAnsiTheme="minorHAnsi" w:cstheme="minorHAnsi"/>
          <w:sz w:val="16"/>
        </w:rPr>
        <w:t xml:space="preserve"> </w:t>
      </w:r>
      <w:r w:rsidRPr="007120E9">
        <w:rPr>
          <w:rFonts w:asciiTheme="minorHAnsi" w:hAnsiTheme="minorHAnsi" w:cstheme="minorHAnsi"/>
          <w:b/>
          <w:u w:val="single"/>
        </w:rPr>
        <w:t>still must be prepared ‘‘to give effective answers to th</w:t>
      </w:r>
      <w:r w:rsidRPr="007120E9">
        <w:rPr>
          <w:rFonts w:asciiTheme="minorHAnsi" w:hAnsiTheme="minorHAnsi" w:cstheme="minorHAnsi"/>
          <w:sz w:val="16"/>
        </w:rPr>
        <w:t xml:space="preserve">e pathological </w:t>
      </w:r>
      <w:r w:rsidRPr="007120E9">
        <w:rPr>
          <w:rFonts w:asciiTheme="minorHAnsi" w:hAnsiTheme="minorHAnsi" w:cstheme="minorHAnsi"/>
          <w:b/>
          <w:u w:val="single"/>
        </w:rPr>
        <w:t xml:space="preserve">problems represented by </w:t>
      </w:r>
      <w:r w:rsidRPr="007120E9">
        <w:rPr>
          <w:rFonts w:asciiTheme="minorHAnsi" w:hAnsiTheme="minorHAnsi" w:cstheme="minorHAnsi"/>
          <w:sz w:val="16"/>
        </w:rPr>
        <w:t xml:space="preserve">genomic </w:t>
      </w:r>
      <w:r w:rsidRPr="007120E9">
        <w:rPr>
          <w:rFonts w:asciiTheme="minorHAnsi" w:hAnsiTheme="minorHAnsi" w:cstheme="minorHAnsi"/>
          <w:b/>
          <w:u w:val="single"/>
        </w:rPr>
        <w:t>racism, the glamour of sameness</w:t>
      </w:r>
      <w:r w:rsidRPr="007120E9">
        <w:rPr>
          <w:rFonts w:asciiTheme="minorHAnsi" w:hAnsiTheme="minorHAnsi" w:cstheme="minorHAnsi"/>
          <w:sz w:val="16"/>
        </w:rPr>
        <w:t xml:space="preserve">, and the eugenic projects currently nurtured by their confluence’’ (41). </w:t>
      </w:r>
      <w:r w:rsidRPr="007120E9">
        <w:rPr>
          <w:rFonts w:asciiTheme="minorHAnsi" w:hAnsiTheme="minorHAnsi" w:cstheme="minorHAnsi"/>
          <w:b/>
          <w:u w:val="single"/>
        </w:rPr>
        <w:t>But the diffuse threats</w:t>
      </w:r>
      <w:r w:rsidRPr="007120E9">
        <w:rPr>
          <w:rFonts w:asciiTheme="minorHAnsi" w:hAnsiTheme="minorHAnsi" w:cstheme="minorHAnsi"/>
          <w:sz w:val="16"/>
        </w:rPr>
        <w:t xml:space="preserve"> </w:t>
      </w:r>
      <w:r w:rsidRPr="007120E9">
        <w:rPr>
          <w:rFonts w:asciiTheme="minorHAnsi" w:hAnsiTheme="minorHAnsi" w:cstheme="minorHAnsi"/>
          <w:b/>
          <w:u w:val="single"/>
        </w:rPr>
        <w:t>posed by</w:t>
      </w:r>
      <w:r w:rsidRPr="007120E9">
        <w:rPr>
          <w:rFonts w:asciiTheme="minorHAnsi" w:hAnsiTheme="minorHAnsi" w:cstheme="minorHAnsi"/>
          <w:sz w:val="16"/>
        </w:rPr>
        <w:t xml:space="preserve"> invocations of </w:t>
      </w:r>
      <w:r w:rsidRPr="007120E9">
        <w:rPr>
          <w:rFonts w:asciiTheme="minorHAnsi" w:hAnsiTheme="minorHAnsi" w:cstheme="minorHAnsi"/>
          <w:b/>
          <w:u w:val="single"/>
        </w:rPr>
        <w:t xml:space="preserve">racially </w:t>
      </w:r>
      <w:proofErr w:type="spellStart"/>
      <w:r w:rsidRPr="007120E9">
        <w:rPr>
          <w:rFonts w:asciiTheme="minorHAnsi" w:hAnsiTheme="minorHAnsi" w:cstheme="minorHAnsi"/>
          <w:b/>
          <w:u w:val="single"/>
        </w:rPr>
        <w:t>essentialized</w:t>
      </w:r>
      <w:proofErr w:type="spellEnd"/>
      <w:r w:rsidRPr="007120E9">
        <w:rPr>
          <w:rFonts w:asciiTheme="minorHAnsi" w:hAnsiTheme="minorHAnsi" w:cstheme="minorHAnsi"/>
          <w:b/>
          <w:u w:val="single"/>
        </w:rPr>
        <w:t xml:space="preserve"> identities</w:t>
      </w:r>
      <w:r w:rsidRPr="007120E9">
        <w:rPr>
          <w:rFonts w:asciiTheme="minorHAnsi" w:hAnsiTheme="minorHAnsi" w:cstheme="minorHAnsi"/>
          <w:sz w:val="16"/>
        </w:rPr>
        <w:t xml:space="preserve"> (shimmering in ‘‘the glamour of sameness’’) </w:t>
      </w:r>
      <w:r w:rsidRPr="007120E9">
        <w:rPr>
          <w:rFonts w:asciiTheme="minorHAnsi" w:hAnsiTheme="minorHAnsi" w:cstheme="minorHAnsi"/>
          <w:b/>
          <w:u w:val="single"/>
        </w:rPr>
        <w:t>as the basis for articulating ‘‘black political cultures’’</w:t>
      </w:r>
      <w:r w:rsidRPr="007120E9">
        <w:rPr>
          <w:rFonts w:asciiTheme="minorHAnsi" w:hAnsiTheme="minorHAnsi" w:cstheme="minorHAnsi"/>
          <w:sz w:val="16"/>
        </w:rPr>
        <w:t xml:space="preserve"> </w:t>
      </w:r>
      <w:r w:rsidRPr="007120E9">
        <w:rPr>
          <w:rFonts w:asciiTheme="minorHAnsi" w:hAnsiTheme="minorHAnsi" w:cstheme="minorHAnsi"/>
          <w:b/>
          <w:u w:val="single"/>
        </w:rPr>
        <w:t>entails an</w:t>
      </w:r>
      <w:r w:rsidRPr="007120E9">
        <w:rPr>
          <w:rFonts w:asciiTheme="minorHAnsi" w:hAnsiTheme="minorHAnsi" w:cstheme="minorHAnsi"/>
          <w:sz w:val="16"/>
        </w:rPr>
        <w:t xml:space="preserve"> analytical </w:t>
      </w:r>
      <w:r w:rsidRPr="007120E9">
        <w:rPr>
          <w:rFonts w:asciiTheme="minorHAnsi" w:hAnsiTheme="minorHAnsi" w:cstheme="minorHAnsi"/>
          <w:b/>
          <w:u w:val="single"/>
        </w:rPr>
        <w:t>approach that countervails against positing racism as</w:t>
      </w:r>
      <w:r w:rsidRPr="007120E9">
        <w:rPr>
          <w:rFonts w:asciiTheme="minorHAnsi" w:hAnsiTheme="minorHAnsi" w:cstheme="minorHAnsi"/>
          <w:sz w:val="16"/>
        </w:rPr>
        <w:t xml:space="preserve"> </w:t>
      </w:r>
      <w:r w:rsidRPr="007120E9">
        <w:rPr>
          <w:rFonts w:asciiTheme="minorHAnsi" w:hAnsiTheme="minorHAnsi" w:cstheme="minorHAnsi"/>
          <w:b/>
          <w:u w:val="single"/>
        </w:rPr>
        <w:t>the singular focus of inquiry and critique</w:t>
      </w:r>
      <w:r w:rsidRPr="007120E9">
        <w:rPr>
          <w:rFonts w:asciiTheme="minorHAnsi" w:hAnsiTheme="minorHAnsi" w:cstheme="minorHAnsi"/>
          <w:sz w:val="16"/>
        </w:rPr>
        <w:t>.15 From Gilroy’s stance, to articulate a ‘‘</w:t>
      </w:r>
      <w:proofErr w:type="spellStart"/>
      <w:r w:rsidRPr="007120E9">
        <w:rPr>
          <w:rFonts w:asciiTheme="minorHAnsi" w:hAnsiTheme="minorHAnsi" w:cstheme="minorHAnsi"/>
          <w:sz w:val="16"/>
        </w:rPr>
        <w:t>postracial</w:t>
      </w:r>
      <w:proofErr w:type="spellEnd"/>
      <w:r w:rsidRPr="007120E9">
        <w:rPr>
          <w:rFonts w:asciiTheme="minorHAnsi" w:hAnsiTheme="minorHAnsi" w:cstheme="minorHAnsi"/>
          <w:sz w:val="16"/>
        </w:rPr>
        <w:t xml:space="preserve"> humanism’’ </w:t>
      </w:r>
      <w:r w:rsidRPr="00526812">
        <w:rPr>
          <w:rFonts w:asciiTheme="minorHAnsi" w:hAnsiTheme="minorHAnsi" w:cstheme="minorHAnsi"/>
          <w:b/>
          <w:highlight w:val="green"/>
          <w:u w:val="single"/>
        </w:rPr>
        <w:t>we must disable any form of racial vision</w:t>
      </w:r>
      <w:r w:rsidRPr="00526812">
        <w:rPr>
          <w:rFonts w:asciiTheme="minorHAnsi" w:hAnsiTheme="minorHAnsi" w:cstheme="minorHAnsi"/>
          <w:sz w:val="16"/>
          <w:highlight w:val="green"/>
        </w:rPr>
        <w:t xml:space="preserve"> </w:t>
      </w:r>
      <w:r w:rsidRPr="00526812">
        <w:rPr>
          <w:rFonts w:asciiTheme="minorHAnsi" w:hAnsiTheme="minorHAnsi" w:cstheme="minorHAnsi"/>
          <w:b/>
          <w:highlight w:val="green"/>
          <w:u w:val="single"/>
        </w:rPr>
        <w:t>and ensure</w:t>
      </w:r>
      <w:r w:rsidRPr="007120E9">
        <w:rPr>
          <w:rFonts w:asciiTheme="minorHAnsi" w:hAnsiTheme="minorHAnsi" w:cstheme="minorHAnsi"/>
          <w:b/>
          <w:u w:val="single"/>
        </w:rPr>
        <w:t xml:space="preserve"> that </w:t>
      </w:r>
      <w:r w:rsidRPr="00526812">
        <w:rPr>
          <w:rFonts w:asciiTheme="minorHAnsi" w:hAnsiTheme="minorHAnsi" w:cstheme="minorHAnsi"/>
          <w:b/>
          <w:highlight w:val="green"/>
          <w:u w:val="single"/>
        </w:rPr>
        <w:t xml:space="preserve">it can never again be reinvested with explanatory </w:t>
      </w:r>
      <w:proofErr w:type="spellStart"/>
      <w:r w:rsidRPr="00526812">
        <w:rPr>
          <w:rFonts w:asciiTheme="minorHAnsi" w:hAnsiTheme="minorHAnsi" w:cstheme="minorHAnsi"/>
          <w:b/>
          <w:highlight w:val="green"/>
          <w:u w:val="single"/>
        </w:rPr>
        <w:t>power</w:t>
      </w:r>
      <w:r>
        <w:rPr>
          <w:rFonts w:asciiTheme="minorHAnsi" w:hAnsiTheme="minorHAnsi" w:cstheme="minorHAnsi"/>
          <w:b/>
          <w:u w:val="single"/>
        </w:rPr>
        <w:t>ffff</w:t>
      </w:r>
      <w:proofErr w:type="spellEnd"/>
      <w:r w:rsidRPr="007120E9">
        <w:rPr>
          <w:rFonts w:asciiTheme="minorHAnsi" w:hAnsiTheme="minorHAnsi" w:cstheme="minorHAnsi"/>
          <w:sz w:val="16"/>
        </w:rPr>
        <w:t xml:space="preserve">.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w:t>
      </w:r>
      <w:r w:rsidRPr="007120E9">
        <w:rPr>
          <w:rFonts w:asciiTheme="minorHAnsi" w:hAnsiTheme="minorHAnsi" w:cstheme="minorHAnsi"/>
          <w:sz w:val="16"/>
        </w:rPr>
        <w:lastRenderedPageBreak/>
        <w:t xml:space="preserve">above. Specifically, Gilroy cautions that ‘‘the </w:t>
      </w:r>
      <w:proofErr w:type="spellStart"/>
      <w:r w:rsidRPr="007120E9">
        <w:rPr>
          <w:rFonts w:asciiTheme="minorHAnsi" w:hAnsiTheme="minorHAnsi" w:cstheme="minorHAnsi"/>
          <w:sz w:val="16"/>
        </w:rPr>
        <w:t>culturalist</w:t>
      </w:r>
      <w:proofErr w:type="spellEnd"/>
      <w:r w:rsidRPr="007120E9">
        <w:rPr>
          <w:rFonts w:asciiTheme="minorHAnsi" w:hAnsiTheme="minorHAnsi" w:cstheme="minorHAnsi"/>
          <w:sz w:val="16"/>
        </w:rPr>
        <w:t xml:space="preserve">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w:t>
      </w:r>
      <w:r w:rsidRPr="007120E9">
        <w:rPr>
          <w:rFonts w:asciiTheme="minorHAnsi" w:hAnsiTheme="minorHAnsi" w:cstheme="minorHAnsi"/>
          <w:b/>
          <w:u w:val="single"/>
        </w:rPr>
        <w:t>As an alternative to the metaphysics of ‘race</w:t>
      </w:r>
      <w:r w:rsidRPr="007120E9">
        <w:rPr>
          <w:rFonts w:asciiTheme="minorHAnsi" w:hAnsiTheme="minorHAnsi" w:cstheme="minorHAnsi"/>
          <w:sz w:val="16"/>
        </w:rPr>
        <w:t>,’</w:t>
      </w:r>
      <w:r w:rsidRPr="007120E9">
        <w:rPr>
          <w:rFonts w:asciiTheme="minorHAnsi" w:hAnsiTheme="minorHAnsi" w:cstheme="minorHAnsi"/>
          <w:b/>
          <w:u w:val="single"/>
        </w:rPr>
        <w:t xml:space="preserve"> nation, and bounded culture coded into the body,’’ Gilroy finds that ‘‘</w:t>
      </w:r>
      <w:r w:rsidRPr="00526812">
        <w:rPr>
          <w:rFonts w:asciiTheme="minorHAnsi" w:hAnsiTheme="minorHAnsi" w:cstheme="minorHAnsi"/>
          <w:b/>
          <w:highlight w:val="green"/>
          <w:u w:val="single"/>
        </w:rPr>
        <w:t>diaspora</w:t>
      </w:r>
      <w:r w:rsidRPr="00526812">
        <w:rPr>
          <w:rFonts w:asciiTheme="minorHAnsi" w:hAnsiTheme="minorHAnsi" w:cstheme="minorHAnsi"/>
          <w:sz w:val="16"/>
          <w:highlight w:val="green"/>
        </w:rPr>
        <w:t xml:space="preserve"> </w:t>
      </w:r>
      <w:r w:rsidRPr="00526812">
        <w:rPr>
          <w:rFonts w:asciiTheme="minorHAnsi" w:hAnsiTheme="minorHAnsi" w:cstheme="minorHAnsi"/>
          <w:b/>
          <w:highlight w:val="green"/>
          <w:u w:val="single"/>
        </w:rPr>
        <w:t>is a concept that problematizes the cultural and historical mechanics of belonging’’</w:t>
      </w:r>
      <w:r w:rsidRPr="007120E9">
        <w:rPr>
          <w:rFonts w:asciiTheme="minorHAnsi" w:hAnsiTheme="minorHAnsi" w:cstheme="minorHAnsi"/>
          <w:sz w:val="16"/>
        </w:rPr>
        <w:t xml:space="preserve"> (123). Furthermore, </w:t>
      </w:r>
      <w:r w:rsidRPr="007120E9">
        <w:rPr>
          <w:rFonts w:asciiTheme="minorHAnsi" w:hAnsiTheme="minorHAnsi" w:cstheme="minorHAnsi"/>
          <w:b/>
          <w:u w:val="single"/>
        </w:rPr>
        <w:t>‘‘by focusing attention equally on the sameness within differentiation and the differentiation within sameness, diaspora disturbs the suggestion that political and cultural identity might be understood via the analogy of indistinguishable peas lodged in</w:t>
      </w:r>
      <w:r w:rsidRPr="007120E9">
        <w:rPr>
          <w:rFonts w:asciiTheme="minorHAnsi" w:hAnsiTheme="minorHAnsi" w:cstheme="minorHAnsi"/>
          <w:sz w:val="16"/>
        </w:rPr>
        <w:t xml:space="preserve"> the protective </w:t>
      </w:r>
      <w:r w:rsidRPr="007120E9">
        <w:rPr>
          <w:rFonts w:asciiTheme="minorHAnsi" w:hAnsiTheme="minorHAnsi" w:cstheme="minorHAnsi"/>
          <w:b/>
          <w:u w:val="single"/>
        </w:rPr>
        <w:t>pods of closed kinship</w:t>
      </w:r>
      <w:r w:rsidRPr="007120E9">
        <w:rPr>
          <w:rFonts w:asciiTheme="minorHAnsi" w:hAnsiTheme="minorHAnsi" w:cstheme="minorHAnsi"/>
          <w:sz w:val="16"/>
        </w:rPr>
        <w:t xml:space="preserve"> and subspecies’’ (125). </w:t>
      </w:r>
      <w:r w:rsidRPr="007120E9">
        <w:rPr>
          <w:rFonts w:asciiTheme="minorHAnsi" w:hAnsiTheme="minorHAnsi" w:cstheme="minorHAnsi"/>
          <w:b/>
          <w:u w:val="single"/>
        </w:rPr>
        <w:t xml:space="preserve">And </w:t>
      </w:r>
      <w:r w:rsidRPr="00526812">
        <w:rPr>
          <w:rFonts w:asciiTheme="minorHAnsi" w:hAnsiTheme="minorHAnsi" w:cstheme="minorHAnsi"/>
          <w:b/>
          <w:highlight w:val="green"/>
          <w:u w:val="single"/>
        </w:rPr>
        <w:t>yet</w:t>
      </w:r>
      <w:r w:rsidRPr="007120E9">
        <w:rPr>
          <w:rFonts w:asciiTheme="minorHAnsi" w:hAnsiTheme="minorHAnsi" w:cstheme="minorHAnsi"/>
          <w:b/>
          <w:u w:val="single"/>
        </w:rPr>
        <w:t>,</w:t>
      </w:r>
      <w:r w:rsidRPr="007120E9">
        <w:rPr>
          <w:rFonts w:asciiTheme="minorHAnsi" w:hAnsiTheme="minorHAnsi" w:cstheme="minorHAnsi"/>
          <w:sz w:val="16"/>
        </w:rPr>
        <w:t xml:space="preserve"> in a manner similar to Harrison’s prioritizing of racism as a central concern for social inquiry, when it comes to specifying what diaspora entails and how it works</w:t>
      </w:r>
      <w:r w:rsidRPr="007120E9">
        <w:rPr>
          <w:rFonts w:asciiTheme="minorHAnsi" w:hAnsiTheme="minorHAnsi" w:cstheme="minorHAnsi"/>
          <w:b/>
          <w:u w:val="single"/>
        </w:rPr>
        <w:t xml:space="preserve">, </w:t>
      </w:r>
      <w:r w:rsidRPr="00526812">
        <w:rPr>
          <w:rFonts w:asciiTheme="minorHAnsi" w:hAnsiTheme="minorHAnsi" w:cstheme="minorHAnsi"/>
          <w:b/>
          <w:highlight w:val="green"/>
          <w:u w:val="single"/>
        </w:rPr>
        <w:t>vestiges of culture reemerge as a basis for the coherence of this new conceptual focus</w:t>
      </w:r>
      <w:r w:rsidRPr="007120E9">
        <w:rPr>
          <w:rFonts w:asciiTheme="minorHAnsi" w:hAnsiTheme="minorHAnsi" w:cstheme="minorHAnsi"/>
          <w:sz w:val="16"/>
        </w:rPr>
        <w:t xml:space="preserve">. When Gilroy delineates the elements and dimensions of diaspora, culture provides the basic conceptual background and terminology. </w:t>
      </w:r>
      <w:r w:rsidRPr="007120E9">
        <w:rPr>
          <w:rFonts w:asciiTheme="minorHAnsi" w:hAnsiTheme="minorHAnsi" w:cstheme="minorHAnsi"/>
          <w:b/>
          <w:u w:val="single"/>
        </w:rPr>
        <w:t>In characterizing ‘‘the Atlantic diaspora</w:t>
      </w:r>
      <w:r w:rsidRPr="007120E9">
        <w:rPr>
          <w:rFonts w:asciiTheme="minorHAnsi" w:hAnsiTheme="minorHAnsi" w:cstheme="minorHAnsi"/>
          <w:sz w:val="16"/>
        </w:rPr>
        <w:t xml:space="preserve"> and its successor-cultures,’’ </w:t>
      </w:r>
      <w:r w:rsidRPr="007120E9">
        <w:rPr>
          <w:rFonts w:asciiTheme="minorHAnsi" w:hAnsiTheme="minorHAnsi" w:cstheme="minorHAnsi"/>
          <w:b/>
          <w:u w:val="single"/>
        </w:rPr>
        <w:t xml:space="preserve">Gilroy </w:t>
      </w:r>
      <w:r w:rsidRPr="007120E9">
        <w:rPr>
          <w:rFonts w:asciiTheme="minorHAnsi" w:hAnsiTheme="minorHAnsi" w:cstheme="minorHAnsi"/>
          <w:sz w:val="16"/>
        </w:rPr>
        <w:t xml:space="preserve">sequentially </w:t>
      </w:r>
      <w:r w:rsidRPr="007120E9">
        <w:rPr>
          <w:rFonts w:asciiTheme="minorHAnsi" w:hAnsiTheme="minorHAnsi" w:cstheme="minorHAnsi"/>
          <w:b/>
          <w:u w:val="single"/>
        </w:rPr>
        <w:t>invokes ‘‘black cultural styles’’</w:t>
      </w:r>
      <w:r w:rsidRPr="007120E9">
        <w:rPr>
          <w:rFonts w:asciiTheme="minorHAnsi" w:hAnsiTheme="minorHAnsi" w:cstheme="minorHAnsi"/>
          <w:sz w:val="16"/>
        </w:rPr>
        <w:t xml:space="preserve"> and ‘‘</w:t>
      </w:r>
      <w:proofErr w:type="spellStart"/>
      <w:r w:rsidRPr="007120E9">
        <w:rPr>
          <w:rFonts w:asciiTheme="minorHAnsi" w:hAnsiTheme="minorHAnsi" w:cstheme="minorHAnsi"/>
          <w:sz w:val="16"/>
        </w:rPr>
        <w:t>postslave</w:t>
      </w:r>
      <w:proofErr w:type="spellEnd"/>
      <w:r w:rsidRPr="007120E9">
        <w:rPr>
          <w:rFonts w:asciiTheme="minorHAnsi" w:hAnsiTheme="minorHAnsi" w:cstheme="minorHAnsi"/>
          <w:sz w:val="16"/>
        </w:rPr>
        <w:t xml:space="preserve"> cultures’’ </w:t>
      </w:r>
      <w:r w:rsidRPr="007120E9">
        <w:rPr>
          <w:rFonts w:asciiTheme="minorHAnsi" w:hAnsiTheme="minorHAnsi" w:cstheme="minorHAnsi"/>
          <w:b/>
          <w:u w:val="single"/>
        </w:rPr>
        <w:t>that have ‘‘supplied a platform for youth cultures</w:t>
      </w:r>
      <w:r w:rsidRPr="007120E9">
        <w:rPr>
          <w:rFonts w:asciiTheme="minorHAnsi" w:hAnsiTheme="minorHAnsi" w:cstheme="minorHAnsi"/>
          <w:sz w:val="16"/>
        </w:rPr>
        <w:t xml:space="preserve">, popular cultures, and styles of dissent far from their place of origin’’ (178). Gilroy explains how </w:t>
      </w:r>
      <w:r w:rsidRPr="00526812">
        <w:rPr>
          <w:rFonts w:asciiTheme="minorHAnsi" w:hAnsiTheme="minorHAnsi" w:cstheme="minorHAnsi"/>
          <w:b/>
          <w:highlight w:val="green"/>
          <w:u w:val="single"/>
        </w:rPr>
        <w:t>the ‘‘cultural expression</w:t>
      </w:r>
      <w:r w:rsidRPr="007120E9">
        <w:rPr>
          <w:rFonts w:asciiTheme="minorHAnsi" w:hAnsiTheme="minorHAnsi" w:cstheme="minorHAnsi"/>
          <w:b/>
          <w:u w:val="single"/>
        </w:rPr>
        <w:t>s’’</w:t>
      </w:r>
      <w:r w:rsidRPr="007120E9">
        <w:rPr>
          <w:rFonts w:asciiTheme="minorHAnsi" w:hAnsiTheme="minorHAnsi" w:cstheme="minorHAnsi"/>
          <w:sz w:val="16"/>
        </w:rPr>
        <w:t xml:space="preserve"> </w:t>
      </w:r>
      <w:r w:rsidRPr="007120E9">
        <w:rPr>
          <w:rFonts w:asciiTheme="minorHAnsi" w:hAnsiTheme="minorHAnsi" w:cstheme="minorHAnsi"/>
          <w:b/>
          <w:u w:val="single"/>
        </w:rPr>
        <w:t>of hip-hop and rap,</w:t>
      </w:r>
      <w:r w:rsidRPr="007120E9">
        <w:rPr>
          <w:rFonts w:asciiTheme="minorHAnsi" w:hAnsiTheme="minorHAnsi" w:cstheme="minorHAnsi"/>
          <w:sz w:val="16"/>
        </w:rPr>
        <w:t xml:space="preserve"> </w:t>
      </w:r>
      <w:r w:rsidRPr="007120E9">
        <w:rPr>
          <w:rFonts w:asciiTheme="minorHAnsi" w:hAnsiTheme="minorHAnsi" w:cstheme="minorHAnsi"/>
          <w:b/>
          <w:u w:val="single"/>
        </w:rPr>
        <w:t>along with other</w:t>
      </w:r>
      <w:r w:rsidRPr="007120E9">
        <w:rPr>
          <w:rFonts w:asciiTheme="minorHAnsi" w:hAnsiTheme="minorHAnsi" w:cstheme="minorHAnsi"/>
          <w:sz w:val="16"/>
        </w:rPr>
        <w:t xml:space="preserve"> expressive </w:t>
      </w:r>
      <w:r w:rsidRPr="007120E9">
        <w:rPr>
          <w:rFonts w:asciiTheme="minorHAnsi" w:hAnsiTheme="minorHAnsi" w:cstheme="minorHAnsi"/>
          <w:b/>
          <w:u w:val="single"/>
        </w:rPr>
        <w:t>forms of ‘‘black popular culture</w:t>
      </w:r>
      <w:r w:rsidRPr="007120E9">
        <w:rPr>
          <w:rFonts w:asciiTheme="minorHAnsi" w:hAnsiTheme="minorHAnsi" w:cstheme="minorHAnsi"/>
          <w:sz w:val="16"/>
        </w:rPr>
        <w:t xml:space="preserve">,’’ </w:t>
      </w:r>
      <w:r w:rsidRPr="00526812">
        <w:rPr>
          <w:rFonts w:asciiTheme="minorHAnsi" w:hAnsiTheme="minorHAnsi" w:cstheme="minorHAnsi"/>
          <w:b/>
          <w:highlight w:val="green"/>
          <w:u w:val="single"/>
        </w:rPr>
        <w:t>are marketed by the ‘‘cultural industries’’ to white consumers who ‘‘currently support this black culture’</w:t>
      </w:r>
      <w:r w:rsidRPr="007120E9">
        <w:rPr>
          <w:rFonts w:asciiTheme="minorHAnsi" w:hAnsiTheme="minorHAnsi" w:cstheme="minorHAnsi"/>
          <w:b/>
          <w:u w:val="single"/>
        </w:rPr>
        <w:t>’</w:t>
      </w:r>
      <w:r w:rsidRPr="007120E9">
        <w:rPr>
          <w:rFonts w:asciiTheme="minorHAnsi" w:hAnsiTheme="minorHAnsi" w:cstheme="minorHAnsi"/>
          <w:sz w:val="16"/>
        </w:rPr>
        <w:t xml:space="preserve"> (181). Granted, </w:t>
      </w:r>
      <w:r w:rsidRPr="007120E9">
        <w:rPr>
          <w:rFonts w:asciiTheme="minorHAnsi" w:hAnsiTheme="minorHAnsi" w:cstheme="minorHAnsi"/>
          <w:b/>
          <w:u w:val="single"/>
        </w:rPr>
        <w:t xml:space="preserve">in these uses of ‘‘culture’’ Gilroy remains critical of ‘‘absolutist definitions of culture’’ and the process of commodification that culture in turn supports. </w:t>
      </w:r>
      <w:r w:rsidRPr="007120E9">
        <w:rPr>
          <w:rFonts w:asciiTheme="minorHAnsi" w:hAnsiTheme="minorHAnsi" w:cstheme="minorHAnsi"/>
          <w:sz w:val="16"/>
        </w:rPr>
        <w:t xml:space="preserve">But </w:t>
      </w:r>
      <w:r w:rsidRPr="007120E9">
        <w:rPr>
          <w:rFonts w:asciiTheme="minorHAnsi" w:hAnsiTheme="minorHAnsi" w:cstheme="minorHAnsi"/>
          <w:b/>
          <w:u w:val="single"/>
        </w:rPr>
        <w:t xml:space="preserve">his move away from race importantly hinges upon some notion of culture. </w:t>
      </w:r>
      <w:r w:rsidRPr="007120E9">
        <w:rPr>
          <w:rFonts w:asciiTheme="minorHAnsi" w:hAnsiTheme="minorHAnsi" w:cstheme="minorHAnsi"/>
          <w:sz w:val="16"/>
        </w:rPr>
        <w:t xml:space="preserve">We may be able to do away with race, but seemingly not with culture. </w:t>
      </w:r>
    </w:p>
    <w:p w:rsidR="00BC73BF" w:rsidRDefault="00BC73BF" w:rsidP="00BC73BF"/>
    <w:p w:rsidR="00BC73BF" w:rsidRPr="00D94CCE" w:rsidRDefault="00BC73BF" w:rsidP="00BC73BF">
      <w:pPr>
        <w:pStyle w:val="Heading4"/>
      </w:pPr>
      <w:r w:rsidRPr="00D94CCE">
        <w:t>PERM is key – only an institutional focus can uncover power relations necessary to mediate the experiences of the oppressed</w:t>
      </w:r>
    </w:p>
    <w:p w:rsidR="00BC73BF" w:rsidRPr="009334A9" w:rsidRDefault="00BC73BF" w:rsidP="00BC73BF">
      <w:r w:rsidRPr="009334A9">
        <w:rPr>
          <w:rStyle w:val="Heading4Char"/>
        </w:rPr>
        <w:t>Welcome</w:t>
      </w:r>
      <w:r w:rsidRPr="009334A9">
        <w:t xml:space="preserve"> 200</w:t>
      </w:r>
      <w:r w:rsidRPr="009334A9">
        <w:rPr>
          <w:rStyle w:val="Heading4Char"/>
        </w:rPr>
        <w:t xml:space="preserve">4 </w:t>
      </w:r>
      <w:r w:rsidRPr="009334A9">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BC73BF" w:rsidRPr="00CD7E2A" w:rsidRDefault="00BC73BF" w:rsidP="00BC73BF">
      <w:pPr>
        <w:pStyle w:val="card"/>
        <w:ind w:left="0"/>
        <w:rPr>
          <w:rStyle w:val="underline"/>
        </w:rPr>
      </w:pPr>
      <w:r w:rsidRPr="009334A9">
        <w:t xml:space="preserve">In Reproduction in Education, Society and Culture (1970), Pierre Bourdieu and Jean-Claude </w:t>
      </w:r>
      <w:proofErr w:type="spellStart"/>
      <w:r w:rsidRPr="009334A9">
        <w:t>Passeron</w:t>
      </w:r>
      <w:proofErr w:type="spellEnd"/>
      <w:r w:rsidRPr="009334A9">
        <w:t xml:space="preserve"> provide a definition of symbolic violence, stating that it represents "</w:t>
      </w:r>
      <w:r w:rsidRPr="009334A9">
        <w:rPr>
          <w:rStyle w:val="underline"/>
          <w:highlight w:val="green"/>
        </w:rPr>
        <w:t xml:space="preserve">every power which </w:t>
      </w:r>
      <w:r w:rsidRPr="009334A9">
        <w:rPr>
          <w:rStyle w:val="underline"/>
        </w:rPr>
        <w:t xml:space="preserve">manages to </w:t>
      </w:r>
      <w:r w:rsidRPr="009334A9">
        <w:rPr>
          <w:rStyle w:val="underline"/>
          <w:highlight w:val="green"/>
        </w:rPr>
        <w:t xml:space="preserve">impose meanings </w:t>
      </w:r>
      <w:r w:rsidRPr="009334A9">
        <w:t>and to impose them as legitimate by concealing the power relations which are the basis of its force, [</w:t>
      </w:r>
      <w:r w:rsidRPr="009334A9">
        <w:rPr>
          <w:rStyle w:val="underline"/>
          <w:highlight w:val="green"/>
        </w:rPr>
        <w:t>add</w:t>
      </w:r>
      <w:r w:rsidRPr="009334A9">
        <w:t xml:space="preserve">ing] </w:t>
      </w:r>
      <w:r w:rsidRPr="009334A9">
        <w:rPr>
          <w:rStyle w:val="underline"/>
          <w:highlight w:val="green"/>
        </w:rPr>
        <w:t xml:space="preserve">its own </w:t>
      </w:r>
      <w:r w:rsidRPr="009334A9">
        <w:rPr>
          <w:rStyle w:val="underline"/>
        </w:rPr>
        <w:t xml:space="preserve">specifically </w:t>
      </w:r>
      <w:r w:rsidRPr="009334A9">
        <w:rPr>
          <w:rStyle w:val="underline"/>
          <w:highlight w:val="green"/>
        </w:rPr>
        <w:t xml:space="preserve">symbolic force </w:t>
      </w:r>
      <w:r w:rsidRPr="009334A9">
        <w:t xml:space="preserve">to those power relations" (p. 5). </w:t>
      </w:r>
      <w:r w:rsidRPr="009334A9">
        <w:rPr>
          <w:rStyle w:val="underline"/>
          <w:highlight w:val="green"/>
        </w:rPr>
        <w:t xml:space="preserve">This </w:t>
      </w:r>
      <w:r w:rsidRPr="009334A9">
        <w:rPr>
          <w:rStyle w:val="underline"/>
        </w:rPr>
        <w:t xml:space="preserve">conceptualization </w:t>
      </w:r>
      <w:r w:rsidRPr="009334A9">
        <w:rPr>
          <w:rStyle w:val="underline"/>
          <w:highlight w:val="green"/>
        </w:rPr>
        <w:t>provides</w:t>
      </w:r>
      <w:r w:rsidRPr="009334A9">
        <w:rPr>
          <w:rStyle w:val="underline"/>
        </w:rPr>
        <w:t xml:space="preserve"> </w:t>
      </w:r>
      <w:r w:rsidRPr="009334A9">
        <w:t xml:space="preserve">both an </w:t>
      </w:r>
      <w:r w:rsidRPr="009334A9">
        <w:rPr>
          <w:rStyle w:val="underline"/>
          <w:highlight w:val="green"/>
        </w:rPr>
        <w:t xml:space="preserve">explicit reason for the rejection of whiteness as an ontological frame </w:t>
      </w:r>
      <w:r w:rsidRPr="009334A9">
        <w:rPr>
          <w:rStyle w:val="underline"/>
        </w:rPr>
        <w:t xml:space="preserve">of analysis </w:t>
      </w:r>
      <w:r w:rsidRPr="009334A9">
        <w:rPr>
          <w:rStyle w:val="underline"/>
          <w:highlight w:val="green"/>
        </w:rPr>
        <w:t xml:space="preserve">for the experiences of blacks </w:t>
      </w:r>
      <w:r w:rsidRPr="009334A9">
        <w:rPr>
          <w:rStyle w:val="underline"/>
        </w:rPr>
        <w:t xml:space="preserve">and a suggestion as to the circumstances under which the analysis of black experiences should take place. </w:t>
      </w:r>
      <w:r w:rsidRPr="009334A9">
        <w:t xml:space="preserve">Using the concept of symbolic violence to evaluate Merton's notions of cultural goals and institutional means, one finds that </w:t>
      </w:r>
      <w:r w:rsidRPr="009334A9">
        <w:rPr>
          <w:rStyle w:val="underline"/>
        </w:rPr>
        <w:t>the two latter concepts reflect the workings</w:t>
      </w:r>
      <w:r w:rsidRPr="009334A9">
        <w:t xml:space="preserve"> and concentration </w:t>
      </w:r>
      <w:r w:rsidRPr="009334A9">
        <w:rPr>
          <w:rStyle w:val="underline"/>
        </w:rPr>
        <w:t>of power rather than</w:t>
      </w:r>
      <w:r w:rsidRPr="009334A9">
        <w:t xml:space="preserve"> those "purposes and interests, held out as legitimate </w:t>
      </w:r>
      <w:r w:rsidRPr="009334A9">
        <w:rPr>
          <w:rStyle w:val="underline"/>
        </w:rPr>
        <w:t>objectives for all or for diversely located members of society</w:t>
      </w:r>
      <w:r w:rsidRPr="009334A9">
        <w:t xml:space="preserve">" (1949, p. 186) </w:t>
      </w:r>
      <w:r w:rsidRPr="009334A9">
        <w:rPr>
          <w:rStyle w:val="underline"/>
        </w:rPr>
        <w:t>and "[the]</w:t>
      </w:r>
      <w:r w:rsidRPr="009334A9">
        <w:t xml:space="preserve"> </w:t>
      </w:r>
      <w:r w:rsidRPr="009334A9">
        <w:rPr>
          <w:rStyle w:val="underline"/>
          <w:highlight w:val="green"/>
        </w:rPr>
        <w:t>regulations, rooted in</w:t>
      </w:r>
      <w:r w:rsidRPr="009334A9">
        <w:rPr>
          <w:b/>
          <w:highlight w:val="green"/>
        </w:rPr>
        <w:t xml:space="preserve"> </w:t>
      </w:r>
      <w:r w:rsidRPr="009334A9">
        <w:t xml:space="preserve">the mores or </w:t>
      </w:r>
      <w:r w:rsidRPr="009334A9">
        <w:rPr>
          <w:rStyle w:val="underline"/>
          <w:highlight w:val="green"/>
        </w:rPr>
        <w:t>institutions, of allowable procedures</w:t>
      </w:r>
      <w:r w:rsidRPr="009334A9">
        <w:rPr>
          <w:b/>
          <w:highlight w:val="green"/>
        </w:rPr>
        <w:t xml:space="preserve"> </w:t>
      </w:r>
      <w:r w:rsidRPr="009334A9">
        <w:t xml:space="preserve">for moving toward these objectives" (1949, p. 167). </w:t>
      </w:r>
      <w:r w:rsidRPr="009334A9">
        <w:rPr>
          <w:rStyle w:val="underline"/>
        </w:rPr>
        <w:t xml:space="preserve">This </w:t>
      </w:r>
      <w:r w:rsidRPr="009334A9">
        <w:rPr>
          <w:rStyle w:val="underline"/>
          <w:highlight w:val="green"/>
        </w:rPr>
        <w:t xml:space="preserve">indicates </w:t>
      </w:r>
      <w:r w:rsidRPr="009334A9">
        <w:rPr>
          <w:rStyle w:val="underline"/>
        </w:rPr>
        <w:t xml:space="preserve">that </w:t>
      </w:r>
      <w:r w:rsidRPr="009334A9">
        <w:rPr>
          <w:rStyle w:val="underline"/>
          <w:highlight w:val="green"/>
        </w:rPr>
        <w:t xml:space="preserve">an explication of the </w:t>
      </w:r>
      <w:r w:rsidRPr="009334A9">
        <w:rPr>
          <w:rStyle w:val="underline"/>
        </w:rPr>
        <w:t xml:space="preserve">dynamics and </w:t>
      </w:r>
      <w:r w:rsidRPr="009334A9">
        <w:rPr>
          <w:rStyle w:val="underline"/>
          <w:highlight w:val="green"/>
        </w:rPr>
        <w:t xml:space="preserve">residence of power should precede any investigation of </w:t>
      </w:r>
      <w:r w:rsidRPr="009334A9">
        <w:rPr>
          <w:rStyle w:val="underline"/>
        </w:rPr>
        <w:t xml:space="preserve">the </w:t>
      </w:r>
      <w:r w:rsidRPr="009334A9">
        <w:rPr>
          <w:rStyle w:val="underline"/>
          <w:highlight w:val="green"/>
        </w:rPr>
        <w:t>experiences</w:t>
      </w:r>
      <w:r w:rsidRPr="009334A9">
        <w:rPr>
          <w:rStyle w:val="underline"/>
        </w:rPr>
        <w:t xml:space="preserve"> and meaning making specific to a group.</w:t>
      </w:r>
      <w:r w:rsidRPr="009334A9">
        <w:t xml:space="preserve"> The </w:t>
      </w:r>
      <w:r w:rsidRPr="009334A9">
        <w:rPr>
          <w:rStyle w:val="underline"/>
          <w:highlight w:val="green"/>
        </w:rPr>
        <w:t xml:space="preserve">failure </w:t>
      </w:r>
      <w:r w:rsidRPr="009334A9">
        <w:rPr>
          <w:rStyle w:val="underline"/>
        </w:rPr>
        <w:t xml:space="preserve">to do so </w:t>
      </w:r>
      <w:r w:rsidRPr="009334A9">
        <w:rPr>
          <w:rStyle w:val="underline"/>
          <w:highlight w:val="green"/>
        </w:rPr>
        <w:t xml:space="preserve">will produce a situation where arbitrary values </w:t>
      </w:r>
      <w:r w:rsidRPr="009334A9">
        <w:rPr>
          <w:rStyle w:val="underline"/>
        </w:rPr>
        <w:t xml:space="preserve">and prescriptions </w:t>
      </w:r>
      <w:r w:rsidRPr="009334A9">
        <w:rPr>
          <w:rStyle w:val="underline"/>
          <w:highlight w:val="green"/>
        </w:rPr>
        <w:t>for action are utilized and depicted as legitimate.</w:t>
      </w:r>
      <w:r w:rsidRPr="009334A9">
        <w:rPr>
          <w:rStyle w:val="underline"/>
        </w:rPr>
        <w:t xml:space="preserve"> </w:t>
      </w:r>
      <w:r w:rsidRPr="009334A9">
        <w:t xml:space="preserve">CONCLUSION The works of Johnson (1934), Lewis (1963), and Fordham and </w:t>
      </w:r>
      <w:proofErr w:type="spellStart"/>
      <w:r w:rsidRPr="009334A9">
        <w:t>Ogbu</w:t>
      </w:r>
      <w:proofErr w:type="spellEnd"/>
      <w:r w:rsidRPr="009334A9">
        <w:t xml:space="preserve"> (1986) have all had a huge influence on the study of black experiences. However, their </w:t>
      </w:r>
      <w:r w:rsidRPr="009334A9">
        <w:rPr>
          <w:rStyle w:val="underline"/>
        </w:rPr>
        <w:t xml:space="preserve">use of </w:t>
      </w:r>
      <w:r w:rsidRPr="009334A9">
        <w:rPr>
          <w:rStyle w:val="underline"/>
          <w:highlight w:val="green"/>
        </w:rPr>
        <w:t xml:space="preserve">whiteness as an ontological frame </w:t>
      </w:r>
      <w:r w:rsidRPr="009334A9">
        <w:rPr>
          <w:rStyle w:val="underline"/>
        </w:rPr>
        <w:t xml:space="preserve">of analysis </w:t>
      </w:r>
      <w:r w:rsidRPr="009334A9">
        <w:rPr>
          <w:rStyle w:val="underline"/>
          <w:highlight w:val="green"/>
        </w:rPr>
        <w:t>severely hinders the study of black experiences</w:t>
      </w:r>
      <w:r w:rsidRPr="009334A9">
        <w:rPr>
          <w:rStyle w:val="underline"/>
        </w:rPr>
        <w:t>,</w:t>
      </w:r>
      <w:r>
        <w:rPr>
          <w:rStyle w:val="underline"/>
          <w:lang w:val="en-US"/>
        </w:rPr>
        <w:t xml:space="preserve"> </w:t>
      </w:r>
      <w:r w:rsidRPr="009334A9">
        <w:rPr>
          <w:rStyle w:val="underline"/>
        </w:rPr>
        <w:t xml:space="preserve"> just as whiteness as an ontology can have detrimental effects in the study of the experiences of </w:t>
      </w:r>
      <w:r w:rsidRPr="009334A9">
        <w:rPr>
          <w:rStyle w:val="underline"/>
          <w:highlight w:val="green"/>
        </w:rPr>
        <w:t>Latinos, Asians, and other ethnic groups</w:t>
      </w:r>
      <w:r w:rsidRPr="009334A9">
        <w:rPr>
          <w:rStyle w:val="underline"/>
        </w:rPr>
        <w:t>.</w:t>
      </w:r>
      <w:r w:rsidRPr="009334A9">
        <w:t xml:space="preserve"> The movements to establish Black Studies, Latino Studies, and Asian Studies programs reflect an attempt to deal with this bias; however, when one looks at the majority of the sociological scholarship, one finds that this ontology is still employed. </w:t>
      </w:r>
      <w:r w:rsidRPr="009334A9">
        <w:rPr>
          <w:rStyle w:val="underline"/>
          <w:highlight w:val="green"/>
        </w:rPr>
        <w:t xml:space="preserve">This </w:t>
      </w:r>
      <w:r w:rsidRPr="009334A9">
        <w:rPr>
          <w:rStyle w:val="underline"/>
        </w:rPr>
        <w:t xml:space="preserve">problem, if left unchecked, </w:t>
      </w:r>
      <w:r w:rsidRPr="009334A9">
        <w:rPr>
          <w:rStyle w:val="underline"/>
          <w:highlight w:val="green"/>
        </w:rPr>
        <w:t xml:space="preserve">will continue to plague the black community. </w:t>
      </w:r>
    </w:p>
    <w:p w:rsidR="00BC73BF" w:rsidRDefault="00BC73BF" w:rsidP="00BC73BF"/>
    <w:p w:rsidR="00BC73BF" w:rsidRPr="00127C97" w:rsidRDefault="00BC73BF" w:rsidP="00BC73BF">
      <w:pPr>
        <w:pStyle w:val="Heading4"/>
      </w:pPr>
      <w:r>
        <w:t xml:space="preserve">No Link Indef. </w:t>
      </w:r>
      <w:proofErr w:type="spellStart"/>
      <w:r>
        <w:t>Det</w:t>
      </w:r>
      <w:proofErr w:type="spellEnd"/>
      <w:r>
        <w:t xml:space="preserve"> is a good starting point </w:t>
      </w:r>
    </w:p>
    <w:p w:rsidR="00BC73BF" w:rsidRDefault="00BC73BF" w:rsidP="00BC73BF">
      <w:proofErr w:type="spellStart"/>
      <w:r w:rsidRPr="00047C4D">
        <w:rPr>
          <w:rStyle w:val="StyleStyleBold12pt"/>
        </w:rPr>
        <w:t>Toensing</w:t>
      </w:r>
      <w:proofErr w:type="spellEnd"/>
      <w:r w:rsidRPr="00047C4D">
        <w:rPr>
          <w:rStyle w:val="StyleStyleBold12pt"/>
        </w:rPr>
        <w:t xml:space="preserve"> 12</w:t>
      </w:r>
      <w:r w:rsidRPr="00047C4D">
        <w:t xml:space="preserve">- staff writer for Indian Country news network won five awards at the Native American Journalists Association Conference (“Protests Against Indefinite-Detention Law Roll in From Across Nation”, March 26 2012, Gale </w:t>
      </w:r>
      <w:proofErr w:type="spellStart"/>
      <w:r w:rsidRPr="00047C4D">
        <w:t>Courey</w:t>
      </w:r>
      <w:proofErr w:type="spellEnd"/>
      <w:r w:rsidRPr="00047C4D">
        <w:t xml:space="preserve"> </w:t>
      </w:r>
      <w:proofErr w:type="spellStart"/>
      <w:r w:rsidRPr="00047C4D">
        <w:t>Toensing</w:t>
      </w:r>
      <w:proofErr w:type="spellEnd"/>
      <w:r w:rsidRPr="00047C4D">
        <w:t>, http://indiancountrytodaymedianetwork.com/article/protests-against-indefinite-detention-law-roll-in-from-across-nation-104676)</w:t>
      </w:r>
    </w:p>
    <w:p w:rsidR="00BC73BF" w:rsidRDefault="00BC73BF" w:rsidP="00BC73BF">
      <w:r w:rsidRPr="001110D0">
        <w:rPr>
          <w:rStyle w:val="Emphasis"/>
          <w:highlight w:val="green"/>
        </w:rPr>
        <w:t>The</w:t>
      </w:r>
      <w:r>
        <w:t xml:space="preserve"> $662 billion </w:t>
      </w:r>
      <w:r w:rsidRPr="001110D0">
        <w:rPr>
          <w:rStyle w:val="StyleBoldUnderline"/>
          <w:highlight w:val="green"/>
        </w:rPr>
        <w:t>NDAA</w:t>
      </w:r>
      <w:r>
        <w:t xml:space="preserve"> was signed into law by President Obama on New Year’s Eve. The bill </w:t>
      </w:r>
      <w:r w:rsidRPr="001110D0">
        <w:rPr>
          <w:rStyle w:val="StyleBoldUnderline"/>
          <w:highlight w:val="green"/>
        </w:rPr>
        <w:t>gives the president unprecedented power</w:t>
      </w:r>
      <w:r w:rsidRPr="001110D0">
        <w:rPr>
          <w:rStyle w:val="StyleBoldUnderline"/>
        </w:rPr>
        <w:t xml:space="preserve"> </w:t>
      </w:r>
      <w:r w:rsidRPr="001110D0">
        <w:rPr>
          <w:rStyle w:val="StyleBoldUnderline"/>
          <w:highlight w:val="green"/>
        </w:rPr>
        <w:t>to</w:t>
      </w:r>
      <w:r>
        <w:t xml:space="preserve"> have the military </w:t>
      </w:r>
      <w:r w:rsidRPr="001110D0">
        <w:rPr>
          <w:rStyle w:val="StyleBoldUnderline"/>
          <w:highlight w:val="green"/>
        </w:rPr>
        <w:t>seize suspected terrorists</w:t>
      </w:r>
      <w:r>
        <w:t xml:space="preserve"> anywhere in the world, </w:t>
      </w:r>
      <w:r w:rsidRPr="001110D0">
        <w:rPr>
          <w:rStyle w:val="StyleBoldUnderline"/>
          <w:highlight w:val="green"/>
        </w:rPr>
        <w:t>including American citizens</w:t>
      </w:r>
      <w:r>
        <w:t xml:space="preserve"> on U.S. soil, and </w:t>
      </w:r>
      <w:r w:rsidRPr="001110D0">
        <w:rPr>
          <w:rStyle w:val="StyleBoldUnderline"/>
          <w:highlight w:val="green"/>
        </w:rPr>
        <w:t>keep them locked up</w:t>
      </w:r>
      <w:r>
        <w:t xml:space="preserve"> in detention indefinitely </w:t>
      </w:r>
      <w:r w:rsidRPr="001110D0">
        <w:rPr>
          <w:rStyle w:val="StyleBoldUnderline"/>
          <w:highlight w:val="green"/>
        </w:rPr>
        <w:t>without</w:t>
      </w:r>
      <w:r w:rsidRPr="001110D0">
        <w:rPr>
          <w:rStyle w:val="StyleBoldUnderline"/>
        </w:rPr>
        <w:t xml:space="preserve"> </w:t>
      </w:r>
      <w:r>
        <w:t xml:space="preserve">charge or </w:t>
      </w:r>
      <w:r w:rsidRPr="001110D0">
        <w:rPr>
          <w:rStyle w:val="StyleBoldUnderline"/>
          <w:highlight w:val="green"/>
        </w:rPr>
        <w:t>trial</w:t>
      </w:r>
      <w:r>
        <w:t xml:space="preserve">. When the House version of the bill passed last spring </w:t>
      </w:r>
      <w:r w:rsidRPr="00127C97">
        <w:rPr>
          <w:rStyle w:val="StyleBoldUnderline"/>
          <w:highlight w:val="green"/>
        </w:rPr>
        <w:t>Indigenous Peoples worried that it could be used against them for asserting</w:t>
      </w:r>
      <w:r>
        <w:t xml:space="preserve"> their rights to </w:t>
      </w:r>
      <w:r w:rsidRPr="00127C97">
        <w:rPr>
          <w:rStyle w:val="StyleBoldUnderline"/>
          <w:highlight w:val="green"/>
        </w:rPr>
        <w:t>self-determination</w:t>
      </w:r>
      <w:r>
        <w:t xml:space="preserve"> and sovereignty, or for protecting their lands and resources against exploitation by governments or corporations. Other opponents argue that the bill violates the U.S. Constitution, and </w:t>
      </w:r>
      <w:r w:rsidRPr="00127C97">
        <w:rPr>
          <w:rStyle w:val="StyleBoldUnderline"/>
          <w:highlight w:val="green"/>
        </w:rPr>
        <w:t>protests against it have spread across the country</w:t>
      </w:r>
      <w:r>
        <w:t xml:space="preserve"> as states, civil liberty and justice organizations join a rapidly growing nationwide movement. Voices of protest have come from all parts of the political spectrum, including both the Occupy movement and Tea Partiers. In early February, people from the two groups demonstrated together in Massachusetts. “The Occupiers and Tea Partiers rightly fear the NDAA marks yet another erosion of our civil liberties,” the National Catholic Reporter said. </w:t>
      </w:r>
      <w:r w:rsidRPr="00127C97">
        <w:rPr>
          <w:rStyle w:val="StyleBoldUnderline"/>
          <w:highlight w:val="green"/>
        </w:rPr>
        <w:t>Several states have drafted legislation to revoke the indefinite detention</w:t>
      </w:r>
      <w:r>
        <w:t xml:space="preserve"> provisions of the NDAA, including Washington, Arizona, Oklahoma, Tennessee and Maryland. On February 14 the Virginia House of Delegates passed H.B. 1160 by a vote of 96 to 4. The bill presents a 10th Amendment argument: “The powers not delegated to the United States by the Constitution, nor prohibited by it to the States, are reserved to the States respectively, or to the people.” That prohibits agents of the state government from “assisting an agency of the armed forces of the United States in the conduct of the investigation, prosecution or detention of a citizen in violation of the United States Constitution, the Constitution of Virginia, or any Virginia law or regulation.” The Connecticut meeting included </w:t>
      </w:r>
      <w:r w:rsidRPr="00127C97">
        <w:rPr>
          <w:rStyle w:val="StyleBoldUnderline"/>
          <w:highlight w:val="green"/>
        </w:rPr>
        <w:t>a diverse group of Natives, Muslims, Jews, Christians, Caucasians, African Americans, Hispanics and Asian-Americans</w:t>
      </w:r>
      <w:r>
        <w:t xml:space="preserve"> and representatives of various political, civil rights and peace groups. Stephen Downs, an attorney and co-founder of Project SALAM (Support and Legal Advocacy for Muslims), the executive director of the National Coalition to Protect Civil Freedoms, and author of Victims of America’s Dirty Wars, provided a historic background for this detention law, from World War II through the Cold War leading up to the current war on terror. He also talked about the use of what has come to be known as </w:t>
      </w:r>
      <w:proofErr w:type="spellStart"/>
      <w:r>
        <w:t>lawfare</w:t>
      </w:r>
      <w:proofErr w:type="spellEnd"/>
      <w:r>
        <w:t xml:space="preserve">—the use of the law as a weapon of war. “Law and war are in a sense opposites. Law tries to set down rules in which everybody is treated equally and fairly and war picks out a certain group of people to target as an enemy,” Downs said. “When we go to war, one of the resources is the law itself. This should not happen. We should be able to say we’re going to continue to treat everyone equally.” Under former president George W. Bush, the federal government acted illegally in wiretapping people without authority, Downs said, adding that Obama, being a constitutional lawyer, decided to continue the same actions but make them legal with this legislation. “He doesn’t feel comfortable holding people against the law so he’s making it legal and in doing that he’s building an institution that is very, very detrimental to our own society. It suggests that anyone under a mere suspicion of having an ideology that would support Al Qaeda or ‘associated forces’—whoever they are—can be held indefinitely without charge. This is so contrary to </w:t>
      </w:r>
      <w:proofErr w:type="gramStart"/>
      <w:r>
        <w:t>who</w:t>
      </w:r>
      <w:proofErr w:type="gramEnd"/>
      <w:r>
        <w:t xml:space="preserve"> we are as Americans that it’s almost unthinkable.” </w:t>
      </w:r>
      <w:r w:rsidRPr="00127C97">
        <w:rPr>
          <w:rStyle w:val="StyleBoldUnderline"/>
          <w:highlight w:val="green"/>
        </w:rPr>
        <w:t>Muslims in particular have been targeted by the government since the 9/11 tragedy</w:t>
      </w:r>
      <w:r>
        <w:t xml:space="preserve">. Several speakers talked about the recent Associated Press news report that the New York City Police Department has monitored the activities of Muslim students and professors in at least 16 colleges in the Northeast. Linda </w:t>
      </w:r>
      <w:proofErr w:type="spellStart"/>
      <w:r>
        <w:t>Sarsour</w:t>
      </w:r>
      <w:proofErr w:type="spellEnd"/>
      <w:r>
        <w:t xml:space="preserve">, the executive director of the Arab American Association of New York, talked about the impact on the communities of the 15,000 federal and state law-enforcement informants who are “swarming our mosques­—and they are there because it says so in the documents; they’re called ‘mosque crawlers’.… </w:t>
      </w:r>
      <w:r>
        <w:lastRenderedPageBreak/>
        <w:t xml:space="preserve">This is killing all </w:t>
      </w:r>
      <w:proofErr w:type="gramStart"/>
      <w:r>
        <w:t>security.…</w:t>
      </w:r>
      <w:proofErr w:type="gramEnd"/>
      <w:r>
        <w:t xml:space="preserve"> it creates mistrust between the community and law enforcement, but it also creates mistrust among our own community.… You’re sitting in a mosque and you don’t know if the people sitting next to you are informers. You can’t trust anyone.” Speakers also reminded the audience that “</w:t>
      </w:r>
      <w:r w:rsidRPr="00127C97">
        <w:rPr>
          <w:rStyle w:val="StyleBoldUnderline"/>
          <w:highlight w:val="green"/>
        </w:rPr>
        <w:t>injustice to one is injustice to all</w:t>
      </w:r>
      <w:r>
        <w:t xml:space="preserve">,” and if Muslims are being targeted today, </w:t>
      </w:r>
      <w:r w:rsidRPr="00127C97">
        <w:rPr>
          <w:rStyle w:val="StyleBoldUnderline"/>
          <w:highlight w:val="green"/>
        </w:rPr>
        <w:t>other groups can be targeted tomorrow</w:t>
      </w:r>
      <w:r>
        <w:t xml:space="preserve">. “Even though a lot of the information we receive is specific to the Muslim community, this is not a Muslim issue; this is an American issue and it’s a human issue,” said Cyrus </w:t>
      </w:r>
      <w:proofErr w:type="spellStart"/>
      <w:r>
        <w:t>McGoldrick</w:t>
      </w:r>
      <w:proofErr w:type="spellEnd"/>
      <w:r>
        <w:t xml:space="preserve">, a spokesman for the New York Chapter of the Council on American-Islamic Relations. He said there is a “well-funded cottage industry” that manufactures and spreads bigotry against Muslims. “War depends on </w:t>
      </w:r>
      <w:proofErr w:type="spellStart"/>
      <w:r>
        <w:t>Islamophobia</w:t>
      </w:r>
      <w:proofErr w:type="spellEnd"/>
      <w:r>
        <w:t xml:space="preserve">. Zionism depends on </w:t>
      </w:r>
      <w:proofErr w:type="spellStart"/>
      <w:r>
        <w:t>Islamophobia</w:t>
      </w:r>
      <w:proofErr w:type="spellEnd"/>
      <w:r>
        <w:t>. We need to see [that] these issues…all connect.” They are not new issues, he said. “</w:t>
      </w:r>
      <w:r w:rsidRPr="00127C97">
        <w:rPr>
          <w:rStyle w:val="StyleBoldUnderline"/>
          <w:highlight w:val="green"/>
        </w:rPr>
        <w:t>This goes back to</w:t>
      </w:r>
      <w:r>
        <w:t xml:space="preserve"> the </w:t>
      </w:r>
      <w:r w:rsidRPr="00127C97">
        <w:rPr>
          <w:rStyle w:val="StyleBoldUnderline"/>
          <w:highlight w:val="green"/>
        </w:rPr>
        <w:t>original colonization</w:t>
      </w:r>
      <w:r>
        <w:t xml:space="preserve"> of this country and moving Native Americans into concentration camps that we call reservations. So </w:t>
      </w:r>
      <w:r w:rsidRPr="00127C97">
        <w:rPr>
          <w:rStyle w:val="StyleBoldUnderline"/>
          <w:highlight w:val="green"/>
        </w:rPr>
        <w:t>it’s really important that we continue the solidarity and turn this into political leverage.”</w:t>
      </w:r>
    </w:p>
    <w:p w:rsidR="00BC73BF" w:rsidRDefault="00BC73BF" w:rsidP="00BC73BF"/>
    <w:p w:rsidR="00BC73BF" w:rsidRDefault="00BC73BF" w:rsidP="00BC73BF">
      <w:pPr>
        <w:pStyle w:val="Heading3"/>
      </w:pPr>
      <w:proofErr w:type="spellStart"/>
      <w:r>
        <w:lastRenderedPageBreak/>
        <w:t>Anthro</w:t>
      </w:r>
      <w:proofErr w:type="spellEnd"/>
    </w:p>
    <w:p w:rsidR="00BC73BF" w:rsidRDefault="00BC73BF" w:rsidP="00BC73BF">
      <w:pPr>
        <w:pStyle w:val="Heading4"/>
      </w:pPr>
    </w:p>
    <w:p w:rsidR="00BC73BF" w:rsidRDefault="00BC73BF" w:rsidP="00BC73BF">
      <w:pPr>
        <w:rPr>
          <w:rStyle w:val="StyleStyleBold12pt"/>
        </w:rPr>
      </w:pPr>
      <w:r>
        <w:rPr>
          <w:rStyle w:val="StyleStyleBold12pt"/>
        </w:rPr>
        <w:t>The alternative should be evaluated based on their ability to engage 1AC institutions- society shapes individual beliefs and create behavioral patterns for macro-level trends- their pedagogy is irrelevant absent a method of engagement</w:t>
      </w:r>
    </w:p>
    <w:p w:rsidR="00BC73BF" w:rsidRPr="00B637B3" w:rsidRDefault="00BC73BF" w:rsidP="00BC73BF">
      <w:pPr>
        <w:rPr>
          <w:rStyle w:val="StyleStyleBold12pt"/>
        </w:rPr>
      </w:pPr>
      <w:r w:rsidRPr="00B637B3">
        <w:rPr>
          <w:rStyle w:val="StyleStyleBold12pt"/>
        </w:rPr>
        <w:t>Wight – Professor of IR @ University of Sydney – 6</w:t>
      </w:r>
    </w:p>
    <w:p w:rsidR="00BC73BF" w:rsidRDefault="00BC73BF" w:rsidP="00BC73BF">
      <w:r w:rsidRPr="00B637B3">
        <w:t xml:space="preserve">(Colin, </w:t>
      </w:r>
      <w:r w:rsidRPr="00B637B3">
        <w:rPr>
          <w:u w:val="single"/>
        </w:rPr>
        <w:t>Agents, Structures and International Relations: Politics as Ontology</w:t>
      </w:r>
      <w:r>
        <w:t xml:space="preserve">, pgs. 48-50 </w:t>
      </w:r>
    </w:p>
    <w:p w:rsidR="00BC73BF" w:rsidRDefault="00BC73BF" w:rsidP="00BC73BF"/>
    <w:p w:rsidR="00BC73BF" w:rsidRPr="00234FDE" w:rsidRDefault="00BC73BF" w:rsidP="00BC73BF">
      <w:pPr>
        <w:rPr>
          <w:rStyle w:val="StyleStyleBold12pt"/>
          <w:b w:val="0"/>
          <w:bCs w:val="0"/>
          <w:sz w:val="16"/>
        </w:rPr>
      </w:pPr>
      <w:r w:rsidRPr="00234FDE">
        <w:rPr>
          <w:sz w:val="16"/>
        </w:rPr>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rPr>
          <w:sz w:val="16"/>
        </w:rPr>
        <w:t xml:space="preserve">. </w:t>
      </w:r>
      <w:r w:rsidRPr="00B637B3">
        <w:rPr>
          <w:rStyle w:val="StyleBoldUnderline"/>
        </w:rPr>
        <w:t>According to this</w:t>
      </w:r>
      <w:r w:rsidRPr="00234FDE">
        <w:rPr>
          <w:sz w:val="16"/>
        </w:rPr>
        <w:t xml:space="preserve"> relational </w:t>
      </w:r>
      <w:r w:rsidRPr="00B637B3">
        <w:rPr>
          <w:rStyle w:val="StyleBoldUnderline"/>
        </w:rPr>
        <w:t>model</w:t>
      </w:r>
      <w:r w:rsidRPr="00234FDE">
        <w:rPr>
          <w:sz w:val="16"/>
        </w:rPr>
        <w:t xml:space="preserve"> of societies, </w:t>
      </w:r>
      <w:r w:rsidRPr="00B637B3">
        <w:rPr>
          <w:rStyle w:val="StyleBoldUnderline"/>
        </w:rPr>
        <w:t>one is what one is, by virtue of the relations within which one is embedded</w:t>
      </w:r>
      <w:r w:rsidRPr="00234FDE">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rPr>
          <w:sz w:val="16"/>
        </w:rPr>
        <w:t xml:space="preserve">. </w:t>
      </w:r>
      <w:r w:rsidRPr="00234FDE">
        <w:rPr>
          <w:rStyle w:val="StyleBoldUnderline"/>
          <w:highlight w:val="green"/>
        </w:rPr>
        <w:t>This ‘lattice-work’</w:t>
      </w:r>
      <w:r w:rsidRPr="00234FDE">
        <w:rPr>
          <w:sz w:val="16"/>
        </w:rPr>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rPr>
          <w:sz w:val="16"/>
        </w:rPr>
        <w:t xml:space="preserve">. Thus, the </w:t>
      </w:r>
      <w:r w:rsidRPr="00B637B3">
        <w:rPr>
          <w:rStyle w:val="StyleBoldUnderline"/>
        </w:rPr>
        <w:t>relations</w:t>
      </w:r>
      <w:r w:rsidRPr="00234FDE">
        <w:rPr>
          <w:sz w:val="16"/>
        </w:rPr>
        <w:t xml:space="preserve">, the structures, </w:t>
      </w:r>
      <w:r w:rsidRPr="00B637B3">
        <w:rPr>
          <w:rStyle w:val="StyleBoldUnderline"/>
        </w:rPr>
        <w:t>are ontologically distinct from the individuals who enter into them</w:t>
      </w:r>
      <w:r w:rsidRPr="00234FDE">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rPr>
          <w:sz w:val="16"/>
        </w:rPr>
        <w:t xml:space="preserve">’. Any attempt to explain one in terms of the other should be rejected. </w:t>
      </w:r>
      <w:r w:rsidRPr="00B637B3">
        <w:rPr>
          <w:rStyle w:val="StyleBoldUnderline"/>
        </w:rPr>
        <w:t>If there is an ontological difference between society and people</w:t>
      </w:r>
      <w:r w:rsidRPr="00234FDE">
        <w:rPr>
          <w:sz w:val="16"/>
        </w:rPr>
        <w:t xml:space="preserve">, however, we need to elaborate on the relationship between them. </w:t>
      </w:r>
      <w:proofErr w:type="spellStart"/>
      <w:r w:rsidRPr="00234FDE">
        <w:rPr>
          <w:sz w:val="16"/>
        </w:rPr>
        <w:t>Bhaskar</w:t>
      </w:r>
      <w:proofErr w:type="spellEnd"/>
      <w:r w:rsidRPr="00234FDE">
        <w:rPr>
          <w:sz w:val="16"/>
        </w:rPr>
        <w:t xml:space="preserve"> argues that </w:t>
      </w:r>
      <w:r w:rsidRPr="00B637B3">
        <w:rPr>
          <w:rStyle w:val="StyleBoldUnderline"/>
        </w:rPr>
        <w:t>we need</w:t>
      </w:r>
      <w:r w:rsidRPr="00234FDE">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rPr>
          <w:sz w:val="16"/>
        </w:rPr>
        <w:t xml:space="preserve">. </w:t>
      </w:r>
      <w:r w:rsidRPr="004E3161">
        <w:rPr>
          <w:rStyle w:val="StyleBoldUnderline"/>
        </w:rPr>
        <w:t>This is known as a ‘positioned practice’</w:t>
      </w:r>
      <w:r w:rsidRPr="00B637B3">
        <w:rPr>
          <w:rStyle w:val="StyleBoldUnderline"/>
        </w:rPr>
        <w:t xml:space="preserve"> system</w:t>
      </w:r>
      <w:r w:rsidRPr="00234FDE">
        <w:rPr>
          <w:sz w:val="16"/>
        </w:rPr>
        <w:t xml:space="preserve">. In many respects, the idea of ‘positioned practice’ is very similar to Pierre Bourdieu’s notion of </w:t>
      </w:r>
      <w:r w:rsidRPr="00234FDE">
        <w:rPr>
          <w:i/>
          <w:sz w:val="16"/>
        </w:rPr>
        <w:t>habitus</w:t>
      </w:r>
      <w:r w:rsidRPr="00234FDE">
        <w:rPr>
          <w:sz w:val="16"/>
        </w:rPr>
        <w:t xml:space="preserve">. </w:t>
      </w:r>
      <w:r w:rsidRPr="00234FDE">
        <w:rPr>
          <w:rStyle w:val="StyleBoldUnderline"/>
          <w:highlight w:val="green"/>
        </w:rPr>
        <w:t>Bourdieu</w:t>
      </w:r>
      <w:r w:rsidRPr="00234FDE">
        <w:rPr>
          <w:sz w:val="16"/>
        </w:rPr>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rPr>
          <w:sz w:val="16"/>
        </w:rPr>
        <w:t xml:space="preserve">, or as determined by </w:t>
      </w:r>
      <w:proofErr w:type="spellStart"/>
      <w:r w:rsidRPr="00234FDE">
        <w:rPr>
          <w:sz w:val="16"/>
        </w:rPr>
        <w:t>surpa</w:t>
      </w:r>
      <w:proofErr w:type="spellEnd"/>
      <w:r w:rsidRPr="00234FDE">
        <w:rPr>
          <w:sz w:val="16"/>
        </w:rPr>
        <w:t xml:space="preserve">-individual objective structures. Bourdieu’s notion of the </w:t>
      </w:r>
      <w:r w:rsidRPr="00234FDE">
        <w:rPr>
          <w:i/>
          <w:sz w:val="16"/>
        </w:rPr>
        <w:t>habitus</w:t>
      </w:r>
      <w:r w:rsidRPr="00234FDE">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rPr>
          <w:sz w:val="16"/>
        </w:rPr>
        <w:t xml:space="preserve"> the concept of </w:t>
      </w:r>
      <w:r w:rsidRPr="0051087E">
        <w:rPr>
          <w:rStyle w:val="StyleBoldUnderline"/>
        </w:rPr>
        <w:t>a ‘social field’</w:t>
      </w:r>
      <w:r w:rsidRPr="00234FDE">
        <w:rPr>
          <w:sz w:val="16"/>
        </w:rPr>
        <w:t xml:space="preserve">. According to Bourdieu, </w:t>
      </w:r>
      <w:r w:rsidRPr="0051087E">
        <w:rPr>
          <w:rStyle w:val="StyleBoldUnderline"/>
        </w:rPr>
        <w:t>a social field is ‘a network</w:t>
      </w:r>
      <w:r w:rsidRPr="00234FDE">
        <w:rPr>
          <w:sz w:val="16"/>
        </w:rPr>
        <w:t xml:space="preserve">, or a configuration, </w:t>
      </w:r>
      <w:r w:rsidRPr="0051087E">
        <w:rPr>
          <w:rStyle w:val="StyleBoldUnderline"/>
        </w:rPr>
        <w:t>of objective relations between positions objectively defined’</w:t>
      </w:r>
      <w:r w:rsidRPr="00234FDE">
        <w:rPr>
          <w:sz w:val="16"/>
        </w:rPr>
        <w:t xml:space="preserve">. </w:t>
      </w:r>
      <w:r w:rsidRPr="00234FDE">
        <w:rPr>
          <w:rStyle w:val="StyleBoldUnderline"/>
          <w:highlight w:val="green"/>
        </w:rPr>
        <w:t>A social field</w:t>
      </w:r>
      <w:r w:rsidRPr="00234FDE">
        <w:rPr>
          <w:sz w:val="16"/>
        </w:rPr>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rPr>
          <w:sz w:val="16"/>
        </w:rPr>
        <w:t xml:space="preserve">. This is a social field whose form is constituted in terms of the relations which define it as a field of a certain type. A </w:t>
      </w:r>
      <w:r w:rsidRPr="00234FDE">
        <w:rPr>
          <w:i/>
          <w:sz w:val="16"/>
        </w:rPr>
        <w:t>habitus</w:t>
      </w:r>
      <w:r w:rsidRPr="00234FDE">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rPr>
          <w:sz w:val="16"/>
        </w:rPr>
        <w:t xml:space="preserve"> and habituation, </w:t>
      </w:r>
      <w:r w:rsidRPr="0051087E">
        <w:rPr>
          <w:rStyle w:val="StyleBoldUnderline"/>
        </w:rPr>
        <w:t>rather than consciously learned rules</w:t>
      </w:r>
      <w:r w:rsidRPr="00234FDE">
        <w:rPr>
          <w:sz w:val="16"/>
        </w:rPr>
        <w:t xml:space="preserve">. </w:t>
      </w:r>
      <w:r w:rsidRPr="0051087E">
        <w:rPr>
          <w:rStyle w:val="StyleBoldUnderline"/>
        </w:rPr>
        <w:t>The habitus is imprinted</w:t>
      </w:r>
      <w:r w:rsidRPr="00234FDE">
        <w:rPr>
          <w:sz w:val="16"/>
        </w:rPr>
        <w:t xml:space="preserve"> and encoded </w:t>
      </w:r>
      <w:r w:rsidRPr="0051087E">
        <w:rPr>
          <w:rStyle w:val="StyleBoldUnderline"/>
        </w:rPr>
        <w:t>in a socializing process that commences during early childhood</w:t>
      </w:r>
      <w:r w:rsidRPr="00234FDE">
        <w:rPr>
          <w:sz w:val="16"/>
        </w:rPr>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rPr>
          <w:sz w:val="16"/>
        </w:rPr>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rPr>
          <w:sz w:val="16"/>
        </w:rPr>
        <w:t xml:space="preserve">, and without the actors necessarily knowing what they are doing (in the sense of being able adequately to explain what they are doing). As such, the </w:t>
      </w:r>
      <w:r w:rsidRPr="00234FDE">
        <w:rPr>
          <w:i/>
          <w:sz w:val="16"/>
        </w:rPr>
        <w:t>habitus</w:t>
      </w:r>
      <w:r w:rsidRPr="00234FDE">
        <w:rPr>
          <w:sz w:val="16"/>
        </w:rPr>
        <w:t xml:space="preserve"> can be seen as the site of ‘internalization of reality and the externalization of internality.’ </w:t>
      </w:r>
      <w:r w:rsidRPr="0051087E">
        <w:rPr>
          <w:rStyle w:val="StyleBoldUnderline"/>
        </w:rPr>
        <w:t>Thus social practices are produced</w:t>
      </w:r>
      <w:r w:rsidRPr="00234FDE">
        <w:rPr>
          <w:sz w:val="16"/>
        </w:rPr>
        <w:t xml:space="preserve"> in, and </w:t>
      </w:r>
      <w:r w:rsidRPr="0051087E">
        <w:rPr>
          <w:rStyle w:val="StyleBoldUnderline"/>
        </w:rPr>
        <w:t>by, the encounter between</w:t>
      </w:r>
      <w:r w:rsidRPr="00234FDE">
        <w:rPr>
          <w:sz w:val="16"/>
        </w:rPr>
        <w:t xml:space="preserve">: (1) the </w:t>
      </w:r>
      <w:r w:rsidRPr="00234FDE">
        <w:rPr>
          <w:i/>
          <w:sz w:val="16"/>
        </w:rPr>
        <w:t xml:space="preserve">habitus </w:t>
      </w:r>
      <w:r w:rsidRPr="00234FDE">
        <w:rPr>
          <w:sz w:val="16"/>
        </w:rPr>
        <w:t xml:space="preserve">and its dispositions; (2) </w:t>
      </w:r>
      <w:r w:rsidRPr="0051087E">
        <w:rPr>
          <w:rStyle w:val="StyleBoldUnderline"/>
        </w:rPr>
        <w:t>the constraints and demands of the socio-cultural field to which the habitus is appropriate or within</w:t>
      </w:r>
      <w:r w:rsidRPr="00234FDE">
        <w:rPr>
          <w:sz w:val="16"/>
        </w:rPr>
        <w:t xml:space="preserve">; and (3) the dispositions of the individual agents located within both the socio-cultural field and the </w:t>
      </w:r>
      <w:r w:rsidRPr="00234FDE">
        <w:rPr>
          <w:i/>
          <w:sz w:val="16"/>
        </w:rPr>
        <w:t>habitus</w:t>
      </w:r>
      <w:r w:rsidRPr="00234FDE">
        <w:rPr>
          <w:sz w:val="16"/>
        </w:rPr>
        <w:t xml:space="preserve">. When placed within </w:t>
      </w:r>
      <w:proofErr w:type="spellStart"/>
      <w:r w:rsidRPr="00234FDE">
        <w:rPr>
          <w:sz w:val="16"/>
        </w:rPr>
        <w:t>Bhaskar’s</w:t>
      </w:r>
      <w:proofErr w:type="spellEnd"/>
      <w:r w:rsidRPr="00234FDE">
        <w:rPr>
          <w:sz w:val="16"/>
        </w:rPr>
        <w:t xml:space="preserve"> stratified complex social ontology the model we have is as depicted in Figure 1. The explanation of practices will require all three levels. </w:t>
      </w:r>
      <w:r w:rsidRPr="00234FDE">
        <w:rPr>
          <w:rStyle w:val="StyleBoldUnderline"/>
          <w:highlight w:val="green"/>
        </w:rPr>
        <w:t>Society</w:t>
      </w:r>
      <w:r w:rsidRPr="00234FDE">
        <w:rPr>
          <w:sz w:val="16"/>
        </w:rPr>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rPr>
          <w:sz w:val="16"/>
        </w:rPr>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rPr>
          <w:sz w:val="16"/>
        </w:rPr>
        <w:t xml:space="preserve"> recurrent, patterned, ordered, </w:t>
      </w:r>
      <w:proofErr w:type="spellStart"/>
      <w:r w:rsidRPr="00234FDE">
        <w:rPr>
          <w:rStyle w:val="StyleBoldUnderline"/>
          <w:highlight w:val="green"/>
        </w:rPr>
        <w:t>institutionalised</w:t>
      </w:r>
      <w:proofErr w:type="spellEnd"/>
      <w:r w:rsidRPr="0051087E">
        <w:rPr>
          <w:rStyle w:val="StyleBoldUnderline"/>
        </w:rPr>
        <w:t xml:space="preserve">, and displays a degree of stability over time, </w:t>
      </w:r>
      <w:r w:rsidRPr="00234FDE">
        <w:rPr>
          <w:rStyle w:val="StyleBoldUnderline"/>
          <w:highlight w:val="green"/>
        </w:rPr>
        <w:t>there must be sets of relations</w:t>
      </w:r>
      <w:r w:rsidRPr="00234FDE">
        <w:rPr>
          <w:sz w:val="16"/>
        </w:rPr>
        <w:t xml:space="preserve"> and rules </w:t>
      </w:r>
      <w:r w:rsidRPr="00234FDE">
        <w:rPr>
          <w:rStyle w:val="StyleBoldUnderline"/>
          <w:highlight w:val="green"/>
        </w:rPr>
        <w:t>that govern it</w:t>
      </w:r>
      <w:r w:rsidRPr="00234FDE">
        <w:rPr>
          <w:sz w:val="16"/>
        </w:rPr>
        <w:t xml:space="preserve">. </w:t>
      </w:r>
      <w:r w:rsidRPr="0051087E">
        <w:rPr>
          <w:rStyle w:val="StyleBoldUnderline"/>
        </w:rPr>
        <w:t>Contrary to individualist theory, these relations</w:t>
      </w:r>
      <w:r w:rsidRPr="00234FDE">
        <w:rPr>
          <w:sz w:val="16"/>
        </w:rPr>
        <w:t xml:space="preserve">, rules and roles </w:t>
      </w:r>
      <w:r w:rsidRPr="0051087E">
        <w:rPr>
          <w:rStyle w:val="StyleBoldUnderline"/>
        </w:rPr>
        <w:t>are not dependent upon either knowledge of them by particular individuals, or the existence of actions by particular individuals</w:t>
      </w:r>
      <w:r w:rsidRPr="00234FDE">
        <w:rPr>
          <w:sz w:val="16"/>
        </w:rPr>
        <w:t xml:space="preserve">; that is, </w:t>
      </w:r>
      <w:r w:rsidRPr="00234FDE">
        <w:rPr>
          <w:rStyle w:val="Emphasis"/>
          <w:highlight w:val="green"/>
        </w:rPr>
        <w:t>their explanation cannot be reduced to consciousness</w:t>
      </w:r>
      <w:r w:rsidRPr="00234FDE">
        <w:rPr>
          <w:sz w:val="16"/>
        </w:rPr>
        <w:t xml:space="preserve"> or to the attributes </w:t>
      </w:r>
      <w:r w:rsidRPr="00234FDE">
        <w:rPr>
          <w:rStyle w:val="Emphasis"/>
          <w:highlight w:val="green"/>
        </w:rPr>
        <w:t>of individuals</w:t>
      </w:r>
      <w:r w:rsidRPr="00234FDE">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rPr>
          <w:sz w:val="16"/>
        </w:rPr>
        <w:t xml:space="preserve">, as Foucault has put it, </w:t>
      </w:r>
      <w:r w:rsidRPr="004E3161">
        <w:rPr>
          <w:rStyle w:val="StyleBoldUnderline"/>
        </w:rPr>
        <w:t xml:space="preserve">‘a </w:t>
      </w:r>
      <w:r w:rsidRPr="004E3161">
        <w:rPr>
          <w:rStyle w:val="StyleBoldUnderline"/>
        </w:rPr>
        <w:lastRenderedPageBreak/>
        <w:t>complex</w:t>
      </w:r>
      <w:r w:rsidRPr="004E3161">
        <w:rPr>
          <w:sz w:val="16"/>
        </w:rPr>
        <w:t xml:space="preserve"> and independent </w:t>
      </w:r>
      <w:r w:rsidRPr="004E3161">
        <w:rPr>
          <w:rStyle w:val="StyleBoldUnderline"/>
        </w:rPr>
        <w:t>reality that has its own laws</w:t>
      </w:r>
      <w:r w:rsidRPr="00234FDE">
        <w:rPr>
          <w:sz w:val="16"/>
        </w:rPr>
        <w:t xml:space="preserve"> and mechanisms of reaction, </w:t>
      </w:r>
      <w:r w:rsidRPr="00AD665C">
        <w:rPr>
          <w:rStyle w:val="StyleBoldUnderline"/>
        </w:rPr>
        <w:t>its regulations as well as its possibility of disturbance</w:t>
      </w:r>
      <w:r w:rsidRPr="00234FDE">
        <w:rPr>
          <w:sz w:val="16"/>
        </w:rPr>
        <w:t>. This new reality is society…It becomes necessary to reflect upon it, upon its specific characteristics, its constants and its variables’.</w:t>
      </w:r>
    </w:p>
    <w:p w:rsidR="00BC73BF" w:rsidRDefault="00BC73BF" w:rsidP="00BC73BF"/>
    <w:p w:rsidR="00934279" w:rsidRPr="00E1249E" w:rsidRDefault="00934279" w:rsidP="00934279">
      <w:pPr>
        <w:pStyle w:val="Heading3"/>
      </w:pPr>
      <w:proofErr w:type="spellStart"/>
      <w:r>
        <w:lastRenderedPageBreak/>
        <w:t>Anthro</w:t>
      </w:r>
      <w:proofErr w:type="spellEnd"/>
    </w:p>
    <w:p w:rsidR="00BC73BF" w:rsidRPr="003D3FEB" w:rsidRDefault="00BC73BF" w:rsidP="0001264D">
      <w:pPr>
        <w:pStyle w:val="Heading4"/>
        <w:rPr>
          <w:lang w:eastAsia="zh-TW"/>
        </w:rPr>
      </w:pPr>
      <w:r w:rsidRPr="003D3FEB">
        <w:rPr>
          <w:lang w:eastAsia="zh-TW"/>
        </w:rPr>
        <w:t>Human-centered ethics necessitate protecting the environment—change is possible without adopting a bio-centric ethic</w:t>
      </w:r>
    </w:p>
    <w:p w:rsidR="00BC73BF" w:rsidRPr="003D3FEB" w:rsidRDefault="00BC73BF" w:rsidP="00BC73BF">
      <w:pPr>
        <w:rPr>
          <w:rFonts w:ascii="Georgia" w:eastAsia="PMingLiU" w:hAnsi="Georgia"/>
          <w:b/>
          <w:lang w:eastAsia="zh-TW"/>
        </w:rPr>
      </w:pPr>
      <w:r w:rsidRPr="003D3FEB">
        <w:rPr>
          <w:rFonts w:ascii="Georgia" w:eastAsia="PMingLiU" w:hAnsi="Georgia"/>
          <w:b/>
          <w:lang w:eastAsia="zh-TW"/>
        </w:rPr>
        <w:t>Hwang 03</w:t>
      </w:r>
    </w:p>
    <w:p w:rsidR="00BC73BF" w:rsidRPr="003D3FEB" w:rsidRDefault="00BC73BF" w:rsidP="00BC73BF">
      <w:pPr>
        <w:rPr>
          <w:rFonts w:eastAsia="Times New Roman"/>
          <w:sz w:val="16"/>
        </w:rPr>
      </w:pPr>
      <w:proofErr w:type="gramStart"/>
      <w:r w:rsidRPr="003D3FEB">
        <w:rPr>
          <w:rFonts w:eastAsia="Times New Roman"/>
          <w:sz w:val="16"/>
        </w:rPr>
        <w:t>[Kyung-sig Hwang, 2003.</w:t>
      </w:r>
      <w:proofErr w:type="gramEnd"/>
      <w:r w:rsidRPr="003D3FEB">
        <w:rPr>
          <w:rFonts w:eastAsia="Times New Roman"/>
          <w:sz w:val="16"/>
        </w:rPr>
        <w:t xml:space="preserve"> </w:t>
      </w:r>
      <w:proofErr w:type="gramStart"/>
      <w:r w:rsidRPr="003D3FEB">
        <w:rPr>
          <w:rFonts w:eastAsia="Times New Roman"/>
          <w:sz w:val="16"/>
        </w:rPr>
        <w:t>Professor in the Department of Philosophy at Seoul National University.</w:t>
      </w:r>
      <w:proofErr w:type="gramEnd"/>
      <w:r w:rsidRPr="003D3FEB">
        <w:rPr>
          <w:rFonts w:eastAsia="Times New Roman"/>
          <w:sz w:val="16"/>
        </w:rPr>
        <w:t xml:space="preserve"> “Apology for Environmental Anthropocentrism,” Asian Bioethics in the 21st Century, http://eubios.info/ABC4/abc4304.htm]</w:t>
      </w:r>
    </w:p>
    <w:p w:rsidR="00BC73BF" w:rsidRPr="003D3FEB" w:rsidRDefault="00BC73BF" w:rsidP="00BC73BF">
      <w:pPr>
        <w:rPr>
          <w:rFonts w:eastAsia="Times New Roman"/>
          <w:sz w:val="16"/>
          <w:szCs w:val="24"/>
        </w:rPr>
      </w:pPr>
      <w:r w:rsidRPr="003D3FEB">
        <w:rPr>
          <w:rFonts w:eastAsia="Times New Roman"/>
          <w:sz w:val="16"/>
          <w:szCs w:val="24"/>
        </w:rPr>
        <w:t xml:space="preserve">The third view, which will be defended here, is that </w:t>
      </w:r>
      <w:r w:rsidRPr="00C17573">
        <w:rPr>
          <w:rFonts w:eastAsia="Times New Roman"/>
          <w:szCs w:val="18"/>
          <w:u w:val="single"/>
        </w:rPr>
        <w:t>there is no need for a specifically ecological ethic to explain our obligations toward nature</w:t>
      </w:r>
      <w:r w:rsidRPr="00C17573">
        <w:rPr>
          <w:rFonts w:eastAsia="Times New Roman"/>
          <w:sz w:val="16"/>
          <w:szCs w:val="24"/>
        </w:rPr>
        <w:t>,</w:t>
      </w:r>
      <w:r w:rsidRPr="003D3FEB">
        <w:rPr>
          <w:rFonts w:eastAsia="Times New Roman"/>
          <w:sz w:val="16"/>
          <w:szCs w:val="24"/>
        </w:rPr>
        <w:t xml:space="preserve"> that </w:t>
      </w:r>
      <w:r w:rsidRPr="003D3FEB">
        <w:rPr>
          <w:rFonts w:eastAsia="Times New Roman"/>
          <w:szCs w:val="18"/>
          <w:highlight w:val="cyan"/>
          <w:u w:val="single"/>
        </w:rPr>
        <w:t xml:space="preserve">our moral rights and duties </w:t>
      </w:r>
      <w:r w:rsidRPr="003D3FEB">
        <w:rPr>
          <w:rFonts w:eastAsia="Times New Roman"/>
          <w:b/>
          <w:szCs w:val="18"/>
          <w:highlight w:val="cyan"/>
          <w:u w:val="single"/>
        </w:rPr>
        <w:t>can satisfactorily be explained in terms of traditional, human-centered ethical theor</w:t>
      </w:r>
      <w:r w:rsidRPr="003D3FEB">
        <w:rPr>
          <w:rFonts w:eastAsia="Times New Roman"/>
          <w:b/>
          <w:szCs w:val="18"/>
          <w:u w:val="single"/>
        </w:rPr>
        <w:t>y</w:t>
      </w:r>
      <w:r w:rsidRPr="003D3FEB">
        <w:rPr>
          <w:rFonts w:eastAsia="Times New Roman"/>
          <w:sz w:val="16"/>
          <w:szCs w:val="24"/>
        </w:rPr>
        <w:t xml:space="preserve">.[4] In terms of this view, ecology bears on ethics and morality in that it brings out the far-reaching, extremely important effects of man's actions, that </w:t>
      </w:r>
      <w:r w:rsidRPr="003D3FEB">
        <w:rPr>
          <w:rFonts w:eastAsia="Times New Roman"/>
          <w:szCs w:val="18"/>
          <w:u w:val="single"/>
        </w:rPr>
        <w:t>much that seemed simply to happen</w:t>
      </w:r>
      <w:r w:rsidRPr="003D3FEB">
        <w:rPr>
          <w:rFonts w:eastAsia="Times New Roman"/>
          <w:sz w:val="16"/>
          <w:szCs w:val="24"/>
        </w:rPr>
        <w:t>-</w:t>
      </w:r>
      <w:r w:rsidRPr="003D3FEB">
        <w:rPr>
          <w:rFonts w:eastAsia="Times New Roman"/>
          <w:szCs w:val="18"/>
          <w:u w:val="single"/>
        </w:rPr>
        <w:t>extinction of species, depletion of resources, pollution</w:t>
      </w:r>
      <w:r w:rsidRPr="003D3FEB">
        <w:rPr>
          <w:rFonts w:eastAsia="Times New Roman"/>
          <w:sz w:val="16"/>
          <w:szCs w:val="24"/>
        </w:rPr>
        <w:t xml:space="preserve">, over rapid growth of population, undesirable, harmful, dangerous, and </w:t>
      </w:r>
      <w:r w:rsidRPr="003D3FEB">
        <w:rPr>
          <w:rFonts w:eastAsia="Times New Roman"/>
          <w:szCs w:val="18"/>
          <w:u w:val="single"/>
        </w:rPr>
        <w:t>damaging uses of technology</w:t>
      </w:r>
      <w:r w:rsidRPr="003D3FEB">
        <w:rPr>
          <w:rFonts w:eastAsia="Times New Roman"/>
          <w:sz w:val="16"/>
          <w:szCs w:val="24"/>
        </w:rPr>
        <w:t xml:space="preserve"> and science - </w:t>
      </w:r>
      <w:r w:rsidRPr="003D3FEB">
        <w:rPr>
          <w:rFonts w:eastAsia="Times New Roman"/>
          <w:szCs w:val="18"/>
          <w:u w:val="single"/>
        </w:rPr>
        <w:t>is due to human actions that are controllable</w:t>
      </w:r>
      <w:r w:rsidRPr="003D3FEB">
        <w:rPr>
          <w:rFonts w:eastAsia="Times New Roman"/>
          <w:sz w:val="16"/>
          <w:szCs w:val="24"/>
        </w:rPr>
        <w:t xml:space="preserve">, preventable, by men and hence such that men can be held accountable for what occurs.  Ecology brings out that, often </w:t>
      </w:r>
      <w:r w:rsidRPr="003D3FEB">
        <w:rPr>
          <w:rFonts w:eastAsia="Times New Roman"/>
          <w:szCs w:val="18"/>
          <w:u w:val="single"/>
        </w:rPr>
        <w:t>acting</w:t>
      </w:r>
      <w:r w:rsidRPr="003D3FEB">
        <w:rPr>
          <w:rFonts w:eastAsia="Times New Roman"/>
          <w:sz w:val="16"/>
          <w:szCs w:val="24"/>
        </w:rPr>
        <w:t xml:space="preserve"> from the best motives, however, simply </w:t>
      </w:r>
      <w:r w:rsidRPr="003D3FEB">
        <w:rPr>
          <w:rFonts w:eastAsia="Times New Roman"/>
          <w:szCs w:val="18"/>
          <w:u w:val="single"/>
        </w:rPr>
        <w:t>from short-sighted self-interest without regard for others living today and for those yet to be born, brings about very damaging and often irreversible changes in the environment</w:t>
      </w:r>
      <w:r w:rsidRPr="003D3FEB">
        <w:rPr>
          <w:rFonts w:eastAsia="Times New Roman"/>
          <w:sz w:val="16"/>
          <w:szCs w:val="24"/>
        </w:rPr>
        <w:t xml:space="preserve">, changes such as the extinction of plant and animal species, destruction of wilderness and valuable natural phenomena such as forests, lakes, rivers, seas. Many reproduce at a rate with which their environment cannot cope, so that damage is done, to and at the same </w:t>
      </w:r>
      <w:proofErr w:type="gramStart"/>
      <w:r w:rsidRPr="003D3FEB">
        <w:rPr>
          <w:rFonts w:eastAsia="Times New Roman"/>
          <w:sz w:val="16"/>
          <w:szCs w:val="24"/>
        </w:rPr>
        <w:t>time,</w:t>
      </w:r>
      <w:proofErr w:type="gramEnd"/>
      <w:r w:rsidRPr="003D3FEB">
        <w:rPr>
          <w:rFonts w:eastAsia="Times New Roman"/>
          <w:sz w:val="16"/>
          <w:szCs w:val="24"/>
        </w:rPr>
        <w:t xml:space="preserve"> those who are born are ill-fed, ill-clad, ill-sheltered, ill-educated.  </w:t>
      </w:r>
      <w:r w:rsidRPr="003D3FEB">
        <w:rPr>
          <w:rFonts w:eastAsia="Times New Roman"/>
          <w:szCs w:val="18"/>
          <w:highlight w:val="cyan"/>
          <w:u w:val="single"/>
        </w:rPr>
        <w:t>Moralists concerned with the environment have pressed the need for a basic rethinking of the nature of our moral obligations</w:t>
      </w:r>
      <w:r w:rsidRPr="003D3FEB">
        <w:rPr>
          <w:rFonts w:eastAsia="Times New Roman"/>
          <w:sz w:val="16"/>
          <w:szCs w:val="24"/>
        </w:rPr>
        <w:t xml:space="preserve"> in the light of the knowledge provided by ecology on the basis of personal, social, and species prudence, </w:t>
      </w:r>
      <w:r w:rsidRPr="003D3FEB">
        <w:rPr>
          <w:rFonts w:eastAsia="Times New Roman"/>
          <w:szCs w:val="18"/>
          <w:u w:val="single"/>
        </w:rPr>
        <w:t>as well as on general moral grounds in terms of hitherto unrecognized and neglected duties in respect of other people, people now living and persons yet to be born, those of the third world, and those of future generation</w:t>
      </w:r>
      <w:r w:rsidRPr="003D3FEB">
        <w:rPr>
          <w:rFonts w:eastAsia="Times New Roman"/>
          <w:sz w:val="16"/>
          <w:szCs w:val="24"/>
        </w:rPr>
        <w:t xml:space="preserve">, </w:t>
      </w:r>
      <w:r w:rsidRPr="003D3FEB">
        <w:rPr>
          <w:rFonts w:eastAsia="Times New Roman"/>
          <w:szCs w:val="18"/>
          <w:u w:val="single"/>
        </w:rPr>
        <w:t>and also in respect of preservation of</w:t>
      </w:r>
      <w:r w:rsidRPr="003D3FEB">
        <w:rPr>
          <w:rFonts w:eastAsia="Times New Roman"/>
          <w:sz w:val="16"/>
          <w:szCs w:val="24"/>
        </w:rPr>
        <w:t xml:space="preserve"> natural species, wilderness, and valuable </w:t>
      </w:r>
      <w:r w:rsidRPr="003D3FEB">
        <w:rPr>
          <w:rFonts w:eastAsia="Times New Roman"/>
          <w:szCs w:val="18"/>
          <w:u w:val="single"/>
        </w:rPr>
        <w:t>natural phenomena</w:t>
      </w:r>
      <w:r w:rsidRPr="003D3FEB">
        <w:rPr>
          <w:rFonts w:eastAsia="Times New Roman"/>
          <w:sz w:val="16"/>
          <w:szCs w:val="24"/>
        </w:rPr>
        <w:t xml:space="preserve">. Hence we find ecological moralists who adopt this third approach, writing to the effect that concern for our duties entail concern for our environment and the ecosystems it contains. </w:t>
      </w:r>
      <w:r w:rsidRPr="003D3FEB">
        <w:rPr>
          <w:rFonts w:eastAsia="Times New Roman"/>
          <w:szCs w:val="18"/>
          <w:u w:val="single"/>
        </w:rPr>
        <w:t>Environmental ethics is concerned with the moral relation that holds between humans and the natural world, the ethical principles governing those relations determine our duties, obligations, and responsibilities with regard to the earth's natural environment</w:t>
      </w:r>
      <w:r w:rsidRPr="003D3FEB">
        <w:rPr>
          <w:rFonts w:eastAsia="Times New Roman"/>
          <w:sz w:val="16"/>
          <w:szCs w:val="24"/>
        </w:rPr>
        <w:t xml:space="preserve"> and all the animals and plants inhabit it. </w:t>
      </w:r>
      <w:r w:rsidRPr="003D3FEB">
        <w:rPr>
          <w:rFonts w:eastAsia="Times New Roman"/>
          <w:szCs w:val="18"/>
          <w:highlight w:val="cyan"/>
          <w:u w:val="single"/>
        </w:rPr>
        <w:t xml:space="preserve">A </w:t>
      </w:r>
      <w:r w:rsidRPr="003D3FEB">
        <w:rPr>
          <w:rFonts w:eastAsia="Times New Roman"/>
          <w:b/>
          <w:szCs w:val="18"/>
          <w:highlight w:val="cyan"/>
          <w:u w:val="single"/>
        </w:rPr>
        <w:t>human-centered theory of environmental ethics</w:t>
      </w:r>
      <w:r w:rsidRPr="003D3FEB">
        <w:rPr>
          <w:rFonts w:eastAsia="Times New Roman"/>
          <w:szCs w:val="18"/>
          <w:highlight w:val="cyan"/>
          <w:u w:val="single"/>
        </w:rPr>
        <w:t xml:space="preserve"> holds that our moral duties with respect to the natural world are all </w:t>
      </w:r>
      <w:r w:rsidRPr="003D3FEB">
        <w:rPr>
          <w:rFonts w:eastAsia="Times New Roman"/>
          <w:b/>
          <w:szCs w:val="18"/>
          <w:highlight w:val="cyan"/>
          <w:u w:val="single"/>
        </w:rPr>
        <w:t>ultimately derived from the duties we owe to one another as human beings</w:t>
      </w:r>
      <w:r w:rsidRPr="003D3FEB">
        <w:rPr>
          <w:rFonts w:eastAsia="Times New Roman"/>
          <w:sz w:val="16"/>
          <w:szCs w:val="24"/>
          <w:highlight w:val="cyan"/>
        </w:rPr>
        <w:t>.</w:t>
      </w:r>
      <w:r w:rsidRPr="003D3FEB">
        <w:rPr>
          <w:rFonts w:eastAsia="Times New Roman"/>
          <w:sz w:val="16"/>
          <w:szCs w:val="24"/>
        </w:rPr>
        <w:t xml:space="preserve"> </w:t>
      </w:r>
      <w:r w:rsidRPr="003D3FEB">
        <w:rPr>
          <w:rFonts w:eastAsia="Times New Roman"/>
          <w:szCs w:val="18"/>
          <w:u w:val="single"/>
        </w:rPr>
        <w:t>It is because we should respect</w:t>
      </w:r>
      <w:r w:rsidRPr="003D3FEB">
        <w:rPr>
          <w:rFonts w:eastAsia="Times New Roman"/>
          <w:sz w:val="16"/>
          <w:szCs w:val="24"/>
        </w:rPr>
        <w:t xml:space="preserve"> the </w:t>
      </w:r>
      <w:r w:rsidRPr="003D3FEB">
        <w:rPr>
          <w:rFonts w:eastAsia="Times New Roman"/>
          <w:szCs w:val="18"/>
          <w:u w:val="single"/>
        </w:rPr>
        <w:t>human rights, or</w:t>
      </w:r>
      <w:r w:rsidRPr="003D3FEB">
        <w:rPr>
          <w:rFonts w:eastAsia="Times New Roman"/>
          <w:sz w:val="16"/>
          <w:szCs w:val="24"/>
        </w:rPr>
        <w:t xml:space="preserve"> should </w:t>
      </w:r>
      <w:r w:rsidRPr="003D3FEB">
        <w:rPr>
          <w:rFonts w:eastAsia="Times New Roman"/>
          <w:szCs w:val="18"/>
          <w:u w:val="single"/>
        </w:rPr>
        <w:t>protect</w:t>
      </w:r>
      <w:r w:rsidRPr="003D3FEB">
        <w:rPr>
          <w:rFonts w:eastAsia="Times New Roman"/>
          <w:sz w:val="16"/>
          <w:szCs w:val="24"/>
        </w:rPr>
        <w:t xml:space="preserve"> and promote </w:t>
      </w:r>
      <w:r w:rsidRPr="003D3FEB">
        <w:rPr>
          <w:rFonts w:eastAsia="Times New Roman"/>
          <w:szCs w:val="18"/>
          <w:u w:val="single"/>
        </w:rPr>
        <w:t xml:space="preserve">the </w:t>
      </w:r>
      <w:proofErr w:type="spellStart"/>
      <w:r w:rsidRPr="003D3FEB">
        <w:rPr>
          <w:rFonts w:eastAsia="Times New Roman"/>
          <w:szCs w:val="18"/>
          <w:u w:val="single"/>
        </w:rPr>
        <w:t>well being</w:t>
      </w:r>
      <w:proofErr w:type="spellEnd"/>
      <w:r w:rsidRPr="003D3FEB">
        <w:rPr>
          <w:rFonts w:eastAsia="Times New Roman"/>
          <w:szCs w:val="18"/>
          <w:u w:val="single"/>
        </w:rPr>
        <w:t xml:space="preserve"> of humans, that we must place certain constraints on our treatment of the earth's environment</w:t>
      </w:r>
      <w:r w:rsidRPr="003D3FEB">
        <w:rPr>
          <w:rFonts w:eastAsia="Times New Roman"/>
          <w:sz w:val="16"/>
          <w:szCs w:val="24"/>
        </w:rPr>
        <w:t xml:space="preserve"> and its non-human habitants</w:t>
      </w:r>
      <w:proofErr w:type="gramStart"/>
      <w:r w:rsidRPr="003D3FEB">
        <w:rPr>
          <w:rFonts w:eastAsia="Times New Roman"/>
          <w:sz w:val="16"/>
          <w:szCs w:val="24"/>
        </w:rPr>
        <w:t>.[</w:t>
      </w:r>
      <w:proofErr w:type="gramEnd"/>
      <w:r w:rsidRPr="003D3FEB">
        <w:rPr>
          <w:rFonts w:eastAsia="Times New Roman"/>
          <w:sz w:val="16"/>
          <w:szCs w:val="24"/>
        </w:rPr>
        <w:t>5]</w:t>
      </w:r>
    </w:p>
    <w:p w:rsidR="00BC73BF" w:rsidRDefault="00BC73BF" w:rsidP="00BC73BF"/>
    <w:p w:rsidR="00BC73BF" w:rsidRPr="00155C08" w:rsidRDefault="00BC73BF" w:rsidP="0001264D">
      <w:pPr>
        <w:pStyle w:val="Heading4"/>
        <w:rPr>
          <w:rFonts w:cs="Arial"/>
        </w:rPr>
      </w:pPr>
      <w:r>
        <w:t xml:space="preserve">Perm </w:t>
      </w:r>
      <w:proofErr w:type="gramStart"/>
      <w:r>
        <w:t>do</w:t>
      </w:r>
      <w:proofErr w:type="gramEnd"/>
      <w:r>
        <w:t xml:space="preserve"> both- “reflexive” anthropocentrism solves your impact and is more viable than pure rejection.</w:t>
      </w:r>
    </w:p>
    <w:p w:rsidR="00BC73BF" w:rsidRDefault="00BC73BF" w:rsidP="00BC73BF">
      <w:pPr>
        <w:tabs>
          <w:tab w:val="left" w:pos="90"/>
        </w:tabs>
        <w:ind w:right="540"/>
        <w:rPr>
          <w:sz w:val="16"/>
          <w:szCs w:val="16"/>
        </w:rPr>
      </w:pPr>
      <w:r w:rsidRPr="00823A59">
        <w:rPr>
          <w:b/>
          <w:bCs/>
          <w:color w:val="000000"/>
          <w:sz w:val="24"/>
          <w:szCs w:val="23"/>
        </w:rPr>
        <w:t>Barry 99</w:t>
      </w:r>
      <w:r w:rsidRPr="006D05EC">
        <w:rPr>
          <w:bCs/>
          <w:color w:val="000000"/>
          <w:sz w:val="23"/>
          <w:szCs w:val="23"/>
        </w:rPr>
        <w:t xml:space="preserve"> </w:t>
      </w:r>
      <w:r>
        <w:rPr>
          <w:bCs/>
          <w:color w:val="000000"/>
          <w:sz w:val="23"/>
          <w:szCs w:val="23"/>
        </w:rPr>
        <w:t>(J</w:t>
      </w:r>
      <w:r w:rsidRPr="006D05EC">
        <w:rPr>
          <w:bCs/>
          <w:color w:val="000000"/>
          <w:sz w:val="23"/>
          <w:szCs w:val="23"/>
        </w:rPr>
        <w:t xml:space="preserve">ohn politics lecturer </w:t>
      </w:r>
      <w:proofErr w:type="spellStart"/>
      <w:r w:rsidRPr="006D05EC">
        <w:rPr>
          <w:bCs/>
          <w:color w:val="000000"/>
          <w:sz w:val="23"/>
          <w:szCs w:val="23"/>
        </w:rPr>
        <w:t>Keele</w:t>
      </w:r>
      <w:proofErr w:type="spellEnd"/>
      <w:r w:rsidRPr="006D05EC">
        <w:rPr>
          <w:bCs/>
          <w:color w:val="000000"/>
          <w:sz w:val="23"/>
          <w:szCs w:val="23"/>
        </w:rPr>
        <w:t xml:space="preserve"> University,</w:t>
      </w:r>
      <w:r w:rsidRPr="006D05EC">
        <w:rPr>
          <w:b/>
          <w:bCs/>
          <w:color w:val="000000"/>
          <w:sz w:val="23"/>
          <w:szCs w:val="23"/>
        </w:rPr>
        <w:t xml:space="preserve"> </w:t>
      </w:r>
      <w:r w:rsidRPr="006D05EC">
        <w:rPr>
          <w:color w:val="000000"/>
        </w:rPr>
        <w:t>RETHINKING GREEN POLITICS, 1999, p. 7-8</w:t>
      </w:r>
      <w:r>
        <w:rPr>
          <w:color w:val="000000"/>
        </w:rPr>
        <w:t>)</w:t>
      </w:r>
    </w:p>
    <w:p w:rsidR="00BC73BF" w:rsidRDefault="00BC73BF" w:rsidP="00BC73BF">
      <w:pPr>
        <w:numPr>
          <w:ilvl w:val="0"/>
          <w:numId w:val="5"/>
        </w:numPr>
        <w:tabs>
          <w:tab w:val="clear" w:pos="0"/>
          <w:tab w:val="num" w:pos="-180"/>
          <w:tab w:val="left" w:pos="90"/>
        </w:tabs>
        <w:ind w:right="540"/>
        <w:rPr>
          <w:color w:val="000000"/>
          <w:u w:val="single"/>
        </w:rPr>
      </w:pPr>
    </w:p>
    <w:p w:rsidR="00BC73BF" w:rsidRPr="00922B22" w:rsidRDefault="00BC73BF" w:rsidP="00BC73BF">
      <w:pPr>
        <w:numPr>
          <w:ilvl w:val="0"/>
          <w:numId w:val="5"/>
        </w:numPr>
        <w:tabs>
          <w:tab w:val="clear" w:pos="0"/>
          <w:tab w:val="num" w:pos="-180"/>
          <w:tab w:val="left" w:pos="90"/>
        </w:tabs>
        <w:ind w:right="540"/>
        <w:rPr>
          <w:sz w:val="16"/>
          <w:szCs w:val="16"/>
        </w:rPr>
      </w:pPr>
      <w:r w:rsidRPr="006D05EC">
        <w:rPr>
          <w:color w:val="000000"/>
          <w:u w:val="single"/>
        </w:rPr>
        <w:t>Ecological stewardship</w:t>
      </w:r>
      <w:r w:rsidRPr="006D05EC">
        <w:rPr>
          <w:color w:val="000000"/>
        </w:rPr>
        <w:t xml:space="preserve">, unlike </w:t>
      </w:r>
      <w:proofErr w:type="spellStart"/>
      <w:r w:rsidRPr="006D05EC">
        <w:rPr>
          <w:color w:val="000000"/>
        </w:rPr>
        <w:t>ecocentrism</w:t>
      </w:r>
      <w:proofErr w:type="spellEnd"/>
      <w:r w:rsidRPr="006D05EC">
        <w:rPr>
          <w:color w:val="000000"/>
        </w:rPr>
        <w:t xml:space="preserve">, </w:t>
      </w:r>
      <w:r w:rsidRPr="006D05EC">
        <w:rPr>
          <w:color w:val="000000"/>
          <w:u w:val="single"/>
        </w:rPr>
        <w:t xml:space="preserve">seeks to emphasize that </w:t>
      </w:r>
      <w:r w:rsidRPr="00040414">
        <w:rPr>
          <w:b/>
          <w:color w:val="000000"/>
          <w:sz w:val="24"/>
          <w:highlight w:val="yellow"/>
          <w:u w:val="single"/>
        </w:rPr>
        <w:t>a self-reflexive, long-term anthropocentrism</w:t>
      </w:r>
      <w:r w:rsidRPr="00040414">
        <w:rPr>
          <w:color w:val="000000"/>
          <w:sz w:val="24"/>
          <w:u w:val="single"/>
        </w:rPr>
        <w:t xml:space="preserve">, as opposed to an 'arrogant' or 'strong' anthropocentrism </w:t>
      </w:r>
      <w:r w:rsidRPr="00040414">
        <w:rPr>
          <w:b/>
          <w:color w:val="000000"/>
          <w:sz w:val="24"/>
          <w:highlight w:val="yellow"/>
          <w:u w:val="single"/>
        </w:rPr>
        <w:t xml:space="preserve">can secure many of the policy objectives of </w:t>
      </w:r>
      <w:proofErr w:type="spellStart"/>
      <w:r w:rsidRPr="00040414">
        <w:rPr>
          <w:b/>
          <w:color w:val="000000"/>
          <w:sz w:val="24"/>
          <w:highlight w:val="yellow"/>
          <w:u w:val="single"/>
        </w:rPr>
        <w:t>ecocentrism</w:t>
      </w:r>
      <w:proofErr w:type="spellEnd"/>
      <w:r>
        <w:rPr>
          <w:color w:val="000000"/>
          <w:u w:val="single"/>
        </w:rPr>
        <w:t xml:space="preserve">, </w:t>
      </w:r>
      <w:r w:rsidRPr="006D05EC">
        <w:rPr>
          <w:color w:val="000000"/>
          <w:u w:val="single"/>
        </w:rPr>
        <w:t>in terms of environmental preservation and conservation.</w:t>
      </w:r>
      <w:r w:rsidRPr="006D05EC">
        <w:rPr>
          <w:color w:val="000000"/>
        </w:rPr>
        <w:t xml:space="preserve"> As argued in Chapter </w:t>
      </w:r>
      <w:r w:rsidRPr="006D05EC">
        <w:rPr>
          <w:color w:val="000000"/>
          <w:sz w:val="21"/>
          <w:szCs w:val="21"/>
        </w:rPr>
        <w:t xml:space="preserve">3, </w:t>
      </w:r>
      <w:r w:rsidRPr="006D05EC">
        <w:rPr>
          <w:color w:val="000000"/>
          <w:u w:val="single"/>
        </w:rPr>
        <w:t xml:space="preserve">a reformed, </w:t>
      </w:r>
      <w:r w:rsidRPr="00040414">
        <w:rPr>
          <w:b/>
          <w:color w:val="000000"/>
          <w:sz w:val="24"/>
          <w:highlight w:val="yellow"/>
          <w:u w:val="single"/>
        </w:rPr>
        <w:t xml:space="preserve">reflexive anthropocentrism is premised on critically evaluating human uses </w:t>
      </w:r>
      <w:r w:rsidRPr="00040414">
        <w:rPr>
          <w:rFonts w:cs="Arial"/>
          <w:b/>
          <w:bCs/>
          <w:color w:val="000000"/>
          <w:sz w:val="24"/>
          <w:szCs w:val="18"/>
          <w:highlight w:val="yellow"/>
          <w:u w:val="single"/>
        </w:rPr>
        <w:t xml:space="preserve">of </w:t>
      </w:r>
      <w:r w:rsidRPr="00040414">
        <w:rPr>
          <w:b/>
          <w:color w:val="000000"/>
          <w:sz w:val="24"/>
          <w:highlight w:val="yellow"/>
          <w:u w:val="single"/>
        </w:rPr>
        <w:t>the non-human world</w:t>
      </w:r>
      <w:r w:rsidRPr="00040414">
        <w:rPr>
          <w:color w:val="000000"/>
          <w:sz w:val="24"/>
          <w:u w:val="single"/>
        </w:rPr>
        <w:t>, and distinguishing 'permissible' from 'impermissible' uses.</w:t>
      </w:r>
      <w:r>
        <w:rPr>
          <w:color w:val="000000"/>
          <w:u w:val="single"/>
        </w:rPr>
        <w:t xml:space="preserve"> That is, an 'ethics of use', </w:t>
      </w:r>
      <w:r w:rsidRPr="006D05EC">
        <w:rPr>
          <w:color w:val="000000"/>
          <w:u w:val="single"/>
        </w:rPr>
        <w:t xml:space="preserve">though anthropocentric and rooted in human interests, seeks to regulate human interaction with the environment by distinguishing legitimate 'use' from unjustified 'abuse'. </w:t>
      </w:r>
      <w:r w:rsidRPr="00040414">
        <w:rPr>
          <w:b/>
          <w:color w:val="000000"/>
          <w:sz w:val="24"/>
          <w:highlight w:val="yellow"/>
          <w:u w:val="single"/>
        </w:rPr>
        <w:t xml:space="preserve">The premise for this </w:t>
      </w:r>
      <w:proofErr w:type="spellStart"/>
      <w:r w:rsidRPr="00040414">
        <w:rPr>
          <w:b/>
          <w:color w:val="000000"/>
          <w:sz w:val="24"/>
          <w:highlight w:val="yellow"/>
          <w:u w:val="single"/>
        </w:rPr>
        <w:t>defence</w:t>
      </w:r>
      <w:proofErr w:type="spellEnd"/>
      <w:r w:rsidRPr="00040414">
        <w:rPr>
          <w:b/>
          <w:color w:val="000000"/>
          <w:sz w:val="24"/>
          <w:highlight w:val="yellow"/>
          <w:u w:val="single"/>
        </w:rPr>
        <w:t xml:space="preserve"> of anthropocentric moral reasoning is that an immanent critique of 'arrogant humanism' is a much more defensible and effective way to express mere moral concerns than rejecting anthropocentrism and developing a 'new </w:t>
      </w:r>
      <w:proofErr w:type="spellStart"/>
      <w:r w:rsidRPr="00040414">
        <w:rPr>
          <w:b/>
          <w:color w:val="000000"/>
          <w:sz w:val="24"/>
          <w:highlight w:val="yellow"/>
          <w:u w:val="single"/>
        </w:rPr>
        <w:t>ecocentric</w:t>
      </w:r>
      <w:proofErr w:type="spellEnd"/>
      <w:r w:rsidRPr="00040414">
        <w:rPr>
          <w:b/>
          <w:color w:val="000000"/>
          <w:sz w:val="24"/>
          <w:highlight w:val="yellow"/>
          <w:u w:val="single"/>
        </w:rPr>
        <w:t xml:space="preserve"> ethic'.</w:t>
      </w:r>
      <w:r w:rsidRPr="006D05EC">
        <w:rPr>
          <w:color w:val="000000"/>
          <w:u w:val="single"/>
        </w:rPr>
        <w:t xml:space="preserve"> </w:t>
      </w:r>
      <w:r w:rsidRPr="006D05EC">
        <w:rPr>
          <w:color w:val="000000"/>
        </w:rPr>
        <w:t xml:space="preserve">As discussed in Chapters 2 and </w:t>
      </w:r>
      <w:r w:rsidRPr="006D05EC">
        <w:rPr>
          <w:b/>
          <w:bCs/>
          <w:color w:val="000000"/>
        </w:rPr>
        <w:t xml:space="preserve">3, </w:t>
      </w:r>
      <w:proofErr w:type="spellStart"/>
      <w:r w:rsidRPr="00040414">
        <w:rPr>
          <w:color w:val="000000"/>
          <w:sz w:val="24"/>
          <w:u w:val="single"/>
        </w:rPr>
        <w:t>ecocentric</w:t>
      </w:r>
      <w:proofErr w:type="spellEnd"/>
      <w:r w:rsidRPr="00040414">
        <w:rPr>
          <w:color w:val="000000"/>
          <w:sz w:val="24"/>
          <w:u w:val="single"/>
        </w:rPr>
        <w:t xml:space="preserve"> demands are premised on an over-hasty dismissal of </w:t>
      </w:r>
      <w:r w:rsidRPr="00040414">
        <w:rPr>
          <w:color w:val="000000"/>
          <w:sz w:val="24"/>
          <w:u w:val="single"/>
        </w:rPr>
        <w:lastRenderedPageBreak/>
        <w:t>anthropocentrism which precludes recognition of the positive resources within anthropocentrism</w:t>
      </w:r>
      <w:r w:rsidRPr="006D05EC">
        <w:rPr>
          <w:color w:val="000000"/>
          <w:u w:val="single"/>
        </w:rPr>
        <w:t xml:space="preserve"> for developing an appropriate and practicable moral idiom to cover social-environmental interaction.</w:t>
      </w:r>
    </w:p>
    <w:p w:rsidR="00BC73BF" w:rsidRDefault="00BC73BF" w:rsidP="00BC73BF">
      <w:pPr>
        <w:rPr>
          <w:b/>
          <w:sz w:val="24"/>
          <w:szCs w:val="24"/>
        </w:rPr>
      </w:pPr>
    </w:p>
    <w:p w:rsidR="00BC73BF" w:rsidRPr="0001264D" w:rsidRDefault="00BC73BF" w:rsidP="0001264D">
      <w:pPr>
        <w:rPr>
          <w:b/>
        </w:rPr>
      </w:pPr>
    </w:p>
    <w:p w:rsidR="00BC73BF" w:rsidRDefault="00BC73BF" w:rsidP="00BC73BF">
      <w:pPr>
        <w:tabs>
          <w:tab w:val="left" w:pos="90"/>
        </w:tabs>
        <w:ind w:right="540"/>
        <w:rPr>
          <w:sz w:val="24"/>
          <w:szCs w:val="16"/>
        </w:rPr>
      </w:pPr>
      <w:r>
        <w:rPr>
          <w:b/>
          <w:sz w:val="24"/>
          <w:szCs w:val="26"/>
          <w:lang w:eastAsia="x-none"/>
        </w:rPr>
        <w:t xml:space="preserve">C) </w:t>
      </w:r>
      <w:proofErr w:type="gramStart"/>
      <w:r>
        <w:rPr>
          <w:b/>
          <w:sz w:val="24"/>
          <w:szCs w:val="26"/>
          <w:lang w:eastAsia="x-none"/>
        </w:rPr>
        <w:t>alt</w:t>
      </w:r>
      <w:proofErr w:type="gramEnd"/>
      <w:r>
        <w:rPr>
          <w:b/>
          <w:sz w:val="24"/>
          <w:szCs w:val="26"/>
          <w:lang w:eastAsia="x-none"/>
        </w:rPr>
        <w:t xml:space="preserve"> impossible</w:t>
      </w:r>
      <w:r>
        <w:rPr>
          <w:b/>
          <w:sz w:val="24"/>
          <w:szCs w:val="26"/>
          <w:lang w:val="x-none" w:eastAsia="x-none"/>
        </w:rPr>
        <w:t>- H</w:t>
      </w:r>
      <w:r w:rsidRPr="00F379C7">
        <w:rPr>
          <w:b/>
          <w:sz w:val="24"/>
          <w:szCs w:val="26"/>
          <w:lang w:val="x-none" w:eastAsia="x-none"/>
        </w:rPr>
        <w:t>umans can’t view the</w:t>
      </w:r>
      <w:r>
        <w:rPr>
          <w:b/>
          <w:sz w:val="24"/>
          <w:szCs w:val="26"/>
          <w:lang w:val="x-none" w:eastAsia="x-none"/>
        </w:rPr>
        <w:t xml:space="preserve"> world through a non-human lens.</w:t>
      </w:r>
    </w:p>
    <w:p w:rsidR="00BC73BF" w:rsidRPr="005A3828" w:rsidRDefault="00BC73BF" w:rsidP="00BC73BF">
      <w:pPr>
        <w:tabs>
          <w:tab w:val="left" w:pos="90"/>
        </w:tabs>
        <w:ind w:right="540"/>
        <w:rPr>
          <w:sz w:val="24"/>
          <w:szCs w:val="16"/>
        </w:rPr>
      </w:pPr>
      <w:r w:rsidRPr="007708E6">
        <w:rPr>
          <w:b/>
          <w:sz w:val="24"/>
        </w:rPr>
        <w:t>Gillespie ’98</w:t>
      </w:r>
      <w:r>
        <w:rPr>
          <w:sz w:val="16"/>
        </w:rPr>
        <w:t xml:space="preserve"> (</w:t>
      </w:r>
      <w:r w:rsidRPr="007708E6">
        <w:rPr>
          <w:sz w:val="16"/>
        </w:rPr>
        <w:t>Alexander, “International Environmental Law, Policy, and Ethics”</w:t>
      </w:r>
      <w:r>
        <w:rPr>
          <w:sz w:val="16"/>
        </w:rPr>
        <w:t>)</w:t>
      </w:r>
    </w:p>
    <w:p w:rsidR="00BC73BF" w:rsidRDefault="00BC73BF" w:rsidP="00BC73BF">
      <w:pPr>
        <w:tabs>
          <w:tab w:val="left" w:pos="90"/>
        </w:tabs>
        <w:ind w:right="540"/>
        <w:rPr>
          <w:sz w:val="16"/>
        </w:rPr>
      </w:pPr>
    </w:p>
    <w:p w:rsidR="00BC73BF" w:rsidRDefault="00BC73BF" w:rsidP="00BC73BF">
      <w:pPr>
        <w:tabs>
          <w:tab w:val="left" w:pos="90"/>
        </w:tabs>
        <w:ind w:right="540"/>
        <w:rPr>
          <w:b/>
          <w:sz w:val="24"/>
        </w:rPr>
      </w:pPr>
      <w:r w:rsidRPr="007708E6">
        <w:rPr>
          <w:sz w:val="16"/>
        </w:rPr>
        <w:t xml:space="preserve">An anthropocentric environmental ethic grants moral standing exclusively to human beings and considers nonhuman natural entities and nature as a whole to be only a means for human ends. In one sense, </w:t>
      </w:r>
      <w:r w:rsidRPr="00F379C7">
        <w:rPr>
          <w:sz w:val="24"/>
          <w:highlight w:val="yellow"/>
          <w:u w:val="single"/>
        </w:rPr>
        <w:t>any human outlook is necessarily anthropocentric, since we can apprehend the world only through our own senses and conceptual categories</w:t>
      </w:r>
      <w:r w:rsidRPr="007708E6">
        <w:rPr>
          <w:sz w:val="16"/>
        </w:rPr>
        <w:t xml:space="preserve">. Accordingly, some advocates of anthropocentric environmental ethics have tried to preempt further debate by arguing that </w:t>
      </w:r>
      <w:r w:rsidRPr="00F379C7">
        <w:rPr>
          <w:sz w:val="24"/>
          <w:highlight w:val="yellow"/>
          <w:u w:val="single"/>
        </w:rPr>
        <w:t>a non-anthropocentric</w:t>
      </w:r>
      <w:r w:rsidRPr="007708E6">
        <w:rPr>
          <w:sz w:val="16"/>
        </w:rPr>
        <w:t xml:space="preserve"> environmental </w:t>
      </w:r>
      <w:r w:rsidRPr="00FC2EDE">
        <w:rPr>
          <w:sz w:val="24"/>
          <w:szCs w:val="24"/>
          <w:highlight w:val="yellow"/>
          <w:u w:val="single"/>
        </w:rPr>
        <w:t>ethic is therefore an oxymoron</w:t>
      </w:r>
      <w:r w:rsidRPr="007708E6">
        <w:rPr>
          <w:sz w:val="16"/>
        </w:rPr>
        <w:t>. But the question at issue is not, “Can we apprehend nature from a nonhuman point of view?” Of course we cannot. The question is, rather, “Should we extend moral consideration to nonhuman natural entities or nature as a whole?” And that question, of course, is entirely open.</w:t>
      </w:r>
    </w:p>
    <w:p w:rsidR="00BC73BF" w:rsidRDefault="00BC73BF" w:rsidP="00BC73BF">
      <w:pPr>
        <w:rPr>
          <w:b/>
          <w:sz w:val="24"/>
          <w:szCs w:val="24"/>
        </w:rPr>
      </w:pPr>
    </w:p>
    <w:p w:rsidR="00BC73BF" w:rsidRPr="0001264D" w:rsidRDefault="00BC73BF" w:rsidP="0001264D">
      <w:pPr>
        <w:numPr>
          <w:ilvl w:val="0"/>
          <w:numId w:val="5"/>
        </w:numPr>
        <w:rPr>
          <w:b/>
          <w:sz w:val="24"/>
          <w:szCs w:val="24"/>
        </w:rPr>
      </w:pPr>
    </w:p>
    <w:p w:rsidR="00BC73BF" w:rsidRPr="00040414" w:rsidRDefault="00BC73BF" w:rsidP="00BC73BF">
      <w:pPr>
        <w:tabs>
          <w:tab w:val="left" w:pos="90"/>
        </w:tabs>
        <w:ind w:right="540"/>
        <w:rPr>
          <w:rStyle w:val="StyleBoldUnderline"/>
          <w:b/>
          <w:sz w:val="24"/>
        </w:rPr>
      </w:pPr>
      <w:r w:rsidRPr="00A57469">
        <w:rPr>
          <w:rStyle w:val="StyleBoldUnderline"/>
          <w:rFonts w:cs="Arial"/>
        </w:rPr>
        <w:t xml:space="preserve">Perm – </w:t>
      </w:r>
      <w:r w:rsidRPr="00A57469">
        <w:rPr>
          <w:rFonts w:cs="Arial"/>
          <w:b/>
        </w:rPr>
        <w:t xml:space="preserve">do the </w:t>
      </w:r>
      <w:proofErr w:type="spellStart"/>
      <w:r w:rsidRPr="00A57469">
        <w:rPr>
          <w:rFonts w:cs="Arial"/>
          <w:b/>
        </w:rPr>
        <w:t>aff</w:t>
      </w:r>
      <w:proofErr w:type="spellEnd"/>
      <w:r w:rsidRPr="00A57469">
        <w:rPr>
          <w:rFonts w:cs="Arial"/>
          <w:b/>
        </w:rPr>
        <w:t xml:space="preserve"> an</w:t>
      </w:r>
      <w:r>
        <w:rPr>
          <w:rFonts w:cs="Arial"/>
          <w:b/>
        </w:rPr>
        <w:t>d</w:t>
      </w:r>
      <w:r w:rsidRPr="00A57469">
        <w:rPr>
          <w:rFonts w:cs="Arial"/>
          <w:b/>
        </w:rPr>
        <w:t xml:space="preserve"> all non-competitive parts of the alt – that solves better</w:t>
      </w:r>
    </w:p>
    <w:p w:rsidR="00BC73BF" w:rsidRPr="00A57469" w:rsidRDefault="00BC73BF" w:rsidP="00BC73BF">
      <w:pPr>
        <w:tabs>
          <w:tab w:val="left" w:pos="1935"/>
          <w:tab w:val="left" w:pos="6660"/>
        </w:tabs>
        <w:rPr>
          <w:rStyle w:val="StyleBoldUnderline"/>
          <w:rFonts w:cs="Arial"/>
          <w:b/>
        </w:rPr>
      </w:pPr>
      <w:r w:rsidRPr="00A57469">
        <w:rPr>
          <w:rStyle w:val="StyleBoldUnderline"/>
          <w:rFonts w:cs="Arial"/>
        </w:rPr>
        <w:t>Trumpeter ‘91</w:t>
      </w:r>
    </w:p>
    <w:p w:rsidR="00BC73BF" w:rsidRPr="00FC1552" w:rsidRDefault="00BC73BF" w:rsidP="00BC73BF">
      <w:pPr>
        <w:rPr>
          <w:rStyle w:val="StyleBoldUnderline"/>
          <w:rFonts w:cs="Arial"/>
          <w:sz w:val="12"/>
        </w:rPr>
      </w:pPr>
      <w:r w:rsidRPr="00FC1552">
        <w:rPr>
          <w:rStyle w:val="StyleBoldUnderline"/>
          <w:rFonts w:cs="Arial"/>
          <w:sz w:val="12"/>
        </w:rPr>
        <w:t xml:space="preserve">“Non-Anthropocentrism in a Thoroughly </w:t>
      </w:r>
      <w:proofErr w:type="spellStart"/>
      <w:r w:rsidRPr="00FC1552">
        <w:rPr>
          <w:rStyle w:val="StyleBoldUnderline"/>
          <w:rFonts w:cs="Arial"/>
          <w:sz w:val="12"/>
        </w:rPr>
        <w:t>Anthropocentrized</w:t>
      </w:r>
      <w:proofErr w:type="spellEnd"/>
      <w:r w:rsidRPr="00FC1552">
        <w:rPr>
          <w:rStyle w:val="StyleBoldUnderline"/>
          <w:rFonts w:cs="Arial"/>
          <w:sz w:val="12"/>
        </w:rPr>
        <w:t xml:space="preserve"> World” Anthony Weston Trumpeter, ISSN: 0832-6193 http://trumpeter.athabascau.ca/content/v8.3/weston.html</w:t>
      </w:r>
    </w:p>
    <w:p w:rsidR="00BC73BF" w:rsidRPr="00FC1552" w:rsidRDefault="00BC73BF" w:rsidP="00BC73BF">
      <w:pPr>
        <w:rPr>
          <w:rStyle w:val="StyleBoldUnderline"/>
          <w:rFonts w:cs="Arial"/>
          <w:sz w:val="12"/>
        </w:rPr>
      </w:pPr>
    </w:p>
    <w:p w:rsidR="00BC73BF" w:rsidRDefault="00BC73BF" w:rsidP="00BC73BF">
      <w:pPr>
        <w:tabs>
          <w:tab w:val="left" w:pos="90"/>
        </w:tabs>
        <w:ind w:right="540"/>
      </w:pPr>
      <w:r w:rsidRPr="004E21B5">
        <w:rPr>
          <w:rStyle w:val="StyleBoldUnderline"/>
          <w:rFonts w:cs="Arial"/>
          <w:highlight w:val="magenta"/>
        </w:rPr>
        <w:t>By taking the restructuring of human communities as an illustration I do not mean to exclude other</w:t>
      </w:r>
      <w:r w:rsidRPr="00A428B9">
        <w:rPr>
          <w:rStyle w:val="StyleBoldUnderline"/>
          <w:rFonts w:cs="Arial"/>
        </w:rPr>
        <w:t xml:space="preserve"> obviously </w:t>
      </w:r>
      <w:r w:rsidRPr="004E21B5">
        <w:rPr>
          <w:rStyle w:val="StyleBoldUnderline"/>
          <w:rFonts w:cs="Arial"/>
          <w:highlight w:val="magenta"/>
        </w:rPr>
        <w:t>vital activities</w:t>
      </w:r>
      <w:r w:rsidRPr="00FC1552">
        <w:rPr>
          <w:rStyle w:val="StyleBoldUnderline"/>
          <w:rFonts w:cs="Arial"/>
          <w:sz w:val="12"/>
        </w:rPr>
        <w:t xml:space="preserve">, such as preserving the wilderness. Certainly the wild places that remain to us should be protected. </w:t>
      </w:r>
      <w:r w:rsidRPr="00870AAD">
        <w:rPr>
          <w:rStyle w:val="StyleBoldUnderline"/>
          <w:rFonts w:cs="Arial"/>
        </w:rPr>
        <w:t xml:space="preserve">For some places and some species even the near-total exclusion of humans may be necessary. Nonetheless, </w:t>
      </w:r>
      <w:r w:rsidRPr="00A428B9">
        <w:rPr>
          <w:rStyle w:val="StyleBoldUnderline"/>
          <w:rFonts w:cs="Arial"/>
        </w:rPr>
        <w:t xml:space="preserve">the project of </w:t>
      </w:r>
      <w:r w:rsidRPr="004E21B5">
        <w:rPr>
          <w:rStyle w:val="StyleBoldUnderline"/>
          <w:rFonts w:cs="Arial"/>
          <w:highlight w:val="magenta"/>
        </w:rPr>
        <w:t>developing a non-anthropocentric ethic</w:t>
      </w:r>
      <w:r w:rsidRPr="00FC1552">
        <w:rPr>
          <w:rStyle w:val="StyleBoldUnderline"/>
          <w:rFonts w:cs="Arial"/>
          <w:sz w:val="12"/>
        </w:rPr>
        <w:t xml:space="preserve">, now conceived as making a space for the co-evolution of a less anthropocentric ethic within a less </w:t>
      </w:r>
      <w:proofErr w:type="spellStart"/>
      <w:r w:rsidRPr="00FC1552">
        <w:rPr>
          <w:rStyle w:val="StyleBoldUnderline"/>
          <w:rFonts w:cs="Arial"/>
          <w:sz w:val="12"/>
        </w:rPr>
        <w:t>anthropocentrized</w:t>
      </w:r>
      <w:proofErr w:type="spellEnd"/>
      <w:r w:rsidRPr="00FC1552">
        <w:rPr>
          <w:rStyle w:val="StyleBoldUnderline"/>
          <w:rFonts w:cs="Arial"/>
          <w:sz w:val="12"/>
        </w:rPr>
        <w:t xml:space="preserve"> world, </w:t>
      </w:r>
      <w:r w:rsidRPr="00A428B9">
        <w:rPr>
          <w:rStyle w:val="StyleBoldUnderline"/>
          <w:rFonts w:cs="Arial"/>
        </w:rPr>
        <w:t xml:space="preserve">does </w:t>
      </w:r>
      <w:r w:rsidRPr="004E21B5">
        <w:rPr>
          <w:rStyle w:val="StyleBoldUnderline"/>
          <w:rFonts w:cs="Arial"/>
          <w:highlight w:val="magenta"/>
        </w:rPr>
        <w:t>redirect</w:t>
      </w:r>
      <w:r w:rsidRPr="00A428B9">
        <w:rPr>
          <w:rStyle w:val="StyleBoldUnderline"/>
          <w:rFonts w:cs="Arial"/>
        </w:rPr>
        <w:t xml:space="preserve"> our main focus </w:t>
      </w:r>
      <w:r w:rsidRPr="004E21B5">
        <w:rPr>
          <w:rStyle w:val="StyleBoldUnderline"/>
          <w:rFonts w:cs="Arial"/>
          <w:highlight w:val="magenta"/>
        </w:rPr>
        <w:t xml:space="preserve">toward the points of </w:t>
      </w:r>
      <w:r w:rsidRPr="004E21B5">
        <w:rPr>
          <w:rStyle w:val="StyleBoldUnderline"/>
          <w:rFonts w:cs="Arial"/>
          <w:i/>
          <w:highlight w:val="magenta"/>
        </w:rPr>
        <w:t>interaction</w:t>
      </w:r>
      <w:r w:rsidRPr="00870AAD">
        <w:rPr>
          <w:rStyle w:val="StyleBoldUnderline"/>
          <w:rFonts w:cs="Arial"/>
        </w:rPr>
        <w:t xml:space="preserve">, encounter, </w:t>
      </w:r>
      <w:r w:rsidRPr="004E21B5">
        <w:rPr>
          <w:rStyle w:val="StyleBoldUnderline"/>
          <w:rFonts w:cs="Arial"/>
          <w:highlight w:val="magenta"/>
        </w:rPr>
        <w:t>rather than separation</w:t>
      </w:r>
      <w:r w:rsidRPr="00870AAD">
        <w:rPr>
          <w:rStyle w:val="StyleBoldUnderline"/>
          <w:rFonts w:cs="Arial"/>
        </w:rPr>
        <w:t xml:space="preserve">. Certainly </w:t>
      </w:r>
      <w:r w:rsidRPr="004E21B5">
        <w:rPr>
          <w:rStyle w:val="StyleBoldUnderline"/>
          <w:rFonts w:cs="Arial"/>
          <w:highlight w:val="magenta"/>
        </w:rPr>
        <w:t>the aim is not to push humans out of the picture entirely, but rather to open up</w:t>
      </w:r>
      <w:r w:rsidRPr="00886B0B">
        <w:rPr>
          <w:rStyle w:val="StyleBoldUnderline"/>
          <w:rFonts w:cs="Arial"/>
        </w:rPr>
        <w:t xml:space="preserve"> the possibility of </w:t>
      </w:r>
      <w:r w:rsidRPr="004E21B5">
        <w:rPr>
          <w:rStyle w:val="StyleBoldUnderline"/>
          <w:rFonts w:cs="Arial"/>
          <w:highlight w:val="magenta"/>
        </w:rPr>
        <w:t xml:space="preserve">relation </w:t>
      </w:r>
      <w:r w:rsidRPr="004E21B5">
        <w:rPr>
          <w:rStyle w:val="StyleBoldUnderline"/>
          <w:rFonts w:cs="Arial"/>
          <w:i/>
          <w:highlight w:val="magenta"/>
        </w:rPr>
        <w:t>between</w:t>
      </w:r>
      <w:r w:rsidRPr="004E21B5">
        <w:rPr>
          <w:rStyle w:val="StyleBoldUnderline"/>
          <w:rFonts w:cs="Arial"/>
          <w:highlight w:val="magenta"/>
        </w:rPr>
        <w:t xml:space="preserve"> humans and the rest of Nature</w:t>
      </w:r>
      <w:r w:rsidRPr="00FC1552">
        <w:rPr>
          <w:rStyle w:val="StyleBoldUnderline"/>
          <w:rFonts w:cs="Arial"/>
          <w:sz w:val="12"/>
        </w:rPr>
        <w:t xml:space="preserve">. We need to pay much more attention to places where humans and other creatures, </w:t>
      </w:r>
      <w:proofErr w:type="spellStart"/>
      <w:r w:rsidRPr="00FC1552">
        <w:rPr>
          <w:rStyle w:val="StyleBoldUnderline"/>
          <w:rFonts w:cs="Arial"/>
          <w:sz w:val="12"/>
        </w:rPr>
        <w:t>honoured</w:t>
      </w:r>
      <w:proofErr w:type="spellEnd"/>
      <w:r w:rsidRPr="00FC1552">
        <w:rPr>
          <w:rStyle w:val="StyleBoldUnderline"/>
          <w:rFonts w:cs="Arial"/>
          <w:sz w:val="12"/>
        </w:rPr>
        <w:t xml:space="preserve"> in their wildness and potential relatedness, can come together, perhaps warily but at least openly.</w:t>
      </w:r>
    </w:p>
    <w:p w:rsidR="00BC73BF" w:rsidRDefault="00BC73BF" w:rsidP="00BC73BF">
      <w:pPr>
        <w:tabs>
          <w:tab w:val="left" w:pos="90"/>
        </w:tabs>
        <w:ind w:right="540"/>
      </w:pPr>
    </w:p>
    <w:p w:rsidR="00BC73BF" w:rsidRDefault="00BC73BF" w:rsidP="00BC73BF">
      <w:pPr>
        <w:spacing w:after="200" w:line="276" w:lineRule="auto"/>
        <w:rPr>
          <w:rFonts w:asciiTheme="minorHAnsi" w:hAnsiTheme="minorHAnsi" w:cstheme="minorBidi"/>
        </w:rPr>
      </w:pPr>
    </w:p>
    <w:p w:rsidR="00BC73BF" w:rsidRPr="00BC73BF" w:rsidRDefault="00BC73BF" w:rsidP="00BC73BF"/>
    <w:sectPr w:rsidR="00BC73BF" w:rsidRPr="00BC7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152" w:rsidRDefault="00706152" w:rsidP="005F5576">
      <w:r>
        <w:separator/>
      </w:r>
    </w:p>
  </w:endnote>
  <w:endnote w:type="continuationSeparator" w:id="0">
    <w:p w:rsidR="00706152" w:rsidRDefault="007061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NewRoman">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152" w:rsidRDefault="00706152" w:rsidP="005F5576">
      <w:r>
        <w:separator/>
      </w:r>
    </w:p>
  </w:footnote>
  <w:footnote w:type="continuationSeparator" w:id="0">
    <w:p w:rsidR="00706152" w:rsidRDefault="0070615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620619"/>
    <w:multiLevelType w:val="hybridMultilevel"/>
    <w:tmpl w:val="7C7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B10A7"/>
    <w:multiLevelType w:val="hybridMultilevel"/>
    <w:tmpl w:val="AAEEEB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762172"/>
    <w:multiLevelType w:val="hybridMultilevel"/>
    <w:tmpl w:val="04F0A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985E26"/>
    <w:multiLevelType w:val="hybridMultilevel"/>
    <w:tmpl w:val="18A02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937A58"/>
    <w:multiLevelType w:val="hybridMultilevel"/>
    <w:tmpl w:val="75360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BF"/>
    <w:rsid w:val="000022F2"/>
    <w:rsid w:val="0000459F"/>
    <w:rsid w:val="00004EB4"/>
    <w:rsid w:val="0001264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6152"/>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279"/>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3BF"/>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BC73BF"/>
    <w:rPr>
      <w:b/>
      <w:u w:val="single"/>
    </w:rPr>
  </w:style>
  <w:style w:type="paragraph" w:customStyle="1" w:styleId="textbold">
    <w:name w:val="text bold"/>
    <w:basedOn w:val="Normal"/>
    <w:link w:val="underline"/>
    <w:qFormat/>
    <w:rsid w:val="00BC73BF"/>
    <w:pPr>
      <w:ind w:left="720"/>
      <w:jc w:val="both"/>
    </w:pPr>
    <w:rPr>
      <w:rFonts w:asciiTheme="minorHAnsi" w:hAnsiTheme="minorHAnsi" w:cstheme="minorBidi"/>
      <w:b/>
      <w:u w:val="single"/>
    </w:rPr>
  </w:style>
  <w:style w:type="character" w:customStyle="1" w:styleId="cardChar">
    <w:name w:val="card Char"/>
    <w:link w:val="card"/>
    <w:locked/>
    <w:rsid w:val="00BC73BF"/>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BC73BF"/>
    <w:pPr>
      <w:ind w:left="288" w:right="288"/>
    </w:pPr>
    <w:rPr>
      <w:rFonts w:eastAsia="Times New Roman"/>
      <w:lang w:val="x-none" w:eastAsia="x-none"/>
    </w:rPr>
  </w:style>
  <w:style w:type="paragraph" w:styleId="ListParagraph">
    <w:name w:val="List Paragraph"/>
    <w:basedOn w:val="Normal"/>
    <w:uiPriority w:val="34"/>
    <w:qFormat/>
    <w:rsid w:val="00BC73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11111,Heading 2 Char Char Char Char,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11111 Char,Heading 2 Char Char Char Char Char"/>
    <w:basedOn w:val="DefaultParagraphFont"/>
    <w:link w:val="Heading4"/>
    <w:uiPriority w:val="4"/>
    <w:rsid w:val="00D176BE"/>
    <w:rPr>
      <w:rFonts w:ascii="Times New Roman" w:eastAsiaTheme="majorEastAsia" w:hAnsi="Times New Roman" w:cstheme="majorBidi"/>
      <w:b/>
      <w:bCs/>
      <w:iCs/>
      <w:sz w:val="24"/>
    </w:rPr>
  </w:style>
  <w:style w:type="character" w:customStyle="1" w:styleId="underline">
    <w:name w:val="underline"/>
    <w:basedOn w:val="DefaultParagraphFont"/>
    <w:link w:val="textbold"/>
    <w:qFormat/>
    <w:rsid w:val="00BC73BF"/>
    <w:rPr>
      <w:b/>
      <w:u w:val="single"/>
    </w:rPr>
  </w:style>
  <w:style w:type="paragraph" w:customStyle="1" w:styleId="textbold">
    <w:name w:val="text bold"/>
    <w:basedOn w:val="Normal"/>
    <w:link w:val="underline"/>
    <w:qFormat/>
    <w:rsid w:val="00BC73BF"/>
    <w:pPr>
      <w:ind w:left="720"/>
      <w:jc w:val="both"/>
    </w:pPr>
    <w:rPr>
      <w:rFonts w:asciiTheme="minorHAnsi" w:hAnsiTheme="minorHAnsi" w:cstheme="minorBidi"/>
      <w:b/>
      <w:u w:val="single"/>
    </w:rPr>
  </w:style>
  <w:style w:type="character" w:customStyle="1" w:styleId="cardChar">
    <w:name w:val="card Char"/>
    <w:link w:val="card"/>
    <w:locked/>
    <w:rsid w:val="00BC73BF"/>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BC73BF"/>
    <w:pPr>
      <w:ind w:left="288" w:right="288"/>
    </w:pPr>
    <w:rPr>
      <w:rFonts w:eastAsia="Times New Roman"/>
      <w:lang w:val="x-none" w:eastAsia="x-none"/>
    </w:rPr>
  </w:style>
  <w:style w:type="paragraph" w:styleId="ListParagraph">
    <w:name w:val="List Paragraph"/>
    <w:basedOn w:val="Normal"/>
    <w:uiPriority w:val="34"/>
    <w:qFormat/>
    <w:rsid w:val="00BC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ritzlaw.osu.edu/students/groups/oslj/files/2012/03/66.5.murphy.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17</Pages>
  <Words>9978</Words>
  <Characters>56878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2013-10-12T01:29:00Z</dcterms:created>
  <dcterms:modified xsi:type="dcterms:W3CDTF">2013-10-12T01:33:00Z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