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8C" w:rsidRPr="009C708C" w:rsidRDefault="009C708C" w:rsidP="009C708C">
      <w:pPr>
        <w:keepNext/>
        <w:keepLines/>
        <w:pageBreakBefore/>
        <w:spacing w:before="200"/>
        <w:jc w:val="center"/>
        <w:outlineLvl w:val="2"/>
        <w:rPr>
          <w:rFonts w:eastAsiaTheme="majorEastAsia" w:cstheme="majorBidi"/>
          <w:b/>
          <w:bCs/>
          <w:sz w:val="32"/>
          <w:u w:val="single"/>
        </w:rPr>
      </w:pPr>
      <w:bookmarkStart w:id="0" w:name="_GoBack"/>
      <w:bookmarkEnd w:id="0"/>
      <w:r w:rsidRPr="009C708C">
        <w:rPr>
          <w:rFonts w:eastAsiaTheme="majorEastAsia" w:cstheme="majorBidi"/>
          <w:b/>
          <w:bCs/>
          <w:sz w:val="32"/>
          <w:u w:val="single"/>
        </w:rPr>
        <w:t>Contention 1</w:t>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t xml:space="preserve">1. US exceptionalism creates homonationalism, where even queer bodies are included in the patriotic order as long as they conform to traditional practices of citizenship – unstable sexualities are projected outwards on the </w:t>
      </w:r>
      <w:proofErr w:type="gramStart"/>
      <w:r w:rsidRPr="009C708C">
        <w:rPr>
          <w:rFonts w:eastAsiaTheme="majorEastAsia" w:cstheme="majorBidi"/>
          <w:b/>
          <w:bCs/>
          <w:iCs/>
          <w:sz w:val="26"/>
        </w:rPr>
        <w:t>Other</w:t>
      </w:r>
      <w:proofErr w:type="gramEnd"/>
      <w:r w:rsidRPr="009C708C">
        <w:rPr>
          <w:rFonts w:eastAsiaTheme="majorEastAsia" w:cstheme="majorBidi"/>
          <w:b/>
          <w:bCs/>
          <w:iCs/>
          <w:sz w:val="26"/>
        </w:rPr>
        <w:t>, creating our flawed and sexualized understanding of the Terrorist.</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b/>
          <w:bCs/>
          <w:u w:val="single"/>
        </w:rPr>
      </w:pPr>
      <w:r w:rsidRPr="009C708C">
        <w:rPr>
          <w:rFonts w:cs="Calibri"/>
          <w:b/>
          <w:bCs/>
          <w:u w:val="single"/>
        </w:rPr>
        <w:t xml:space="preserve">Hate crimes against </w:t>
      </w:r>
      <w:r>
        <w:rPr>
          <w:rFonts w:cs="Calibri"/>
          <w:b/>
          <w:bCs/>
          <w:u w:val="single"/>
        </w:rPr>
        <w:t>…</w:t>
      </w:r>
      <w:r w:rsidRPr="009C708C">
        <w:rPr>
          <w:rFonts w:cs="Calibri"/>
          <w:b/>
          <w:bCs/>
          <w:u w:val="single"/>
        </w:rPr>
        <w:t xml:space="preserve"> with one another.</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2. Terrorism discourse is rooted in Western psychology and cultural analysis that emphasizes the sexual and familial flaws of the terrorist mind – by asserting a logic of failed heterosexuality, both the terrorist and the queer are placed outside citizenship</w:t>
      </w:r>
    </w:p>
    <w:p w:rsidR="009C708C" w:rsidRPr="009C708C" w:rsidRDefault="009C708C" w:rsidP="009C708C">
      <w:pPr>
        <w:rPr>
          <w:rFonts w:cs="Calibri"/>
        </w:rPr>
      </w:pPr>
      <w:r w:rsidRPr="009C708C">
        <w:rPr>
          <w:rFonts w:cs="Calibri"/>
          <w:b/>
          <w:bCs/>
          <w:sz w:val="26"/>
        </w:rPr>
        <w:t>Puar and Rai 2002</w:t>
      </w:r>
      <w:r w:rsidRPr="009C708C">
        <w:rPr>
          <w:rFonts w:cs="Calibri"/>
        </w:rPr>
        <w:t xml:space="preserve"> (</w:t>
      </w:r>
      <w:proofErr w:type="spellStart"/>
      <w:r w:rsidRPr="009C708C">
        <w:rPr>
          <w:rFonts w:cs="Calibri"/>
        </w:rPr>
        <w:t>Jasbir</w:t>
      </w:r>
      <w:proofErr w:type="spellEnd"/>
      <w:r w:rsidRPr="009C708C">
        <w:rPr>
          <w:rFonts w:cs="Calibri"/>
        </w:rPr>
        <w:t xml:space="preserve">, Associate Professor at Rutgers University, and </w:t>
      </w:r>
      <w:proofErr w:type="spellStart"/>
      <w:r w:rsidRPr="009C708C">
        <w:rPr>
          <w:rFonts w:cs="Calibri"/>
        </w:rPr>
        <w:t>Amit</w:t>
      </w:r>
      <w:proofErr w:type="spellEnd"/>
      <w:r w:rsidRPr="009C708C">
        <w:rPr>
          <w:rFonts w:cs="Calibri"/>
        </w:rPr>
        <w:t xml:space="preserve">, Associate Professor at Stanford University, “Monster, Terrorist, </w:t>
      </w:r>
      <w:proofErr w:type="gramStart"/>
      <w:r w:rsidRPr="009C708C">
        <w:rPr>
          <w:rFonts w:cs="Calibri"/>
        </w:rPr>
        <w:t>Fag</w:t>
      </w:r>
      <w:proofErr w:type="gramEnd"/>
      <w:r w:rsidRPr="009C708C">
        <w:rPr>
          <w:rFonts w:cs="Calibri"/>
        </w:rPr>
        <w:t xml:space="preserve">: The War on Terrorism and the Production of Docile Patriots”. </w:t>
      </w:r>
      <w:proofErr w:type="gramStart"/>
      <w:r w:rsidRPr="009C708C">
        <w:rPr>
          <w:rFonts w:cs="Calibri"/>
          <w:i/>
        </w:rPr>
        <w:t>Social Text</w:t>
      </w:r>
      <w:r w:rsidRPr="009C708C">
        <w:rPr>
          <w:rFonts w:cs="Calibri"/>
        </w:rPr>
        <w:t>, 72.</w:t>
      </w:r>
      <w:proofErr w:type="gramEnd"/>
      <w:r w:rsidRPr="009C708C">
        <w:rPr>
          <w:rFonts w:cs="Calibri"/>
        </w:rPr>
        <w:t xml:space="preserve"> </w:t>
      </w:r>
      <w:proofErr w:type="gramStart"/>
      <w:r w:rsidRPr="009C708C">
        <w:rPr>
          <w:rFonts w:cs="Calibri"/>
        </w:rPr>
        <w:t>Vol. 20, No. 3.</w:t>
      </w:r>
      <w:proofErr w:type="gramEnd"/>
      <w:r w:rsidRPr="009C708C">
        <w:rPr>
          <w:rFonts w:cs="Calibri"/>
        </w:rPr>
        <w:t xml:space="preserve"> </w:t>
      </w:r>
      <w:proofErr w:type="gramStart"/>
      <w:r w:rsidRPr="009C708C">
        <w:rPr>
          <w:rFonts w:cs="Calibri"/>
        </w:rPr>
        <w:t>Fall 2002.</w:t>
      </w:r>
      <w:proofErr w:type="gramEnd"/>
      <w:r w:rsidRPr="009C708C">
        <w:rPr>
          <w:rFonts w:cs="Calibri"/>
        </w:rPr>
        <w:t xml:space="preserve"> pp. 122-125) [nagel]</w:t>
      </w:r>
    </w:p>
    <w:p w:rsidR="009C708C" w:rsidRPr="009C708C" w:rsidRDefault="009C708C" w:rsidP="009C708C">
      <w:pPr>
        <w:rPr>
          <w:rFonts w:cs="Calibri"/>
          <w:sz w:val="16"/>
        </w:rPr>
      </w:pPr>
      <w:r w:rsidRPr="009C708C">
        <w:rPr>
          <w:rFonts w:cs="Calibri"/>
          <w:b/>
          <w:bCs/>
          <w:highlight w:val="cyan"/>
          <w:u w:val="single"/>
        </w:rPr>
        <w:t>Counterterrorism is</w:t>
      </w:r>
      <w:r w:rsidRPr="009C708C">
        <w:rPr>
          <w:rFonts w:cs="Calibri"/>
          <w:b/>
          <w:bCs/>
          <w:u w:val="single"/>
        </w:rPr>
        <w:t xml:space="preserve"> a form </w:t>
      </w:r>
      <w:r>
        <w:rPr>
          <w:rFonts w:cs="Calibri"/>
          <w:b/>
          <w:bCs/>
          <w:u w:val="single"/>
        </w:rPr>
        <w:t>…</w:t>
      </w:r>
      <w:r w:rsidRPr="009C708C">
        <w:rPr>
          <w:rFonts w:cs="Calibri"/>
          <w:sz w:val="16"/>
        </w:rPr>
        <w:t xml:space="preserve"> rituals of heteronormativity.</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3. US imperialism is rooted in asserted universality to interpolate the outside and reinforce heteronormative practices, even by traditional queer movements – this creates zones of exception that justify continued violence against the </w:t>
      </w:r>
      <w:proofErr w:type="gramStart"/>
      <w:r w:rsidRPr="009C708C">
        <w:rPr>
          <w:rFonts w:eastAsiaTheme="majorEastAsia" w:cstheme="majorBidi"/>
          <w:b/>
          <w:bCs/>
          <w:iCs/>
          <w:sz w:val="26"/>
        </w:rPr>
        <w:t>Other</w:t>
      </w:r>
      <w:proofErr w:type="gramEnd"/>
      <w:r w:rsidRPr="009C708C">
        <w:rPr>
          <w:rFonts w:eastAsiaTheme="majorEastAsia" w:cstheme="majorBidi"/>
          <w:b/>
          <w:bCs/>
          <w:iCs/>
          <w:sz w:val="26"/>
        </w:rPr>
        <w:t>.</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sz w:val="16"/>
        </w:rPr>
      </w:pPr>
      <w:proofErr w:type="gramStart"/>
      <w:r w:rsidRPr="009C708C">
        <w:rPr>
          <w:rFonts w:cs="Calibri"/>
          <w:sz w:val="16"/>
        </w:rPr>
        <w:t xml:space="preserve">Reflecting upon contemporary </w:t>
      </w:r>
      <w:r>
        <w:rPr>
          <w:rFonts w:cs="Calibri"/>
          <w:sz w:val="16"/>
        </w:rPr>
        <w:t>…</w:t>
      </w:r>
      <w:r w:rsidRPr="009C708C">
        <w:rPr>
          <w:rFonts w:cs="Calibri"/>
          <w:b/>
          <w:iCs/>
          <w:u w:val="single"/>
        </w:rPr>
        <w:t xml:space="preserve"> and sexual acts.</w:t>
      </w:r>
      <w:proofErr w:type="gramEnd"/>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4. Detention and associated practices of torture are rooted in the idea of queer otherness, where certain sex acts are seen to be unnatural and befitting for the sexualized Muslim to experience because of their placement outside of US citizenship exceptionalism</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sz w:val="16"/>
        </w:rPr>
      </w:pPr>
      <w:proofErr w:type="gramStart"/>
      <w:r w:rsidRPr="009C708C">
        <w:rPr>
          <w:rFonts w:cs="Calibri"/>
          <w:b/>
          <w:bCs/>
          <w:u w:val="single"/>
        </w:rPr>
        <w:t>The torture</w:t>
      </w:r>
      <w:r w:rsidRPr="009C708C">
        <w:rPr>
          <w:rFonts w:cs="Calibri"/>
          <w:sz w:val="16"/>
        </w:rPr>
        <w:t xml:space="preserve"> of </w:t>
      </w:r>
      <w:r>
        <w:rPr>
          <w:rFonts w:cs="Calibri"/>
          <w:sz w:val="16"/>
        </w:rPr>
        <w:t>…</w:t>
      </w:r>
      <w:r w:rsidRPr="009C708C">
        <w:rPr>
          <w:rFonts w:cs="Calibri"/>
          <w:b/>
          <w:bCs/>
          <w:u w:val="single"/>
        </w:rPr>
        <w:t xml:space="preserve"> torture’s corporeal potency</w:t>
      </w:r>
      <w:r w:rsidRPr="009C708C">
        <w:rPr>
          <w:rFonts w:cs="Calibri"/>
          <w:sz w:val="16"/>
        </w:rPr>
        <w:t>.</w:t>
      </w:r>
      <w:proofErr w:type="gramEnd"/>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5. </w:t>
      </w:r>
      <w:proofErr w:type="gramStart"/>
      <w:r w:rsidRPr="009C708C">
        <w:rPr>
          <w:rFonts w:eastAsiaTheme="majorEastAsia" w:cstheme="majorBidi"/>
          <w:b/>
          <w:bCs/>
          <w:iCs/>
          <w:sz w:val="26"/>
        </w:rPr>
        <w:t>Indefinite</w:t>
      </w:r>
      <w:proofErr w:type="gramEnd"/>
      <w:r w:rsidRPr="009C708C">
        <w:rPr>
          <w:rFonts w:eastAsiaTheme="majorEastAsia" w:cstheme="majorBidi"/>
          <w:b/>
          <w:bCs/>
          <w:iCs/>
          <w:sz w:val="26"/>
        </w:rPr>
        <w:t xml:space="preserve"> detention is rooted in heteronormative formations of sex, gender, and family – this respatialization creates the ultimate violence against the non-citizen</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b/>
          <w:bCs/>
          <w:u w:val="single"/>
        </w:rPr>
      </w:pPr>
      <w:r w:rsidRPr="009C708C">
        <w:rPr>
          <w:rFonts w:cs="Calibri"/>
          <w:sz w:val="16"/>
        </w:rPr>
        <w:t xml:space="preserve">Second, the </w:t>
      </w:r>
      <w:proofErr w:type="spellStart"/>
      <w:proofErr w:type="gramStart"/>
      <w:r w:rsidRPr="009C708C">
        <w:rPr>
          <w:rFonts w:cs="Calibri"/>
          <w:sz w:val="16"/>
        </w:rPr>
        <w:t>Aclu</w:t>
      </w:r>
      <w:proofErr w:type="spellEnd"/>
      <w:proofErr w:type="gramEnd"/>
      <w:r w:rsidRPr="009C708C">
        <w:rPr>
          <w:rFonts w:cs="Calibri"/>
          <w:sz w:val="16"/>
        </w:rPr>
        <w:t xml:space="preserve"> </w:t>
      </w:r>
      <w:r>
        <w:rPr>
          <w:rFonts w:cs="Calibri"/>
          <w:sz w:val="16"/>
        </w:rPr>
        <w:t>…</w:t>
      </w:r>
      <w:r w:rsidRPr="009C708C">
        <w:rPr>
          <w:rFonts w:cs="Calibri"/>
          <w:b/>
          <w:bCs/>
          <w:highlight w:val="cyan"/>
          <w:u w:val="single"/>
        </w:rPr>
        <w:t xml:space="preserve"> are biopolitical comrades</w:t>
      </w:r>
      <w:r w:rsidRPr="009C708C">
        <w:rPr>
          <w:rFonts w:cs="Calibri"/>
          <w:b/>
          <w:bCs/>
          <w:u w:val="single"/>
        </w:rPr>
        <w:t>.</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6. The presidency and his war powers are viewed through a lens of </w:t>
      </w:r>
      <w:proofErr w:type="spellStart"/>
      <w:r w:rsidRPr="009C708C">
        <w:rPr>
          <w:rFonts w:eastAsiaTheme="majorEastAsia" w:cstheme="majorBidi"/>
          <w:b/>
          <w:bCs/>
          <w:iCs/>
          <w:sz w:val="26"/>
        </w:rPr>
        <w:t>hypermasculinity</w:t>
      </w:r>
      <w:proofErr w:type="spellEnd"/>
      <w:r w:rsidRPr="009C708C">
        <w:rPr>
          <w:rFonts w:eastAsiaTheme="majorEastAsia" w:cstheme="majorBidi"/>
          <w:b/>
          <w:bCs/>
          <w:iCs/>
          <w:sz w:val="26"/>
        </w:rPr>
        <w:t xml:space="preserve"> where emotion is perceived as weak and feminine – this reification of ‘warrior logic’ justifies creating an exceptional Other and is the root of War on Terror policymaking</w:t>
      </w:r>
    </w:p>
    <w:p w:rsidR="009C708C" w:rsidRPr="009C708C" w:rsidRDefault="009C708C" w:rsidP="009C708C">
      <w:pPr>
        <w:rPr>
          <w:rFonts w:cs="Calibri"/>
        </w:rPr>
      </w:pPr>
      <w:proofErr w:type="spellStart"/>
      <w:r w:rsidRPr="009C708C">
        <w:rPr>
          <w:rFonts w:cs="Calibri"/>
          <w:b/>
          <w:bCs/>
          <w:sz w:val="26"/>
        </w:rPr>
        <w:t>Athanassiou</w:t>
      </w:r>
      <w:proofErr w:type="spellEnd"/>
      <w:r w:rsidRPr="009C708C">
        <w:rPr>
          <w:rFonts w:cs="Calibri"/>
          <w:b/>
          <w:bCs/>
          <w:sz w:val="26"/>
        </w:rPr>
        <w:t xml:space="preserve"> 2012</w:t>
      </w:r>
      <w:r w:rsidRPr="009C708C">
        <w:rPr>
          <w:rFonts w:cs="Calibri"/>
        </w:rPr>
        <w:t xml:space="preserve"> [</w:t>
      </w:r>
      <w:proofErr w:type="spellStart"/>
      <w:r w:rsidRPr="009C708C">
        <w:rPr>
          <w:rFonts w:cs="Calibri"/>
        </w:rPr>
        <w:t>Cerelia</w:t>
      </w:r>
      <w:proofErr w:type="spellEnd"/>
      <w:r w:rsidRPr="009C708C">
        <w:rPr>
          <w:rFonts w:cs="Calibri"/>
        </w:rPr>
        <w:t xml:space="preserve">, PhD candidate at the School of Sociology, Politics and International Studies (SPAIS) at the University of Bristol, ‘Gutsy’ Decisions and Passive Processes, International Feminist Journal of Politics, 2012 </w:t>
      </w:r>
      <w:proofErr w:type="spellStart"/>
      <w:r w:rsidRPr="009C708C">
        <w:rPr>
          <w:rFonts w:cs="Calibri"/>
        </w:rPr>
        <w:t>iFirst</w:t>
      </w:r>
      <w:proofErr w:type="spellEnd"/>
      <w:r w:rsidRPr="009C708C">
        <w:rPr>
          <w:rFonts w:cs="Calibri"/>
        </w:rPr>
        <w:t xml:space="preserve"> article, 1–20] </w:t>
      </w:r>
      <w:proofErr w:type="spellStart"/>
      <w:r w:rsidRPr="009C708C">
        <w:rPr>
          <w:rFonts w:cs="Calibri"/>
        </w:rPr>
        <w:t>Awirth</w:t>
      </w:r>
      <w:proofErr w:type="spellEnd"/>
    </w:p>
    <w:p w:rsidR="009C708C" w:rsidRPr="009C708C" w:rsidRDefault="009C708C" w:rsidP="009C708C">
      <w:pPr>
        <w:rPr>
          <w:rFonts w:cs="Calibri"/>
          <w:b/>
          <w:bCs/>
          <w:u w:val="single"/>
        </w:rPr>
      </w:pPr>
      <w:proofErr w:type="gramStart"/>
      <w:r w:rsidRPr="009C708C">
        <w:rPr>
          <w:rFonts w:cs="Calibri"/>
          <w:b/>
          <w:bCs/>
          <w:u w:val="single"/>
        </w:rPr>
        <w:t xml:space="preserve">The decision </w:t>
      </w:r>
      <w:r w:rsidRPr="009C708C">
        <w:rPr>
          <w:rFonts w:cs="Calibri"/>
          <w:b/>
          <w:bCs/>
          <w:highlight w:val="cyan"/>
          <w:u w:val="single"/>
        </w:rPr>
        <w:t xml:space="preserve">to </w:t>
      </w:r>
      <w:r>
        <w:rPr>
          <w:rFonts w:cs="Calibri"/>
          <w:b/>
          <w:bCs/>
          <w:u w:val="single"/>
        </w:rPr>
        <w:t>…</w:t>
      </w:r>
      <w:r w:rsidRPr="009C708C">
        <w:rPr>
          <w:rFonts w:cs="Calibri"/>
          <w:b/>
          <w:bCs/>
          <w:u w:val="single"/>
        </w:rPr>
        <w:t xml:space="preserve"> ‘exceptionalism’ of security.</w:t>
      </w:r>
      <w:proofErr w:type="gramEnd"/>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7. The hyper-</w:t>
      </w:r>
      <w:proofErr w:type="spellStart"/>
      <w:r w:rsidRPr="009C708C">
        <w:rPr>
          <w:rFonts w:eastAsiaTheme="majorEastAsia" w:cstheme="majorBidi"/>
          <w:b/>
          <w:bCs/>
          <w:iCs/>
          <w:sz w:val="26"/>
        </w:rPr>
        <w:t>masculinization</w:t>
      </w:r>
      <w:proofErr w:type="spellEnd"/>
      <w:r w:rsidRPr="009C708C">
        <w:rPr>
          <w:rFonts w:eastAsiaTheme="majorEastAsia" w:cstheme="majorBidi"/>
          <w:b/>
          <w:bCs/>
          <w:iCs/>
          <w:sz w:val="26"/>
        </w:rPr>
        <w:t xml:space="preserve"> of the president frames the War on Terror in absolutist aggression that is the root of indefinite detention and torture – creates a frame of exceptionalism that allows infinite violence against the </w:t>
      </w:r>
      <w:proofErr w:type="gramStart"/>
      <w:r w:rsidRPr="009C708C">
        <w:rPr>
          <w:rFonts w:eastAsiaTheme="majorEastAsia" w:cstheme="majorBidi"/>
          <w:b/>
          <w:bCs/>
          <w:iCs/>
          <w:sz w:val="26"/>
        </w:rPr>
        <w:t>Other</w:t>
      </w:r>
      <w:proofErr w:type="gramEnd"/>
    </w:p>
    <w:p w:rsidR="009C708C" w:rsidRPr="009C708C" w:rsidRDefault="009C708C" w:rsidP="009C708C">
      <w:pPr>
        <w:rPr>
          <w:rFonts w:cs="Calibri"/>
        </w:rPr>
      </w:pPr>
      <w:proofErr w:type="spellStart"/>
      <w:r w:rsidRPr="009C708C">
        <w:rPr>
          <w:rFonts w:cs="Calibri"/>
          <w:b/>
          <w:bCs/>
          <w:sz w:val="26"/>
        </w:rPr>
        <w:t>Athanassiou</w:t>
      </w:r>
      <w:proofErr w:type="spellEnd"/>
      <w:r w:rsidRPr="009C708C">
        <w:rPr>
          <w:rFonts w:cs="Calibri"/>
          <w:b/>
          <w:bCs/>
          <w:sz w:val="26"/>
        </w:rPr>
        <w:t xml:space="preserve"> 2012</w:t>
      </w:r>
      <w:r w:rsidRPr="009C708C">
        <w:rPr>
          <w:rFonts w:cs="Calibri"/>
        </w:rPr>
        <w:t xml:space="preserve"> [</w:t>
      </w:r>
      <w:proofErr w:type="spellStart"/>
      <w:r w:rsidRPr="009C708C">
        <w:rPr>
          <w:rFonts w:cs="Calibri"/>
        </w:rPr>
        <w:t>Cerelia</w:t>
      </w:r>
      <w:proofErr w:type="spellEnd"/>
      <w:r w:rsidRPr="009C708C">
        <w:rPr>
          <w:rFonts w:cs="Calibri"/>
        </w:rPr>
        <w:t xml:space="preserve">, PhD candidate at the School of Sociology, Politics and International Studies (SPAIS) at the University of Bristol, ‘Gutsy’ Decisions and Passive Processes, International Feminist Journal of Politics, 2012 </w:t>
      </w:r>
      <w:proofErr w:type="spellStart"/>
      <w:r w:rsidRPr="009C708C">
        <w:rPr>
          <w:rFonts w:cs="Calibri"/>
        </w:rPr>
        <w:t>iFirst</w:t>
      </w:r>
      <w:proofErr w:type="spellEnd"/>
      <w:r w:rsidRPr="009C708C">
        <w:rPr>
          <w:rFonts w:cs="Calibri"/>
        </w:rPr>
        <w:t xml:space="preserve"> article, 1–20] </w:t>
      </w:r>
      <w:proofErr w:type="spellStart"/>
      <w:r w:rsidRPr="009C708C">
        <w:rPr>
          <w:rFonts w:cs="Calibri"/>
        </w:rPr>
        <w:t>Awirth</w:t>
      </w:r>
      <w:proofErr w:type="spellEnd"/>
      <w:r w:rsidRPr="009C708C">
        <w:rPr>
          <w:rFonts w:cs="Calibri"/>
        </w:rPr>
        <w:t xml:space="preserve"> We disagree with the gendered language used.</w:t>
      </w:r>
    </w:p>
    <w:p w:rsidR="009C708C" w:rsidRPr="009C708C" w:rsidRDefault="009C708C" w:rsidP="009C708C">
      <w:pPr>
        <w:rPr>
          <w:rFonts w:cs="Calibri"/>
          <w:b/>
          <w:bCs/>
          <w:u w:val="single"/>
        </w:rPr>
      </w:pPr>
      <w:r w:rsidRPr="009C708C">
        <w:rPr>
          <w:rFonts w:cs="Calibri"/>
          <w:sz w:val="16"/>
        </w:rPr>
        <w:t xml:space="preserve">The GWOT </w:t>
      </w:r>
      <w:proofErr w:type="gramStart"/>
      <w:r w:rsidRPr="009C708C">
        <w:rPr>
          <w:rFonts w:cs="Calibri"/>
          <w:sz w:val="16"/>
        </w:rPr>
        <w:t xml:space="preserve">represents, </w:t>
      </w:r>
      <w:r>
        <w:rPr>
          <w:rFonts w:cs="Calibri"/>
          <w:sz w:val="16"/>
        </w:rPr>
        <w:t>…</w:t>
      </w:r>
      <w:proofErr w:type="gramEnd"/>
      <w:r w:rsidRPr="009C708C">
        <w:rPr>
          <w:rFonts w:cs="Calibri"/>
          <w:b/>
          <w:bCs/>
          <w:u w:val="single"/>
        </w:rPr>
        <w:t xml:space="preserve"> and militarized ‘exceptional’.</w:t>
      </w:r>
      <w:r w:rsidRPr="009C708C">
        <w:rPr>
          <w:rFonts w:cs="Calibri"/>
        </w:rPr>
        <w:br w:type="page"/>
      </w:r>
    </w:p>
    <w:p w:rsidR="009C708C" w:rsidRPr="009C708C" w:rsidRDefault="009C708C" w:rsidP="009C708C">
      <w:pPr>
        <w:spacing w:after="200" w:line="276" w:lineRule="auto"/>
        <w:rPr>
          <w:rFonts w:eastAsiaTheme="majorEastAsia" w:cstheme="majorBidi"/>
          <w:b/>
          <w:bCs/>
          <w:sz w:val="32"/>
          <w:u w:val="single"/>
        </w:rPr>
      </w:pPr>
      <w:r w:rsidRPr="009C708C">
        <w:rPr>
          <w:rFonts w:cs="Calibri"/>
        </w:rPr>
        <w:lastRenderedPageBreak/>
        <w:br w:type="page"/>
      </w:r>
    </w:p>
    <w:p w:rsidR="009C708C" w:rsidRPr="009C708C" w:rsidRDefault="009C708C" w:rsidP="009C708C">
      <w:pPr>
        <w:keepNext/>
        <w:keepLines/>
        <w:pageBreakBefore/>
        <w:spacing w:before="200"/>
        <w:jc w:val="center"/>
        <w:outlineLvl w:val="2"/>
        <w:rPr>
          <w:rFonts w:eastAsiaTheme="majorEastAsia" w:cstheme="majorBidi"/>
          <w:b/>
          <w:bCs/>
          <w:sz w:val="32"/>
          <w:u w:val="single"/>
        </w:rPr>
      </w:pPr>
      <w:r w:rsidRPr="009C708C">
        <w:rPr>
          <w:rFonts w:eastAsiaTheme="majorEastAsia" w:cstheme="majorBidi"/>
          <w:b/>
          <w:bCs/>
          <w:sz w:val="32"/>
          <w:u w:val="single"/>
        </w:rPr>
        <w:lastRenderedPageBreak/>
        <w:t>Advocacy Statement</w:t>
      </w:r>
    </w:p>
    <w:p w:rsidR="009C708C" w:rsidRPr="009C708C" w:rsidRDefault="009C708C" w:rsidP="009C708C">
      <w:pPr>
        <w:keepNext/>
        <w:keepLines/>
        <w:spacing w:before="200"/>
        <w:outlineLvl w:val="3"/>
        <w:rPr>
          <w:rFonts w:eastAsiaTheme="majorEastAsia" w:cstheme="majorBidi"/>
          <w:b/>
          <w:bCs/>
          <w:iCs/>
          <w:sz w:val="26"/>
          <w:shd w:val="clear" w:color="auto" w:fill="FFFFFF"/>
        </w:rPr>
      </w:pPr>
      <w:r w:rsidRPr="009C708C">
        <w:rPr>
          <w:rFonts w:eastAsiaTheme="majorEastAsia" w:cstheme="majorBidi"/>
          <w:b/>
          <w:bCs/>
          <w:iCs/>
          <w:sz w:val="26"/>
        </w:rPr>
        <w:t>Andrew and I contend</w:t>
      </w:r>
      <w:r w:rsidRPr="009C708C">
        <w:rPr>
          <w:rFonts w:eastAsiaTheme="majorEastAsia" w:cstheme="majorBidi"/>
          <w:b/>
          <w:bCs/>
          <w:iCs/>
          <w:sz w:val="26"/>
          <w:shd w:val="clear" w:color="auto" w:fill="FFFFFF"/>
        </w:rPr>
        <w:t xml:space="preserve"> that we should substantially increase restrictions on the war powers authority of the President of the United States in the area of indefinite detention using assemblages to critique identities that detain the terrorist.</w:t>
      </w:r>
    </w:p>
    <w:p w:rsidR="009C708C" w:rsidRPr="009C708C" w:rsidRDefault="009C708C" w:rsidP="009C708C">
      <w:pPr>
        <w:spacing w:after="200" w:line="276" w:lineRule="auto"/>
        <w:rPr>
          <w:rFonts w:eastAsiaTheme="majorEastAsia" w:cstheme="majorBidi"/>
          <w:b/>
          <w:bCs/>
          <w:sz w:val="32"/>
          <w:u w:val="single"/>
        </w:rPr>
      </w:pPr>
      <w:r w:rsidRPr="009C708C">
        <w:rPr>
          <w:rFonts w:cs="Calibri"/>
        </w:rPr>
        <w:br w:type="page"/>
      </w:r>
    </w:p>
    <w:p w:rsidR="009C708C" w:rsidRPr="009C708C" w:rsidRDefault="009C708C" w:rsidP="009C708C">
      <w:pPr>
        <w:keepNext/>
        <w:keepLines/>
        <w:pageBreakBefore/>
        <w:spacing w:before="200"/>
        <w:jc w:val="center"/>
        <w:outlineLvl w:val="2"/>
        <w:rPr>
          <w:rFonts w:eastAsiaTheme="majorEastAsia" w:cstheme="majorBidi"/>
          <w:b/>
          <w:bCs/>
          <w:sz w:val="32"/>
          <w:u w:val="single"/>
        </w:rPr>
      </w:pPr>
      <w:r w:rsidRPr="009C708C">
        <w:rPr>
          <w:rFonts w:eastAsiaTheme="majorEastAsia" w:cstheme="majorBidi"/>
          <w:b/>
          <w:bCs/>
          <w:sz w:val="32"/>
          <w:u w:val="single"/>
        </w:rPr>
        <w:lastRenderedPageBreak/>
        <w:t>Contention 2</w:t>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t>1. Our advocacy doesn’t reject that terrorists exists, but questions why we use identity to establish them –</w:t>
      </w:r>
      <w:proofErr w:type="gramStart"/>
      <w:r w:rsidRPr="009C708C">
        <w:rPr>
          <w:rFonts w:eastAsiaTheme="majorEastAsia" w:cstheme="majorBidi"/>
          <w:b/>
          <w:bCs/>
          <w:iCs/>
          <w:sz w:val="26"/>
        </w:rPr>
        <w:t>assemblages</w:t>
      </w:r>
      <w:proofErr w:type="gramEnd"/>
      <w:r w:rsidRPr="009C708C">
        <w:rPr>
          <w:rFonts w:eastAsiaTheme="majorEastAsia" w:cstheme="majorBidi"/>
          <w:b/>
          <w:bCs/>
          <w:iCs/>
          <w:sz w:val="26"/>
        </w:rPr>
        <w:t xml:space="preserve"> shifts construction from visual towards affect. </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sz w:val="16"/>
        </w:rPr>
      </w:pPr>
      <w:proofErr w:type="gramStart"/>
      <w:r w:rsidRPr="009C708C">
        <w:rPr>
          <w:rFonts w:cs="Calibri"/>
          <w:sz w:val="16"/>
        </w:rPr>
        <w:t xml:space="preserve">Trapped by precisely </w:t>
      </w:r>
      <w:r>
        <w:rPr>
          <w:rFonts w:cs="Calibri"/>
          <w:sz w:val="16"/>
        </w:rPr>
        <w:t>…</w:t>
      </w:r>
      <w:r w:rsidRPr="009C708C">
        <w:rPr>
          <w:rFonts w:cs="Calibri"/>
          <w:sz w:val="16"/>
        </w:rPr>
        <w:t xml:space="preserve"> capacity for capacity.</w:t>
      </w:r>
      <w:proofErr w:type="gramEnd"/>
    </w:p>
    <w:p w:rsidR="009C708C" w:rsidRPr="009C708C" w:rsidRDefault="009C708C" w:rsidP="009C708C">
      <w:pPr>
        <w:rPr>
          <w:rFonts w:cs="Calibri"/>
          <w:sz w:val="16"/>
        </w:rPr>
      </w:pP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t xml:space="preserve">2. Current modes of </w:t>
      </w:r>
      <w:proofErr w:type="spellStart"/>
      <w:r w:rsidRPr="009C708C">
        <w:rPr>
          <w:rFonts w:eastAsiaTheme="majorEastAsia" w:cstheme="majorBidi"/>
          <w:b/>
          <w:bCs/>
          <w:iCs/>
          <w:sz w:val="26"/>
        </w:rPr>
        <w:t>intersectionality</w:t>
      </w:r>
      <w:proofErr w:type="spellEnd"/>
      <w:r w:rsidRPr="009C708C">
        <w:rPr>
          <w:rFonts w:eastAsiaTheme="majorEastAsia" w:cstheme="majorBidi"/>
          <w:b/>
          <w:bCs/>
          <w:iCs/>
          <w:sz w:val="26"/>
        </w:rPr>
        <w:t xml:space="preserve"> analysis privilege naming and knowing identity, our endorsement of assemblages unhooks current identity to allow for a politics of becoming.</w:t>
      </w:r>
    </w:p>
    <w:p w:rsidR="009C708C" w:rsidRPr="009C708C" w:rsidRDefault="009C708C" w:rsidP="009C708C">
      <w:pPr>
        <w:rPr>
          <w:rFonts w:cs="Calibri"/>
          <w:b/>
          <w:bCs/>
          <w:u w:val="single"/>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w:t>
      </w:r>
    </w:p>
    <w:p w:rsidR="009C708C" w:rsidRPr="009C708C" w:rsidRDefault="009C708C" w:rsidP="009C708C">
      <w:pPr>
        <w:rPr>
          <w:rFonts w:cs="Calibri"/>
          <w:sz w:val="16"/>
        </w:rPr>
      </w:pPr>
      <w:r w:rsidRPr="009C708C">
        <w:rPr>
          <w:rFonts w:cs="Calibri"/>
          <w:b/>
          <w:bCs/>
          <w:u w:val="single"/>
        </w:rPr>
        <w:t xml:space="preserve">Identity is one </w:t>
      </w:r>
      <w:r>
        <w:rPr>
          <w:rFonts w:cs="Calibri"/>
          <w:b/>
          <w:bCs/>
          <w:u w:val="single"/>
        </w:rPr>
        <w:t>…</w:t>
      </w:r>
      <w:r w:rsidRPr="009C708C">
        <w:rPr>
          <w:rFonts w:cs="Calibri"/>
          <w:b/>
          <w:bCs/>
          <w:u w:val="single"/>
        </w:rPr>
        <w:t xml:space="preserve"> or </w:t>
      </w:r>
      <w:r w:rsidRPr="009C708C">
        <w:rPr>
          <w:rFonts w:cs="Calibri"/>
          <w:b/>
          <w:bCs/>
          <w:highlight w:val="cyan"/>
          <w:u w:val="single"/>
        </w:rPr>
        <w:t>without being</w:t>
      </w:r>
      <w:r w:rsidRPr="009C708C">
        <w:rPr>
          <w:rFonts w:cs="Calibri"/>
          <w:b/>
          <w:bCs/>
          <w:u w:val="single"/>
        </w:rPr>
        <w:t xml:space="preserve">. </w:t>
      </w:r>
      <w:r w:rsidRPr="009C708C">
        <w:rPr>
          <w:rFonts w:cs="Calibri"/>
          <w:sz w:val="16"/>
        </w:rPr>
        <w:t>32</w:t>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t xml:space="preserve">3. Working within current modes of resistance fail because they don’t call into question the taxonomies that establish difference. </w:t>
      </w:r>
    </w:p>
    <w:p w:rsidR="009C708C" w:rsidRPr="009C708C" w:rsidRDefault="009C708C" w:rsidP="009C708C">
      <w:pPr>
        <w:rPr>
          <w:rFonts w:cs="Calibri"/>
        </w:rPr>
      </w:pPr>
      <w:r w:rsidRPr="009C708C">
        <w:rPr>
          <w:rFonts w:cs="Calibri"/>
          <w:b/>
          <w:bCs/>
          <w:sz w:val="26"/>
        </w:rPr>
        <w:t>Puar 2007</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Terrorist Assemblages: Homonationalism in Queer Times] </w:t>
      </w:r>
      <w:proofErr w:type="spellStart"/>
      <w:r w:rsidRPr="009C708C">
        <w:rPr>
          <w:rFonts w:cs="Calibri"/>
        </w:rPr>
        <w:t>Awirth</w:t>
      </w:r>
      <w:proofErr w:type="spellEnd"/>
    </w:p>
    <w:p w:rsidR="009C708C" w:rsidRPr="009C708C" w:rsidRDefault="009C708C" w:rsidP="009C708C">
      <w:pPr>
        <w:rPr>
          <w:rFonts w:cs="Calibri"/>
          <w:b/>
          <w:bCs/>
          <w:u w:val="single"/>
        </w:rPr>
      </w:pPr>
      <w:proofErr w:type="gramStart"/>
      <w:r w:rsidRPr="009C708C">
        <w:rPr>
          <w:rFonts w:cs="Calibri"/>
          <w:sz w:val="16"/>
        </w:rPr>
        <w:t xml:space="preserve">Rey Chow, drawing on </w:t>
      </w:r>
      <w:r>
        <w:rPr>
          <w:rFonts w:cs="Calibri"/>
          <w:sz w:val="16"/>
        </w:rPr>
        <w:t>…</w:t>
      </w:r>
      <w:r w:rsidRPr="009C708C">
        <w:rPr>
          <w:rFonts w:cs="Calibri"/>
          <w:b/>
          <w:bCs/>
          <w:u w:val="single"/>
        </w:rPr>
        <w:t xml:space="preserve"> in transnational contexts.</w:t>
      </w:r>
      <w:proofErr w:type="gramEnd"/>
      <w:r w:rsidRPr="009C708C">
        <w:rPr>
          <w:rFonts w:cs="Calibri"/>
          <w:b/>
          <w:bCs/>
          <w:u w:val="single"/>
        </w:rPr>
        <w:t xml:space="preserve"> 59</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4. Other methods are not exclusive to our </w:t>
      </w:r>
      <w:proofErr w:type="spellStart"/>
      <w:r w:rsidRPr="009C708C">
        <w:rPr>
          <w:rFonts w:eastAsiaTheme="majorEastAsia" w:cstheme="majorBidi"/>
          <w:b/>
          <w:bCs/>
          <w:iCs/>
          <w:sz w:val="26"/>
        </w:rPr>
        <w:t>aff</w:t>
      </w:r>
      <w:proofErr w:type="spellEnd"/>
      <w:r w:rsidRPr="009C708C">
        <w:rPr>
          <w:rFonts w:eastAsiaTheme="majorEastAsia" w:cstheme="majorBidi"/>
          <w:b/>
          <w:bCs/>
          <w:iCs/>
          <w:sz w:val="26"/>
        </w:rPr>
        <w:t xml:space="preserve"> – assemblages allow for a new form resistance for all other struggles by making static intersections fluid</w:t>
      </w:r>
    </w:p>
    <w:p w:rsidR="009C708C" w:rsidRPr="009C708C" w:rsidRDefault="009C708C" w:rsidP="009C708C">
      <w:pPr>
        <w:rPr>
          <w:rFonts w:cs="Calibri"/>
        </w:rPr>
      </w:pPr>
      <w:r w:rsidRPr="009C708C">
        <w:rPr>
          <w:rFonts w:cs="Calibri"/>
          <w:b/>
          <w:bCs/>
          <w:sz w:val="26"/>
        </w:rPr>
        <w:t>Puar 12</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“I would rather be a cyborg than a goddess”: Becoming-Intersectional in Assemblage Theory, </w:t>
      </w:r>
      <w:proofErr w:type="spellStart"/>
      <w:r w:rsidRPr="009C708C">
        <w:rPr>
          <w:rFonts w:cs="Calibri"/>
        </w:rPr>
        <w:t>philoSOPHIA</w:t>
      </w:r>
      <w:proofErr w:type="spellEnd"/>
      <w:r w:rsidRPr="009C708C">
        <w:rPr>
          <w:rFonts w:cs="Calibri"/>
        </w:rPr>
        <w:t>, 2(1), 49-66.</w:t>
      </w:r>
    </w:p>
    <w:p w:rsidR="009C708C" w:rsidRPr="009C708C" w:rsidRDefault="009C708C" w:rsidP="009C708C">
      <w:pPr>
        <w:rPr>
          <w:rFonts w:cs="Calibri"/>
        </w:rPr>
      </w:pPr>
      <w:r w:rsidRPr="009C708C">
        <w:rPr>
          <w:rFonts w:cs="Calibri"/>
        </w:rPr>
        <w:t xml:space="preserve">Chicago, Project Muse] </w:t>
      </w:r>
      <w:proofErr w:type="spellStart"/>
      <w:r w:rsidRPr="009C708C">
        <w:rPr>
          <w:rFonts w:cs="Calibri"/>
        </w:rPr>
        <w:t>Awirth</w:t>
      </w:r>
      <w:proofErr w:type="spellEnd"/>
    </w:p>
    <w:p w:rsidR="009C708C" w:rsidRPr="009C708C" w:rsidRDefault="009C708C" w:rsidP="009C708C">
      <w:pPr>
        <w:rPr>
          <w:rFonts w:cs="Calibri"/>
          <w:sz w:val="16"/>
        </w:rPr>
      </w:pPr>
      <w:r w:rsidRPr="009C708C">
        <w:rPr>
          <w:rFonts w:cs="Calibri"/>
          <w:b/>
          <w:bCs/>
          <w:u w:val="single"/>
        </w:rPr>
        <w:t>“</w:t>
      </w:r>
      <w:r w:rsidRPr="009C708C">
        <w:rPr>
          <w:rFonts w:cs="Calibri"/>
          <w:b/>
          <w:bCs/>
          <w:highlight w:val="cyan"/>
          <w:u w:val="single"/>
        </w:rPr>
        <w:t>Assemblage</w:t>
      </w:r>
      <w:r w:rsidRPr="009C708C">
        <w:rPr>
          <w:rFonts w:cs="Calibri"/>
          <w:b/>
          <w:bCs/>
          <w:u w:val="single"/>
        </w:rPr>
        <w:t xml:space="preserve">” is actually </w:t>
      </w:r>
      <w:r>
        <w:rPr>
          <w:rFonts w:cs="Calibri"/>
          <w:b/>
          <w:bCs/>
          <w:u w:val="single"/>
        </w:rPr>
        <w:t>…</w:t>
      </w:r>
      <w:r w:rsidRPr="009C708C">
        <w:rPr>
          <w:rFonts w:cs="Calibri"/>
          <w:b/>
          <w:bCs/>
          <w:u w:val="single"/>
        </w:rPr>
        <w:t xml:space="preserve"> class struggle</w:t>
      </w:r>
      <w:r w:rsidRPr="009C708C">
        <w:rPr>
          <w:rFonts w:cs="Calibri"/>
          <w:sz w:val="16"/>
        </w:rPr>
        <w:t>. (Guattari 2009, 26)</w:t>
      </w:r>
      <w:r w:rsidRPr="009C708C">
        <w:rPr>
          <w:rFonts w:cs="Calibri"/>
        </w:rPr>
        <w:br w:type="page"/>
      </w:r>
    </w:p>
    <w:p w:rsidR="009C708C" w:rsidRPr="009C708C" w:rsidRDefault="009C708C" w:rsidP="009C708C">
      <w:pPr>
        <w:spacing w:after="200" w:line="276" w:lineRule="auto"/>
        <w:rPr>
          <w:rFonts w:eastAsiaTheme="majorEastAsia" w:cstheme="majorBidi"/>
          <w:b/>
          <w:bCs/>
          <w:iCs/>
          <w:sz w:val="26"/>
        </w:rPr>
      </w:pPr>
      <w:r w:rsidRPr="009C708C">
        <w:rPr>
          <w:rFonts w:cs="Calibri"/>
        </w:rPr>
        <w:lastRenderedPageBreak/>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5. Only assemblages solve – other methods of resistance become co-opted and controlled</w:t>
      </w:r>
    </w:p>
    <w:p w:rsidR="009C708C" w:rsidRPr="009C708C" w:rsidRDefault="009C708C" w:rsidP="009C708C">
      <w:pPr>
        <w:rPr>
          <w:rFonts w:cs="Calibri"/>
        </w:rPr>
      </w:pPr>
      <w:r w:rsidRPr="009C708C">
        <w:rPr>
          <w:rFonts w:cs="Calibri"/>
          <w:b/>
          <w:bCs/>
          <w:sz w:val="26"/>
        </w:rPr>
        <w:t>Puar 12</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“I would rather be a cyborg than a goddess”: Becoming-Intersectional in Assemblage Theory, </w:t>
      </w:r>
      <w:proofErr w:type="spellStart"/>
      <w:r w:rsidRPr="009C708C">
        <w:rPr>
          <w:rFonts w:cs="Calibri"/>
        </w:rPr>
        <w:t>philoSOPHIA</w:t>
      </w:r>
      <w:proofErr w:type="spellEnd"/>
      <w:r w:rsidRPr="009C708C">
        <w:rPr>
          <w:rFonts w:cs="Calibri"/>
        </w:rPr>
        <w:t>, 2(1), 49-66.</w:t>
      </w:r>
    </w:p>
    <w:p w:rsidR="009C708C" w:rsidRPr="009C708C" w:rsidRDefault="009C708C" w:rsidP="009C708C">
      <w:pPr>
        <w:rPr>
          <w:rFonts w:cs="Calibri"/>
        </w:rPr>
      </w:pPr>
      <w:r w:rsidRPr="009C708C">
        <w:rPr>
          <w:rFonts w:cs="Calibri"/>
        </w:rPr>
        <w:t xml:space="preserve">Chicago, Project Muse] </w:t>
      </w:r>
      <w:proofErr w:type="spellStart"/>
      <w:r w:rsidRPr="009C708C">
        <w:rPr>
          <w:rFonts w:cs="Calibri"/>
        </w:rPr>
        <w:t>Awirth</w:t>
      </w:r>
      <w:proofErr w:type="spellEnd"/>
    </w:p>
    <w:p w:rsidR="009C708C" w:rsidRPr="009C708C" w:rsidRDefault="009C708C" w:rsidP="009C708C">
      <w:pPr>
        <w:rPr>
          <w:rFonts w:cs="Calibri"/>
          <w:b/>
          <w:bCs/>
          <w:u w:val="single"/>
        </w:rPr>
      </w:pPr>
      <w:r w:rsidRPr="009C708C">
        <w:rPr>
          <w:rFonts w:cs="Calibri"/>
          <w:sz w:val="16"/>
        </w:rPr>
        <w:t xml:space="preserve">There’s obviously much </w:t>
      </w:r>
      <w:r>
        <w:rPr>
          <w:rFonts w:cs="Calibri"/>
          <w:sz w:val="16"/>
        </w:rPr>
        <w:t>…</w:t>
      </w:r>
      <w:r w:rsidRPr="009C708C">
        <w:rPr>
          <w:rFonts w:cs="Calibri"/>
          <w:b/>
          <w:bCs/>
          <w:highlight w:val="cyan"/>
          <w:u w:val="single"/>
        </w:rPr>
        <w:t xml:space="preserve"> discipline and control.</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6. You don’t get any prior questions – ontology and epistemology focus creates a freeze frame of identity that destroys the potentiality of assemblages </w:t>
      </w:r>
    </w:p>
    <w:p w:rsidR="009C708C" w:rsidRPr="009C708C" w:rsidRDefault="009C708C" w:rsidP="009C708C">
      <w:pPr>
        <w:rPr>
          <w:rFonts w:cs="Calibri"/>
        </w:rPr>
      </w:pPr>
      <w:r w:rsidRPr="009C708C">
        <w:rPr>
          <w:rFonts w:cs="Calibri"/>
          <w:b/>
          <w:bCs/>
          <w:sz w:val="26"/>
        </w:rPr>
        <w:t>Puar 12</w:t>
      </w:r>
      <w:r w:rsidRPr="009C708C">
        <w:rPr>
          <w:rFonts w:cs="Calibri"/>
        </w:rPr>
        <w:t xml:space="preserve"> [</w:t>
      </w:r>
      <w:proofErr w:type="spellStart"/>
      <w:r w:rsidRPr="009C708C">
        <w:rPr>
          <w:rFonts w:cs="Calibri"/>
        </w:rPr>
        <w:t>Jasbir</w:t>
      </w:r>
      <w:proofErr w:type="spellEnd"/>
      <w:r w:rsidRPr="009C708C">
        <w:rPr>
          <w:rFonts w:cs="Calibri"/>
        </w:rPr>
        <w:t xml:space="preserve">, Professor of women's and gender studies at Rutgers University, “I would rather be a cyborg than a goddess”: Becoming-Intersectional in Assemblage Theory, </w:t>
      </w:r>
      <w:proofErr w:type="spellStart"/>
      <w:r w:rsidRPr="009C708C">
        <w:rPr>
          <w:rFonts w:cs="Calibri"/>
        </w:rPr>
        <w:t>philoSOPHIA</w:t>
      </w:r>
      <w:proofErr w:type="spellEnd"/>
      <w:r w:rsidRPr="009C708C">
        <w:rPr>
          <w:rFonts w:cs="Calibri"/>
        </w:rPr>
        <w:t>, 2(1), 49-66.</w:t>
      </w:r>
    </w:p>
    <w:p w:rsidR="009C708C" w:rsidRPr="009C708C" w:rsidRDefault="009C708C" w:rsidP="009C708C">
      <w:pPr>
        <w:rPr>
          <w:rFonts w:cs="Calibri"/>
        </w:rPr>
      </w:pPr>
      <w:r w:rsidRPr="009C708C">
        <w:rPr>
          <w:rFonts w:cs="Calibri"/>
        </w:rPr>
        <w:t xml:space="preserve">Chicago, Project Muse] </w:t>
      </w:r>
      <w:proofErr w:type="spellStart"/>
      <w:r w:rsidRPr="009C708C">
        <w:rPr>
          <w:rFonts w:cs="Calibri"/>
        </w:rPr>
        <w:t>Awirth</w:t>
      </w:r>
      <w:proofErr w:type="spellEnd"/>
    </w:p>
    <w:p w:rsidR="009C708C" w:rsidRPr="009C708C" w:rsidRDefault="009C708C" w:rsidP="009C708C">
      <w:pPr>
        <w:rPr>
          <w:rFonts w:cs="Calibri"/>
          <w:b/>
          <w:iCs/>
          <w:u w:val="single"/>
        </w:rPr>
      </w:pPr>
      <w:r w:rsidRPr="009C708C">
        <w:rPr>
          <w:rFonts w:cs="Calibri"/>
          <w:b/>
          <w:bCs/>
          <w:u w:val="single"/>
        </w:rPr>
        <w:t>“Grids happen”</w:t>
      </w:r>
      <w:r w:rsidRPr="009C708C">
        <w:rPr>
          <w:rFonts w:cs="Calibri"/>
          <w:sz w:val="16"/>
        </w:rPr>
        <w:t xml:space="preserve"> writes </w:t>
      </w:r>
      <w:r>
        <w:rPr>
          <w:rFonts w:cs="Calibri"/>
          <w:sz w:val="16"/>
        </w:rPr>
        <w:t>…</w:t>
      </w:r>
      <w:r w:rsidRPr="009C708C">
        <w:rPr>
          <w:rFonts w:cs="Calibri"/>
          <w:b/>
          <w:iCs/>
          <w:u w:val="single"/>
        </w:rPr>
        <w:t xml:space="preserve"> a </w:t>
      </w:r>
      <w:r w:rsidRPr="009C708C">
        <w:rPr>
          <w:rFonts w:cs="Calibri"/>
          <w:b/>
          <w:iCs/>
          <w:highlight w:val="cyan"/>
          <w:u w:val="single"/>
        </w:rPr>
        <w:t>resultant product</w:t>
      </w:r>
      <w:r w:rsidRPr="009C708C">
        <w:rPr>
          <w:rFonts w:cs="Calibri"/>
          <w:b/>
          <w:iCs/>
          <w:u w:val="single"/>
        </w:rPr>
        <w:t>.2</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7. Only through an identity of un/</w:t>
      </w:r>
      <w:proofErr w:type="spellStart"/>
      <w:r w:rsidRPr="009C708C">
        <w:rPr>
          <w:rFonts w:eastAsiaTheme="majorEastAsia" w:cstheme="majorBidi"/>
          <w:b/>
          <w:bCs/>
          <w:iCs/>
          <w:sz w:val="26"/>
        </w:rPr>
        <w:t>intellibility</w:t>
      </w:r>
      <w:proofErr w:type="spellEnd"/>
      <w:r w:rsidRPr="009C708C">
        <w:rPr>
          <w:rFonts w:eastAsiaTheme="majorEastAsia" w:cstheme="majorBidi"/>
          <w:b/>
          <w:bCs/>
          <w:iCs/>
          <w:sz w:val="26"/>
        </w:rPr>
        <w:t xml:space="preserve"> can one communicate strategies of resistance --- any other method is doomed to be co-opted and </w:t>
      </w:r>
      <w:r w:rsidRPr="009C708C">
        <w:rPr>
          <w:rFonts w:eastAsiaTheme="majorEastAsia" w:cstheme="majorBidi"/>
          <w:b/>
          <w:bCs/>
          <w:i/>
          <w:iCs/>
          <w:sz w:val="26"/>
          <w:u w:val="single"/>
        </w:rPr>
        <w:t>reinforce</w:t>
      </w:r>
      <w:r w:rsidRPr="009C708C">
        <w:rPr>
          <w:rFonts w:eastAsiaTheme="majorEastAsia" w:cstheme="majorBidi"/>
          <w:b/>
          <w:bCs/>
          <w:i/>
          <w:iCs/>
          <w:sz w:val="26"/>
        </w:rPr>
        <w:t xml:space="preserve"> </w:t>
      </w:r>
      <w:r w:rsidRPr="009C708C">
        <w:rPr>
          <w:rFonts w:eastAsiaTheme="majorEastAsia" w:cstheme="majorBidi"/>
          <w:b/>
          <w:bCs/>
          <w:iCs/>
          <w:sz w:val="26"/>
        </w:rPr>
        <w:t xml:space="preserve">and </w:t>
      </w:r>
      <w:r w:rsidRPr="009C708C">
        <w:rPr>
          <w:rFonts w:eastAsiaTheme="majorEastAsia" w:cstheme="majorBidi"/>
          <w:b/>
          <w:bCs/>
          <w:i/>
          <w:iCs/>
          <w:sz w:val="26"/>
          <w:u w:val="single"/>
        </w:rPr>
        <w:t>strengthen</w:t>
      </w:r>
      <w:r w:rsidRPr="009C708C">
        <w:rPr>
          <w:rFonts w:eastAsiaTheme="majorEastAsia" w:cstheme="majorBidi"/>
          <w:b/>
          <w:bCs/>
          <w:iCs/>
          <w:sz w:val="26"/>
        </w:rPr>
        <w:t xml:space="preserve"> heteronormativity.</w:t>
      </w:r>
    </w:p>
    <w:p w:rsidR="009C708C" w:rsidRPr="009C708C" w:rsidRDefault="009C708C" w:rsidP="009C708C">
      <w:pPr>
        <w:rPr>
          <w:rFonts w:cs="Calibri"/>
        </w:rPr>
      </w:pPr>
      <w:r w:rsidRPr="009C708C">
        <w:rPr>
          <w:rFonts w:cs="Calibri"/>
          <w:b/>
          <w:bCs/>
          <w:sz w:val="26"/>
        </w:rPr>
        <w:t>Ruffolo 2009</w:t>
      </w:r>
      <w:r w:rsidRPr="009C708C">
        <w:rPr>
          <w:rFonts w:cs="Calibri"/>
        </w:rPr>
        <w:t xml:space="preserve"> [David, lectures at the Ontario Institute for Studies in Education, University of Toronto, Canada, Post-Queer Politics] </w:t>
      </w:r>
      <w:proofErr w:type="spellStart"/>
      <w:r w:rsidRPr="009C708C">
        <w:rPr>
          <w:rFonts w:cs="Calibri"/>
        </w:rPr>
        <w:t>Awirth</w:t>
      </w:r>
      <w:proofErr w:type="spellEnd"/>
    </w:p>
    <w:p w:rsidR="009C708C" w:rsidRPr="009C708C" w:rsidRDefault="009C708C" w:rsidP="009C708C">
      <w:pPr>
        <w:rPr>
          <w:rFonts w:cs="Calibri"/>
          <w:sz w:val="16"/>
        </w:rPr>
      </w:pPr>
      <w:r w:rsidRPr="009C708C">
        <w:rPr>
          <w:rFonts w:cs="Calibri"/>
          <w:sz w:val="16"/>
        </w:rPr>
        <w:t xml:space="preserve">Foucault’s question </w:t>
      </w:r>
      <w:r>
        <w:rPr>
          <w:rFonts w:cs="Calibri"/>
          <w:sz w:val="16"/>
        </w:rPr>
        <w:t>…</w:t>
      </w:r>
      <w:r w:rsidRPr="009C708C">
        <w:rPr>
          <w:rFonts w:cs="Calibri"/>
          <w:b/>
          <w:iCs/>
          <w:highlight w:val="cyan"/>
          <w:u w:val="single"/>
        </w:rPr>
        <w:t xml:space="preserve"> </w:t>
      </w:r>
      <w:proofErr w:type="gramStart"/>
      <w:r w:rsidRPr="009C708C">
        <w:rPr>
          <w:rFonts w:cs="Calibri"/>
          <w:b/>
          <w:iCs/>
          <w:highlight w:val="cyan"/>
          <w:u w:val="single"/>
        </w:rPr>
        <w:t>be</w:t>
      </w:r>
      <w:proofErr w:type="gramEnd"/>
      <w:r w:rsidRPr="009C708C">
        <w:rPr>
          <w:rFonts w:cs="Calibri"/>
          <w:b/>
          <w:iCs/>
          <w:highlight w:val="cyan"/>
          <w:u w:val="single"/>
        </w:rPr>
        <w:t xml:space="preserve"> thought otherwise.</w:t>
      </w:r>
    </w:p>
    <w:p w:rsidR="009C708C" w:rsidRPr="009C708C" w:rsidRDefault="009C708C" w:rsidP="009C708C">
      <w:pPr>
        <w:spacing w:after="200" w:line="276" w:lineRule="auto"/>
        <w:rPr>
          <w:rFonts w:eastAsiaTheme="majorEastAsia" w:cstheme="majorBidi"/>
          <w:b/>
          <w:bCs/>
          <w:iCs/>
          <w:sz w:val="26"/>
        </w:rPr>
      </w:pPr>
      <w:r w:rsidRPr="009C708C">
        <w:rPr>
          <w:rFonts w:cs="Calibri"/>
        </w:rPr>
        <w:br w:type="page"/>
      </w:r>
    </w:p>
    <w:p w:rsidR="009C708C" w:rsidRPr="009C708C" w:rsidRDefault="009C708C" w:rsidP="009C708C">
      <w:pPr>
        <w:keepNext/>
        <w:keepLines/>
        <w:spacing w:before="200"/>
        <w:outlineLvl w:val="3"/>
        <w:rPr>
          <w:rFonts w:eastAsiaTheme="majorEastAsia" w:cstheme="majorBidi"/>
          <w:b/>
          <w:bCs/>
          <w:iCs/>
          <w:sz w:val="26"/>
        </w:rPr>
      </w:pPr>
      <w:r w:rsidRPr="009C708C">
        <w:rPr>
          <w:rFonts w:eastAsiaTheme="majorEastAsia" w:cstheme="majorBidi"/>
          <w:b/>
          <w:bCs/>
          <w:iCs/>
          <w:sz w:val="26"/>
        </w:rPr>
        <w:lastRenderedPageBreak/>
        <w:t xml:space="preserve">8. Current modes of politics fails – Queer movements have been co-opted by the military industrial complex – they de-couple discussion of sexuality and militarism.   </w:t>
      </w:r>
    </w:p>
    <w:p w:rsidR="009C708C" w:rsidRPr="009C708C" w:rsidRDefault="009C708C" w:rsidP="009C708C">
      <w:pPr>
        <w:rPr>
          <w:rFonts w:cs="Calibri"/>
        </w:rPr>
      </w:pPr>
      <w:r w:rsidRPr="009C708C">
        <w:rPr>
          <w:rFonts w:cs="Calibri"/>
          <w:b/>
          <w:bCs/>
          <w:sz w:val="26"/>
        </w:rPr>
        <w:t>Thrasher 4-30</w:t>
      </w:r>
      <w:r w:rsidRPr="009C708C">
        <w:rPr>
          <w:rFonts w:cs="Calibri"/>
        </w:rPr>
        <w:t xml:space="preserve">-2013 [Stephen, Winner of the 2012 journalist of the year award from the National Lesbian &amp; Gay Journalists Association and 2010 Winner of the James Aronson Award for Social Justice Journalism, </w:t>
      </w:r>
      <w:proofErr w:type="spellStart"/>
      <w:r w:rsidRPr="009C708C">
        <w:rPr>
          <w:rFonts w:cs="Calibri"/>
        </w:rPr>
        <w:t>Haaay</w:t>
      </w:r>
      <w:proofErr w:type="spellEnd"/>
      <w:r w:rsidRPr="009C708C">
        <w:rPr>
          <w:rFonts w:cs="Calibri"/>
        </w:rPr>
        <w:t xml:space="preserve"> to the Chief: The Military-Industrial Complex Conquers the Homos, </w:t>
      </w:r>
      <w:hyperlink r:id="rId10" w:history="1">
        <w:r w:rsidRPr="009C708C">
          <w:rPr>
            <w:rFonts w:cs="Calibri"/>
          </w:rPr>
          <w:t>http://gawker.com/haaay-to-the-chief-the-military-industrial-complex-con-486133694</w:t>
        </w:r>
      </w:hyperlink>
      <w:r w:rsidRPr="009C708C">
        <w:rPr>
          <w:rFonts w:cs="Calibri"/>
        </w:rPr>
        <w:t xml:space="preserve">] </w:t>
      </w:r>
      <w:proofErr w:type="spellStart"/>
      <w:r w:rsidRPr="009C708C">
        <w:rPr>
          <w:rFonts w:cs="Calibri"/>
        </w:rPr>
        <w:t>Awirth</w:t>
      </w:r>
      <w:proofErr w:type="spellEnd"/>
    </w:p>
    <w:p w:rsidR="000022F2" w:rsidRPr="009C708C" w:rsidRDefault="009C708C" w:rsidP="004D3987">
      <w:pPr>
        <w:rPr>
          <w:rFonts w:cs="Calibri"/>
          <w:b/>
          <w:iCs/>
          <w:u w:val="single"/>
          <w:bdr w:val="single" w:sz="18" w:space="0" w:color="auto"/>
        </w:rPr>
      </w:pPr>
      <w:proofErr w:type="gramStart"/>
      <w:r w:rsidRPr="009C708C">
        <w:rPr>
          <w:rFonts w:cs="Calibri"/>
          <w:sz w:val="16"/>
        </w:rPr>
        <w:t xml:space="preserve">To the Professional </w:t>
      </w:r>
      <w:r>
        <w:rPr>
          <w:rFonts w:cs="Calibri"/>
          <w:sz w:val="16"/>
        </w:rPr>
        <w:t>…</w:t>
      </w:r>
      <w:r w:rsidRPr="009C708C">
        <w:rPr>
          <w:rFonts w:cs="Calibri"/>
          <w:b/>
          <w:iCs/>
          <w:u w:val="single"/>
        </w:rPr>
        <w:t xml:space="preserve"> or corporate greed.</w:t>
      </w:r>
      <w:proofErr w:type="gramEnd"/>
    </w:p>
    <w:sectPr w:rsidR="000022F2" w:rsidRPr="009C708C" w:rsidSect="00C35A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8DF" w:rsidRDefault="003A78DF" w:rsidP="005F5576">
      <w:r>
        <w:separator/>
      </w:r>
    </w:p>
  </w:endnote>
  <w:endnote w:type="continuationSeparator" w:id="0">
    <w:p w:rsidR="003A78DF" w:rsidRDefault="003A78DF"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8DF" w:rsidRDefault="003A78DF" w:rsidP="005F5576">
      <w:r>
        <w:separator/>
      </w:r>
    </w:p>
  </w:footnote>
  <w:footnote w:type="continuationSeparator" w:id="0">
    <w:p w:rsidR="003A78DF" w:rsidRDefault="003A78DF"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D2A41"/>
    <w:multiLevelType w:val="hybridMultilevel"/>
    <w:tmpl w:val="C75E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863F8"/>
    <w:multiLevelType w:val="hybridMultilevel"/>
    <w:tmpl w:val="4708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C64EC"/>
    <w:multiLevelType w:val="hybridMultilevel"/>
    <w:tmpl w:val="C75E1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A78D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66B2"/>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78DF"/>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708C"/>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3A55"/>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ci,Underline Char,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numbering" w:customStyle="1" w:styleId="NoList1">
    <w:name w:val="No List1"/>
    <w:next w:val="NoList"/>
    <w:uiPriority w:val="99"/>
    <w:semiHidden/>
    <w:unhideWhenUsed/>
    <w:rsid w:val="009C708C"/>
  </w:style>
  <w:style w:type="paragraph" w:styleId="DocumentMap">
    <w:name w:val="Document Map"/>
    <w:basedOn w:val="Normal"/>
    <w:link w:val="DocumentMapChar"/>
    <w:uiPriority w:val="99"/>
    <w:semiHidden/>
    <w:rsid w:val="009C708C"/>
    <w:rPr>
      <w:rFonts w:ascii="Tahoma" w:hAnsi="Tahoma" w:cs="Tahoma"/>
      <w:sz w:val="16"/>
      <w:szCs w:val="16"/>
    </w:rPr>
  </w:style>
  <w:style w:type="character" w:customStyle="1" w:styleId="DocumentMapChar">
    <w:name w:val="Document Map Char"/>
    <w:basedOn w:val="DefaultParagraphFont"/>
    <w:link w:val="DocumentMap"/>
    <w:uiPriority w:val="99"/>
    <w:semiHidden/>
    <w:rsid w:val="009C708C"/>
    <w:rPr>
      <w:rFonts w:ascii="Tahoma" w:hAnsi="Tahoma" w:cs="Tahoma"/>
      <w:sz w:val="16"/>
      <w:szCs w:val="16"/>
    </w:rPr>
  </w:style>
  <w:style w:type="character" w:customStyle="1" w:styleId="TitleChar">
    <w:name w:val="Title Char"/>
    <w:basedOn w:val="DefaultParagraphFont"/>
    <w:link w:val="Title"/>
    <w:uiPriority w:val="6"/>
    <w:qFormat/>
    <w:rsid w:val="009C708C"/>
    <w:rPr>
      <w:b/>
      <w:bCs/>
      <w:u w:val="single"/>
    </w:rPr>
  </w:style>
  <w:style w:type="paragraph" w:styleId="Title">
    <w:name w:val="Title"/>
    <w:basedOn w:val="Normal"/>
    <w:next w:val="Normal"/>
    <w:link w:val="TitleChar"/>
    <w:uiPriority w:val="6"/>
    <w:qFormat/>
    <w:rsid w:val="009C708C"/>
    <w:pPr>
      <w:ind w:left="720"/>
      <w:outlineLvl w:val="0"/>
    </w:pPr>
    <w:rPr>
      <w:rFonts w:asciiTheme="minorHAnsi" w:hAnsiTheme="minorHAnsi"/>
      <w:b/>
      <w:bCs/>
      <w:u w:val="single"/>
    </w:rPr>
  </w:style>
  <w:style w:type="character" w:customStyle="1" w:styleId="TitleChar1">
    <w:name w:val="Title Char1"/>
    <w:basedOn w:val="DefaultParagraphFont"/>
    <w:link w:val="Title"/>
    <w:uiPriority w:val="10"/>
    <w:semiHidden/>
    <w:rsid w:val="009C708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gawker.com/haaay-to-the-chief-the-military-industrial-complex-con-486133694"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2013-10-05T18:33:00Z</dcterms:created>
  <dcterms:modified xsi:type="dcterms:W3CDTF">2013-10-05T18:35:00Z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