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7B" w:rsidRDefault="009D267B" w:rsidP="009D267B">
      <w:pPr>
        <w:pStyle w:val="Heading1"/>
      </w:pPr>
      <w:r>
        <w:t>2ac</w:t>
      </w:r>
    </w:p>
    <w:p w:rsidR="009D267B" w:rsidRDefault="009D267B" w:rsidP="009D267B">
      <w:pPr>
        <w:pStyle w:val="Heading2"/>
      </w:pPr>
      <w:r>
        <w:lastRenderedPageBreak/>
        <w:t>T</w:t>
      </w:r>
    </w:p>
    <w:p w:rsidR="009D267B" w:rsidRDefault="009D267B" w:rsidP="009D267B">
      <w:pPr>
        <w:pStyle w:val="Heading4"/>
      </w:pPr>
      <w:r>
        <w:t>1. We meet——plan establishes a restriction on targeted killing that limits the presidents legal authority to use force</w:t>
      </w:r>
    </w:p>
    <w:p w:rsidR="009D267B" w:rsidRPr="00FA7CEA" w:rsidRDefault="009D267B" w:rsidP="009D267B">
      <w:pPr>
        <w:pStyle w:val="Heading4"/>
        <w:rPr>
          <w:rStyle w:val="StyleStyleBold12pt"/>
        </w:rPr>
      </w:pPr>
      <w:r w:rsidRPr="00FA7CEA">
        <w:t>We meet</w:t>
      </w:r>
      <w:r>
        <w:t xml:space="preserve"> – contextual ev </w:t>
      </w:r>
    </w:p>
    <w:p w:rsidR="009D267B" w:rsidRPr="00FA7CEA" w:rsidRDefault="009D267B" w:rsidP="009D267B">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9" w:history="1">
        <w:r w:rsidRPr="00FA7CEA">
          <w:rPr>
            <w:rStyle w:val="Hyperlink"/>
          </w:rPr>
          <w:t>http://jurist.org/forum/2013/03/amos-guiora-drone-policy.php</w:t>
        </w:r>
      </w:hyperlink>
      <w:r w:rsidRPr="00FA7CEA">
        <w:t xml:space="preserve">] </w:t>
      </w:r>
    </w:p>
    <w:p w:rsidR="009D267B" w:rsidRPr="00971AAE" w:rsidRDefault="009D267B" w:rsidP="009D267B">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9D267B" w:rsidRDefault="009D267B" w:rsidP="009D267B">
      <w:pPr>
        <w:pStyle w:val="Heading4"/>
      </w:pPr>
      <w:r>
        <w:t>2. Counter interpretation:</w:t>
      </w:r>
    </w:p>
    <w:p w:rsidR="009D267B" w:rsidRDefault="009D267B" w:rsidP="009D267B">
      <w:pPr>
        <w:pStyle w:val="Heading4"/>
      </w:pPr>
      <w:r>
        <w:t>A restriction on war powers authority limits Presidential discretion</w:t>
      </w:r>
    </w:p>
    <w:p w:rsidR="009D267B" w:rsidRPr="00334E70" w:rsidRDefault="009D267B" w:rsidP="009D267B">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9D267B" w:rsidRDefault="009D267B" w:rsidP="009D267B">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9D267B" w:rsidRPr="00FA7CEA" w:rsidRDefault="009D267B" w:rsidP="009D267B">
      <w:pPr>
        <w:pStyle w:val="Heading4"/>
        <w:rPr>
          <w:sz w:val="28"/>
        </w:rPr>
      </w:pPr>
      <w:r w:rsidRPr="00FA7CEA">
        <w:rPr>
          <w:sz w:val="28"/>
        </w:rPr>
        <w:t>Restrict doesn’t mean prohibit</w:t>
      </w:r>
    </w:p>
    <w:p w:rsidR="009D267B" w:rsidRPr="00FA7CEA" w:rsidRDefault="009D267B" w:rsidP="009D267B">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9D267B" w:rsidRPr="00FA7CEA" w:rsidRDefault="009D267B" w:rsidP="009D267B"/>
    <w:p w:rsidR="009D267B" w:rsidRPr="00FA7CEA" w:rsidRDefault="009D267B" w:rsidP="009D267B">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w:t>
      </w:r>
      <w:r w:rsidRPr="00FA7CEA">
        <w:lastRenderedPageBreak/>
        <w:t xml:space="preserve">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9D267B" w:rsidRPr="007A6EF0" w:rsidRDefault="009D267B" w:rsidP="009D267B">
      <w:pPr>
        <w:rPr>
          <w:rStyle w:val="StyleBoldUnderline"/>
          <w:b w:val="0"/>
          <w:bCs w:val="0"/>
          <w:u w:val="none"/>
        </w:rPr>
      </w:pPr>
      <w:r w:rsidRPr="00FA7CEA">
        <w:t>"</w:t>
      </w:r>
      <w:r w:rsidRPr="00AF597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t>'"</w:t>
      </w:r>
    </w:p>
    <w:p w:rsidR="009D267B" w:rsidRDefault="009D267B" w:rsidP="009D267B">
      <w:pPr>
        <w:pStyle w:val="Heading2"/>
      </w:pPr>
      <w:r>
        <w:lastRenderedPageBreak/>
        <w:t xml:space="preserve">Security </w:t>
      </w:r>
    </w:p>
    <w:p w:rsidR="009D267B" w:rsidRDefault="009D267B" w:rsidP="009D267B">
      <w:pPr>
        <w:pStyle w:val="Heading4"/>
      </w:pPr>
      <w:r w:rsidRPr="00CE2B07">
        <w:rPr>
          <w:highlight w:val="yellow"/>
        </w:rPr>
        <w:t>Engaging the state is critical</w:t>
      </w:r>
      <w:r>
        <w:t xml:space="preserve">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9D267B" w:rsidRPr="00A7709E" w:rsidRDefault="009D267B" w:rsidP="009D267B">
      <w:pPr>
        <w:rPr>
          <w:rStyle w:val="StyleStyleBold12pt"/>
        </w:rPr>
      </w:pPr>
      <w:r w:rsidRPr="00A7709E">
        <w:rPr>
          <w:rStyle w:val="StyleStyleBold12pt"/>
        </w:rPr>
        <w:t>Sassen 2009</w:t>
      </w:r>
    </w:p>
    <w:p w:rsidR="009D267B" w:rsidRDefault="009D267B" w:rsidP="009D267B">
      <w:r>
        <w:t>[ColumbiaUniversity, istheauthorof TheGlobalCity (2ndedn, Princeton, 2001), Territory, Authority, Rights: From Medieval to Global Assemblages (Princeton, 2008) and A Sociology of Globalisation (Norton,2007), among others, 2009, The Potential for a Progressive State?, uwyo//amp]</w:t>
      </w:r>
    </w:p>
    <w:p w:rsidR="009D267B" w:rsidRDefault="009D267B" w:rsidP="009D267B">
      <w:pPr>
        <w:rPr>
          <w:rStyle w:val="StyleBoldUnderlin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Stripping the state of the particularity of this historical legacy gives me more analytic freedom in conceptualising these processes and 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organ-isations becomes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9D267B" w:rsidRDefault="009D267B" w:rsidP="009D267B">
      <w:pPr>
        <w:rPr>
          <w:rStyle w:val="StyleBoldUnderline"/>
        </w:rPr>
      </w:pPr>
    </w:p>
    <w:p w:rsidR="009D267B" w:rsidRDefault="009D267B" w:rsidP="009D267B"/>
    <w:p w:rsidR="009D267B" w:rsidRDefault="009D267B" w:rsidP="009D267B">
      <w:pPr>
        <w:pStyle w:val="Heading4"/>
      </w:pPr>
      <w:r>
        <w:t>Finally, It is a voter for competitive equity—prefer our interpretation, it allows both teams to compete, other roles of the ballot are arbitrary and self serving</w:t>
      </w:r>
    </w:p>
    <w:p w:rsidR="009D267B" w:rsidRDefault="009D267B" w:rsidP="009D267B"/>
    <w:p w:rsidR="009D267B" w:rsidRPr="00516D15" w:rsidRDefault="009D267B" w:rsidP="009D267B">
      <w:pPr>
        <w:pStyle w:val="Heading4"/>
      </w:pPr>
      <w:r w:rsidRPr="00CE2B07">
        <w:rPr>
          <w:highlight w:val="yellow"/>
        </w:rPr>
        <w:t>Preventing extinction is the highest ethical priority</w:t>
      </w:r>
      <w:r w:rsidRPr="00516D15">
        <w:t xml:space="preserve"> – we should take action to prevent the Other from dying FIRST, only THEN can we consider questions of value to life</w:t>
      </w:r>
    </w:p>
    <w:p w:rsidR="009D267B" w:rsidRDefault="009D267B" w:rsidP="009D267B">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xml:space="preserve">, Dissent, online: </w:t>
      </w:r>
      <w:hyperlink r:id="rId10" w:history="1">
        <w:r w:rsidRPr="004063AC">
          <w:rPr>
            <w:rStyle w:val="Hyperlink"/>
          </w:rPr>
          <w:t>http://www.dissentmagazine.org/menutest/archives/2003/wi03/wapner.htm</w:t>
        </w:r>
      </w:hyperlink>
    </w:p>
    <w:p w:rsidR="009D267B" w:rsidRDefault="009D267B" w:rsidP="009D267B">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s diversity of plants, animals, and ecosystems. Postmodern critics should find this particularly disturbing. If they don't, they deny their own intellectual insights and compromise their fundamental moral commitment.</w:t>
      </w:r>
    </w:p>
    <w:p w:rsidR="009D267B" w:rsidRDefault="009D267B" w:rsidP="009D267B">
      <w:pPr>
        <w:pStyle w:val="Heading4"/>
      </w:pPr>
      <w:r>
        <w:t>And, Drones are inevitable</w:t>
      </w:r>
    </w:p>
    <w:p w:rsidR="009D267B" w:rsidRPr="00C02071" w:rsidRDefault="009D267B" w:rsidP="009D267B">
      <w:pPr>
        <w:rPr>
          <w:rStyle w:val="StyleStyleBold12pt"/>
        </w:rPr>
      </w:pPr>
      <w:r w:rsidRPr="00C02071">
        <w:rPr>
          <w:rStyle w:val="StyleStyleBold12pt"/>
        </w:rPr>
        <w:t>Henning, 2-20-12</w:t>
      </w:r>
    </w:p>
    <w:p w:rsidR="009D267B" w:rsidRDefault="009D267B" w:rsidP="009D267B">
      <w:r>
        <w:t xml:space="preserve">[Job, NYT, Embracing the Drone, </w:t>
      </w:r>
      <w:r w:rsidRPr="00C02071">
        <w:t>http://www.nytimes.com/2012/02/21/opinion/embracing-the-drone.html?pagewanted=all&amp;_r=0</w:t>
      </w:r>
      <w:r>
        <w:t>] /Wyo-MB</w:t>
      </w:r>
    </w:p>
    <w:p w:rsidR="009D267B" w:rsidRPr="00B11CD7" w:rsidRDefault="009D267B" w:rsidP="009D267B">
      <w:pPr>
        <w:rPr>
          <w:b/>
          <w:bCs/>
          <w:u w:val="single"/>
        </w:rPr>
      </w:pPr>
      <w:r w:rsidRPr="00C02071">
        <w:rPr>
          <w:rStyle w:val="StyleBoldUnderline"/>
          <w:highlight w:val="yellow"/>
        </w:rPr>
        <w:t>Drones</w:t>
      </w:r>
      <w:r w:rsidRPr="00C73C20">
        <w:rPr>
          <w:sz w:val="16"/>
        </w:rPr>
        <w:t xml:space="preserve"> — more formally armed Unmanned Aerial Vehicles,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rsidRPr="00C73C20">
        <w:rPr>
          <w:sz w:val="16"/>
        </w:rPr>
        <w:t>.</w:t>
      </w:r>
      <w:r w:rsidRPr="00C73C20">
        <w:rPr>
          <w:sz w:val="12"/>
        </w:rPr>
        <w:t>¶</w:t>
      </w:r>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w:t>
      </w:r>
      <w:r w:rsidRPr="00C73C20">
        <w:rPr>
          <w:rStyle w:val="StyleBoldUnderline"/>
          <w:sz w:val="12"/>
        </w:rPr>
        <w:t>¶</w:t>
      </w:r>
      <w:r w:rsidRPr="00C02071">
        <w:rPr>
          <w:rStyle w:val="StyleBoldUnderline"/>
        </w:rPr>
        <w:t xml:space="preserve"> </w:t>
      </w:r>
    </w:p>
    <w:p w:rsidR="009D267B" w:rsidRDefault="009D267B" w:rsidP="009D267B"/>
    <w:p w:rsidR="009D267B" w:rsidRDefault="009D267B" w:rsidP="009D267B">
      <w:pPr>
        <w:pStyle w:val="Heading4"/>
      </w:pPr>
      <w:r>
        <w:t>And, No link—</w:t>
      </w:r>
    </w:p>
    <w:p w:rsidR="009D267B" w:rsidRPr="00291D36" w:rsidRDefault="009D267B" w:rsidP="009D267B">
      <w:pPr>
        <w:pStyle w:val="Heading4"/>
      </w:pPr>
      <w:r w:rsidRPr="00291D36">
        <w:t>Scenario creation isn't the same as threat construction, it’s crucial to see if policies are a good idea and reduce the risk of nuclear war.</w:t>
      </w:r>
    </w:p>
    <w:p w:rsidR="009D267B" w:rsidRPr="00D20ECF" w:rsidRDefault="009D267B" w:rsidP="009D267B">
      <w:pPr>
        <w:rPr>
          <w:rFonts w:eastAsia="Garamond-Bold" w:cs="Arial"/>
        </w:rPr>
      </w:pPr>
      <w:r w:rsidRPr="00D20ECF">
        <w:rPr>
          <w:rFonts w:eastAsia="Garamond-Bold" w:cs="Arial"/>
        </w:rPr>
        <w:t>Darryl S.L.</w:t>
      </w:r>
      <w:r w:rsidRPr="00D20ECF">
        <w:rPr>
          <w:rFonts w:eastAsia="Garamond-Bold" w:cs="Arial"/>
          <w:b/>
          <w:bCs/>
        </w:rPr>
        <w:t>Jarvis</w:t>
      </w:r>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9D267B" w:rsidRDefault="009D267B" w:rsidP="009D267B">
      <w:pPr>
        <w:pStyle w:val="card"/>
        <w:ind w:left="0"/>
        <w:rPr>
          <w:rFonts w:eastAsia="Garamond"/>
        </w:rPr>
      </w:pPr>
      <w:r w:rsidRPr="008F33FD">
        <w:rPr>
          <w:rFonts w:eastAsia="Garamond"/>
          <w:sz w:val="16"/>
        </w:rPr>
        <w:t xml:space="preserve">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  </w:t>
      </w:r>
      <w:r w:rsidRPr="008F33FD">
        <w:rPr>
          <w:rStyle w:val="underline"/>
          <w:rFonts w:eastAsia="Garamond"/>
        </w:rPr>
        <w:t>scenario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 xml:space="preserve">Apart from the military, some of the first institutions to employ scenario generation were commercial organizations. The Royal Dutch Shell Company, for example, pioneered scenario analysis under the auspices of three prominent individuals, Peter Schwartz, Kees van der Heijden and Peter Checkland.67 However, despite some 30 years of scenario generation no formal models exist; indeed the notion of formal techniques is actively resisted. Rather,  </w:t>
      </w:r>
      <w:r w:rsidRPr="00577728">
        <w:rPr>
          <w:rStyle w:val="underline"/>
          <w:rFonts w:eastAsia="Garamond"/>
          <w:highlight w:val="green"/>
        </w:rPr>
        <w:t xml:space="preserve">scenario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well known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It is, in this sense, an attempt to map possible trajectories and outcomes and logically construct images of cause and effect so that the ramifications of decision making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The precise methods associated with scenario generation are numerous and the method employed normally contingent on the intended purpose. Angela Wilkinson and Esther Eidinow, for example, suggest that scenario generation falls into four discrete categories: identified objectives, known constitutive / environmental elements; formally mapped trajectories;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But what? Schwartz suggested several themes; challenge and response, for example: “Perhaps London’s position as a centre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planning </w:t>
      </w:r>
      <w:r w:rsidRPr="00577728">
        <w:rPr>
          <w:rStyle w:val="underline"/>
          <w:rFonts w:eastAsia="Garamond"/>
          <w:highlight w:val="green"/>
        </w:rPr>
        <w:t>and risk avoidance. It thus helps</w:t>
      </w:r>
      <w:r w:rsidRPr="008F33FD">
        <w:rPr>
          <w:rStyle w:val="underline"/>
          <w:rFonts w:eastAsia="Garamond"/>
        </w:rPr>
        <w:t xml:space="preserve"> various 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p w:rsidR="009D267B" w:rsidRDefault="009D267B" w:rsidP="009D267B"/>
    <w:p w:rsidR="009D267B" w:rsidRPr="00291D36" w:rsidRDefault="009D267B" w:rsidP="009D267B">
      <w:pPr>
        <w:pStyle w:val="Heading4"/>
      </w:pPr>
      <w:r w:rsidRPr="00291D36">
        <w:t>Security is inevitable—rejecting it causes the state to become more interventionist, flipping the impact</w:t>
      </w:r>
    </w:p>
    <w:p w:rsidR="009D267B" w:rsidRDefault="009D267B" w:rsidP="009D267B">
      <w:pPr>
        <w:rPr>
          <w:b/>
        </w:rPr>
      </w:pPr>
      <w:r>
        <w:rPr>
          <w:b/>
        </w:rPr>
        <w:t>McCormack 10</w:t>
      </w:r>
    </w:p>
    <w:p w:rsidR="009D267B" w:rsidRPr="00780DEA" w:rsidRDefault="009D267B" w:rsidP="009D267B">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9D267B" w:rsidRPr="00291D36" w:rsidRDefault="009D267B" w:rsidP="009D267B">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r w:rsidRPr="00C44228">
        <w:rPr>
          <w:rFonts w:ascii="TimesNewRomanPSMT" w:hAnsi="TimesNewRomanPSMT" w:cs="TimesNewRomanPSMT"/>
          <w:b/>
          <w:szCs w:val="16"/>
          <w:highlight w:val="yellow"/>
          <w:u w:val="single"/>
        </w:rPr>
        <w:t>problematising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44228">
        <w:rPr>
          <w:rFonts w:ascii="TimesNewRomanPSMT" w:hAnsi="TimesNewRomanPSMT" w:cs="TimesNewRomanPSMT"/>
          <w:szCs w:val="16"/>
          <w:highlight w:val="yellow"/>
          <w:u w:val="single"/>
        </w:rPr>
        <w:t xml:space="preserve">Third world populations must be taught to be self-reliant, they will remain uninsured.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9D267B" w:rsidRDefault="009D267B" w:rsidP="009D267B">
      <w:pPr>
        <w:pStyle w:val="Heading2"/>
      </w:pPr>
      <w:r>
        <w:t>Exect Rform CP</w:t>
      </w:r>
    </w:p>
    <w:p w:rsidR="009D267B" w:rsidRPr="000A1394" w:rsidRDefault="009D267B" w:rsidP="009D267B">
      <w:pPr>
        <w:pStyle w:val="Heading4"/>
      </w:pPr>
      <w:r>
        <w:t>2nd, Perm do both—Shields the Link to politics—</w:t>
      </w:r>
      <w:r w:rsidRPr="000A1394">
        <w:t>Congress purposefully doesn’t act on legislation or waits for executive action so that they can blame the president</w:t>
      </w:r>
    </w:p>
    <w:p w:rsidR="009D267B" w:rsidRPr="000A1394" w:rsidRDefault="009D267B" w:rsidP="009D267B">
      <w:pPr>
        <w:rPr>
          <w:rStyle w:val="StyleStyleBold12pt"/>
        </w:rPr>
      </w:pPr>
      <w:r w:rsidRPr="000A1394">
        <w:rPr>
          <w:rStyle w:val="StyleStyleBold12pt"/>
        </w:rPr>
        <w:t>Buchanan 2013</w:t>
      </w:r>
    </w:p>
    <w:p w:rsidR="009D267B" w:rsidRPr="000A1394" w:rsidRDefault="009D267B" w:rsidP="009D267B">
      <w:r w:rsidRPr="000A1394">
        <w:t>[</w:t>
      </w:r>
      <w:r>
        <w:t>Neil Buchanan, Law Professor, February 21, 2013, Spending Priorities, the Separation of Powers, and the Rule of Law, http://www.dorfonlaw.org/2013/02/spending-priorities-separation-of.html, uwyo//amp</w:t>
      </w:r>
      <w:r w:rsidRPr="000A1394">
        <w:t>]</w:t>
      </w:r>
    </w:p>
    <w:p w:rsidR="009D267B" w:rsidRDefault="009D267B" w:rsidP="009D267B">
      <w:pPr>
        <w:rPr>
          <w:sz w:val="16"/>
        </w:rPr>
      </w:pPr>
      <w:r w:rsidRPr="000A1394">
        <w:rPr>
          <w:rStyle w:val="TitleChar"/>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9D267B" w:rsidRPr="0059075C" w:rsidRDefault="009D267B" w:rsidP="009D267B"/>
    <w:p w:rsidR="009D267B" w:rsidRDefault="009D267B" w:rsidP="009D267B">
      <w:pPr>
        <w:pStyle w:val="Heading2"/>
      </w:pPr>
      <w:r>
        <w:t>Ptx Immigration</w:t>
      </w:r>
    </w:p>
    <w:p w:rsidR="009D267B" w:rsidRDefault="009D267B" w:rsidP="009D267B">
      <w:pPr>
        <w:pStyle w:val="Heading4"/>
      </w:pPr>
      <w:r>
        <w:t xml:space="preserve">UQ - </w:t>
      </w:r>
      <w:r w:rsidRPr="00247DF8">
        <w:rPr>
          <w:highlight w:val="yellow"/>
        </w:rPr>
        <w:t>Wont pass – conservatives</w:t>
      </w:r>
      <w:r>
        <w:t xml:space="preserve"> in house </w:t>
      </w:r>
      <w:r w:rsidRPr="00247DF8">
        <w:rPr>
          <w:highlight w:val="yellow"/>
        </w:rPr>
        <w:t>not moved</w:t>
      </w:r>
    </w:p>
    <w:p w:rsidR="009D267B" w:rsidRDefault="009D267B" w:rsidP="009D267B">
      <w:r>
        <w:t xml:space="preserve">Evan </w:t>
      </w:r>
      <w:r w:rsidRPr="00806645">
        <w:rPr>
          <w:rStyle w:val="StyleStyleBold12pt"/>
        </w:rPr>
        <w:t>McMorris</w:t>
      </w:r>
      <w:r>
        <w:t xml:space="preserve">, Santoro BuzzFeed Staff, “Obama Has Already Won The Shutdown Fight And He’s Coming For Immigration Next,” </w:t>
      </w:r>
      <w:r w:rsidRPr="00806645">
        <w:rPr>
          <w:rStyle w:val="StyleStyleBold12pt"/>
        </w:rPr>
        <w:t>10/15</w:t>
      </w:r>
      <w:r>
        <w:t xml:space="preserve">/13. </w:t>
      </w:r>
      <w:r w:rsidRPr="00806645">
        <w:t>http://www.buzzfeed.com/evanmcsan/obama-has-already-won-the-shutdown-fight-and-hes-coming-for</w:t>
      </w:r>
    </w:p>
    <w:p w:rsidR="009D267B" w:rsidRDefault="009D267B" w:rsidP="009D267B">
      <w:pPr>
        <w:rPr>
          <w:sz w:val="12"/>
        </w:rPr>
      </w:pPr>
      <w:r>
        <w:t xml:space="preserve">But </w:t>
      </w:r>
      <w:r w:rsidRPr="00247DF8">
        <w:rPr>
          <w:rStyle w:val="StyleBoldUnderline"/>
        </w:rPr>
        <w:t xml:space="preserve">immigration reform is something </w:t>
      </w:r>
      <w:r w:rsidRPr="00247DF8">
        <w:t xml:space="preserve">virtually </w:t>
      </w:r>
      <w:r w:rsidRPr="00247DF8">
        <w:rPr>
          <w:rStyle w:val="StyleBoldUnderline"/>
        </w:rPr>
        <w:t>all Democrats want to see back</w:t>
      </w:r>
      <w:r w:rsidRPr="00247DF8">
        <w:t xml:space="preserve"> on </w:t>
      </w:r>
      <w:r w:rsidRPr="00247DF8">
        <w:rPr>
          <w:rStyle w:val="StyleBoldUnderline"/>
        </w:rPr>
        <w:t>in the spotlight ahead of the 2014 midterm elections</w:t>
      </w:r>
      <w:r w:rsidRPr="00247DF8">
        <w:t xml:space="preserve">. At this point, </w:t>
      </w:r>
      <w:r w:rsidRPr="00247DF8">
        <w:rPr>
          <w:rStyle w:val="StyleBoldUnderline"/>
        </w:rPr>
        <w:t>the fight i</w:t>
      </w:r>
      <w:r w:rsidRPr="00247DF8">
        <w:t>s</w:t>
      </w:r>
      <w:r>
        <w:t xml:space="preserve"> really </w:t>
      </w:r>
      <w:r w:rsidRPr="00CA46DF">
        <w:rPr>
          <w:rStyle w:val="StyleBoldUnderline"/>
        </w:rPr>
        <w:t xml:space="preserve">another debate between the White House and the conservative wing of the House GOP caucus, a situation that could equal </w:t>
      </w:r>
      <w:r w:rsidRPr="002E6375">
        <w:rPr>
          <w:rStyle w:val="StyleBoldUnderline"/>
          <w:highlight w:val="yellow"/>
        </w:rPr>
        <w:t>déjà vu</w:t>
      </w:r>
      <w:r w:rsidRPr="00CA46DF">
        <w:rPr>
          <w:rStyle w:val="StyleBoldUnderline"/>
        </w:rPr>
        <w:t xml:space="preserve"> for political observers. </w:t>
      </w:r>
      <w:r w:rsidRPr="002E6375">
        <w:rPr>
          <w:rStyle w:val="StyleBoldUnderline"/>
          <w:highlight w:val="yellow"/>
        </w:rPr>
        <w:t xml:space="preserve">Conservatives </w:t>
      </w:r>
      <w:r w:rsidRPr="00247DF8">
        <w:rPr>
          <w:rStyle w:val="StyleBoldUnderline"/>
        </w:rPr>
        <w:t xml:space="preserve">have </w:t>
      </w:r>
      <w:r w:rsidRPr="002E6375">
        <w:rPr>
          <w:rStyle w:val="StyleBoldUnderline"/>
          <w:highlight w:val="yellow"/>
        </w:rPr>
        <w:t xml:space="preserve">lined up against </w:t>
      </w:r>
      <w:r w:rsidRPr="00247DF8">
        <w:rPr>
          <w:rStyle w:val="StyleBoldUnderline"/>
        </w:rPr>
        <w:t xml:space="preserve">a </w:t>
      </w:r>
      <w:r w:rsidRPr="002E6375">
        <w:rPr>
          <w:rStyle w:val="StyleBoldUnderline"/>
          <w:highlight w:val="yellow"/>
        </w:rPr>
        <w:t>Senate-</w:t>
      </w:r>
      <w:r w:rsidRPr="00247DF8">
        <w:rPr>
          <w:rStyle w:val="StyleBoldUnderline"/>
        </w:rPr>
        <w:t>passed i</w:t>
      </w:r>
      <w:r w:rsidRPr="002E6375">
        <w:rPr>
          <w:rStyle w:val="StyleBoldUnderline"/>
          <w:highlight w:val="yellow"/>
        </w:rPr>
        <w:t xml:space="preserve">mmigration bill, </w:t>
      </w:r>
      <w:r w:rsidRPr="00247DF8">
        <w:rPr>
          <w:rStyle w:val="StyleBoldUnderline"/>
        </w:rPr>
        <w:t>and</w:t>
      </w:r>
      <w:r>
        <w:t xml:space="preserve"> House Speaker </w:t>
      </w:r>
      <w:r w:rsidRPr="002E6375">
        <w:rPr>
          <w:rStyle w:val="StyleBoldUnderline"/>
          <w:highlight w:val="yellow"/>
        </w:rPr>
        <w:t>Boehner has refused to move the</w:t>
      </w:r>
      <w:r>
        <w:t xml:space="preserve"> the </w:t>
      </w:r>
      <w:r w:rsidRPr="00CA46DF">
        <w:rPr>
          <w:rStyle w:val="StyleBoldUnderline"/>
        </w:rPr>
        <w:t xml:space="preserve">Senate </w:t>
      </w:r>
      <w:r w:rsidRPr="002E6375">
        <w:rPr>
          <w:rStyle w:val="StyleBoldUnderline"/>
          <w:highlight w:val="yellow"/>
        </w:rPr>
        <w:t>bill</w:t>
      </w:r>
      <w:r w:rsidRPr="00CA46DF">
        <w:rPr>
          <w:rStyle w:val="StyleBoldUnderline"/>
        </w:rPr>
        <w:t>, despite</w:t>
      </w:r>
      <w:r>
        <w:t xml:space="preserve"> its </w:t>
      </w:r>
      <w:r w:rsidRPr="00CA46DF">
        <w:rPr>
          <w:rStyle w:val="StyleBoldUnderline"/>
        </w:rPr>
        <w:t>bipartisan Senate support.</w:t>
      </w:r>
      <w:r w:rsidRPr="002E6375">
        <w:rPr>
          <w:rStyle w:val="StyleBoldUnderline"/>
          <w:sz w:val="12"/>
        </w:rPr>
        <w:t>¶</w:t>
      </w:r>
      <w:r w:rsidRPr="002E6375">
        <w:rPr>
          <w:sz w:val="12"/>
        </w:rPr>
        <w:t xml:space="preserve"> </w:t>
      </w:r>
      <w:r w:rsidRPr="002E6375">
        <w:rPr>
          <w:rStyle w:val="StyleBoldUnderline"/>
          <w:highlight w:val="yellow"/>
        </w:rPr>
        <w:t>Those dynamics don’t make</w:t>
      </w:r>
      <w:r w:rsidRPr="002E6375">
        <w:rPr>
          <w:rStyle w:val="StyleBoldUnderline"/>
        </w:rPr>
        <w:t xml:space="preserve"> Democratic </w:t>
      </w:r>
      <w:r w:rsidRPr="002E6375">
        <w:rPr>
          <w:rStyle w:val="StyleBoldUnderline"/>
          <w:highlight w:val="yellow"/>
        </w:rPr>
        <w:t>Senate veteran</w:t>
      </w:r>
      <w:r w:rsidRPr="002E6375">
        <w:rPr>
          <w:rStyle w:val="StyleBoldUnderline"/>
        </w:rPr>
        <w:t xml:space="preserve"> Jim</w:t>
      </w:r>
      <w:r>
        <w:t xml:space="preserve"> </w:t>
      </w:r>
      <w:r w:rsidRPr="002E6375">
        <w:rPr>
          <w:rStyle w:val="StyleBoldUnderline"/>
          <w:highlight w:val="yellow"/>
        </w:rPr>
        <w:t>Manley</w:t>
      </w:r>
      <w:r>
        <w:t xml:space="preserve"> especially </w:t>
      </w:r>
      <w:r w:rsidRPr="002E6375">
        <w:rPr>
          <w:rStyle w:val="StyleBoldUnderline"/>
          <w:highlight w:val="yellow"/>
        </w:rPr>
        <w:t>confident</w:t>
      </w:r>
      <w:r w:rsidRPr="00CA46DF">
        <w:rPr>
          <w:rStyle w:val="StyleBoldUnderline"/>
        </w:rPr>
        <w:t xml:space="preserve"> about the potential outcome of a new immigration fight</w:t>
      </w:r>
      <w:r>
        <w:t xml:space="preserve">, though he did agree that a return to reform is the logical move for the White House. Manley says </w:t>
      </w:r>
      <w:r w:rsidRPr="002E6375">
        <w:rPr>
          <w:rStyle w:val="StyleBoldUnderline"/>
          <w:highlight w:val="yellow"/>
        </w:rPr>
        <w:t>he</w:t>
      </w:r>
      <w:r>
        <w:t xml:space="preserve"> just </w:t>
      </w:r>
      <w:r w:rsidRPr="002E6375">
        <w:rPr>
          <w:rStyle w:val="StyleBoldUnderline"/>
          <w:highlight w:val="yellow"/>
        </w:rPr>
        <w:t>hasn’t seen</w:t>
      </w:r>
      <w:r>
        <w:t xml:space="preserve"> many </w:t>
      </w:r>
      <w:r w:rsidRPr="002E6375">
        <w:rPr>
          <w:rStyle w:val="StyleBoldUnderline"/>
          <w:highlight w:val="yellow"/>
        </w:rPr>
        <w:t>signs</w:t>
      </w:r>
      <w:r>
        <w:t xml:space="preserve"> that </w:t>
      </w:r>
      <w:r w:rsidRPr="002E6375">
        <w:rPr>
          <w:rStyle w:val="StyleBoldUnderline"/>
          <w:highlight w:val="yellow"/>
        </w:rPr>
        <w:t>conservatives</w:t>
      </w:r>
      <w:r w:rsidRPr="00CA46DF">
        <w:rPr>
          <w:rStyle w:val="StyleBoldUnderline"/>
        </w:rPr>
        <w:t xml:space="preserve"> have </w:t>
      </w:r>
      <w:r w:rsidRPr="002E6375">
        <w:rPr>
          <w:rStyle w:val="StyleBoldUnderline"/>
          <w:highlight w:val="yellow"/>
        </w:rPr>
        <w:t xml:space="preserve">learned </w:t>
      </w:r>
      <w:r w:rsidRPr="00247DF8">
        <w:rPr>
          <w:rStyle w:val="StyleBoldUnderline"/>
        </w:rPr>
        <w:t xml:space="preserve">much </w:t>
      </w:r>
      <w:r w:rsidRPr="002E6375">
        <w:rPr>
          <w:rStyle w:val="StyleBoldUnderline"/>
          <w:highlight w:val="yellow"/>
        </w:rPr>
        <w:t>from the</w:t>
      </w:r>
      <w:r w:rsidRPr="00CA46DF">
        <w:rPr>
          <w:rStyle w:val="StyleBoldUnderline"/>
        </w:rPr>
        <w:t xml:space="preserve"> current </w:t>
      </w:r>
      <w:r w:rsidRPr="002E6375">
        <w:rPr>
          <w:rStyle w:val="StyleBoldUnderline"/>
          <w:highlight w:val="yellow"/>
        </w:rPr>
        <w:t>fiscal battle</w:t>
      </w:r>
      <w:r w:rsidRPr="00CA46DF">
        <w:rPr>
          <w:rStyle w:val="StyleBoldUnderline"/>
        </w:rPr>
        <w:t xml:space="preserve"> and its impact on Republican poll numbers. </w:t>
      </w:r>
      <w:r w:rsidRPr="00247DF8">
        <w:rPr>
          <w:rStyle w:val="StyleBoldUnderline"/>
        </w:rPr>
        <w:t xml:space="preserve">That means </w:t>
      </w:r>
      <w:r w:rsidRPr="002E6375">
        <w:rPr>
          <w:rStyle w:val="StyleBoldUnderline"/>
          <w:highlight w:val="yellow"/>
        </w:rPr>
        <w:t>the reform debate is done before it starts</w:t>
      </w:r>
      <w:r w:rsidRPr="00CA46DF">
        <w:rPr>
          <w:rStyle w:val="StyleBoldUnderline"/>
        </w:rPr>
        <w:t>.</w:t>
      </w:r>
      <w:r w:rsidRPr="002E6375">
        <w:rPr>
          <w:rStyle w:val="StyleBoldUnderline"/>
          <w:sz w:val="12"/>
        </w:rPr>
        <w:t>¶</w:t>
      </w:r>
      <w:r w:rsidRPr="002E6375">
        <w:rPr>
          <w:sz w:val="12"/>
        </w:rPr>
        <w:t xml:space="preserve"> </w:t>
      </w:r>
      <w:r>
        <w:t xml:space="preserve">“I’m not prepared to go bravado on this thing yet. Maybe someone else is, but not me,” Manley said Monday. “The question is whether House Republicans, in particular, have learned anything about what we’ve gone through in the last couple weeks. There’s obviously a group of Republicans in the Senate who have had it with being led around by Ted Cruz and Mike Lee. </w:t>
      </w:r>
      <w:r w:rsidRPr="00CA46DF">
        <w:rPr>
          <w:rStyle w:val="StyleBoldUnderline"/>
        </w:rPr>
        <w:t>The question is how many minds are going to be changed in the House.”</w:t>
      </w:r>
      <w:r w:rsidRPr="002E6375">
        <w:rPr>
          <w:rStyle w:val="StyleBoldUnderline"/>
          <w:sz w:val="12"/>
        </w:rPr>
        <w:t>¶</w:t>
      </w:r>
      <w:r w:rsidRPr="002E6375">
        <w:rPr>
          <w:sz w:val="12"/>
        </w:rPr>
        <w:t xml:space="preserve"> </w:t>
      </w:r>
    </w:p>
    <w:p w:rsidR="009D267B" w:rsidRDefault="009D267B" w:rsidP="009D267B">
      <w:pPr>
        <w:pStyle w:val="Heading4"/>
      </w:pPr>
      <w:r w:rsidRPr="00B669C7">
        <w:t>Immigration reform won’t pass now; shutdown poisoned the well and the republicans need a “cooling off period”</w:t>
      </w:r>
    </w:p>
    <w:p w:rsidR="009D267B" w:rsidRPr="00F415AC" w:rsidRDefault="009D267B" w:rsidP="009D267B">
      <w:pPr>
        <w:rPr>
          <w:rStyle w:val="StyleStyleBold12pt"/>
        </w:rPr>
      </w:pPr>
      <w:r w:rsidRPr="00F415AC">
        <w:rPr>
          <w:rStyle w:val="StyleStyleBold12pt"/>
        </w:rPr>
        <w:t>Nowicki Oct 20th 2013</w:t>
      </w:r>
    </w:p>
    <w:p w:rsidR="009D267B" w:rsidRDefault="009D267B" w:rsidP="009D267B">
      <w:r>
        <w:t xml:space="preserve">[Dan Nowicki, The Arizona Republic, “Hopes dim for immigration reform,” Oct. 20, 2013 7:00 AM, </w:t>
      </w:r>
      <w:hyperlink r:id="rId11" w:history="1">
        <w:r w:rsidRPr="00EF4757">
          <w:rPr>
            <w:rStyle w:val="Hyperlink"/>
          </w:rPr>
          <w:t>http://news.cincinnati.com/usatoday/article/3062199//wyo-ng</w:t>
        </w:r>
      </w:hyperlink>
      <w:r>
        <w:t>]</w:t>
      </w:r>
    </w:p>
    <w:p w:rsidR="009D267B" w:rsidRPr="0068789F" w:rsidRDefault="009D267B" w:rsidP="009D267B"/>
    <w:p w:rsidR="009D267B" w:rsidRPr="00B669C7" w:rsidRDefault="009D267B" w:rsidP="009D267B">
      <w:pPr>
        <w:rPr>
          <w:rStyle w:val="StyleBoldUnderline"/>
        </w:rPr>
      </w:pPr>
    </w:p>
    <w:p w:rsidR="009D267B" w:rsidRDefault="009D267B" w:rsidP="009D267B">
      <w:pPr>
        <w:rPr>
          <w:rStyle w:val="StyleBoldUnderline"/>
        </w:rPr>
      </w:pPr>
      <w:r w:rsidRPr="0068789F">
        <w:rPr>
          <w:rStyle w:val="StyleBoldUnderline"/>
          <w:highlight w:val="yellow"/>
        </w:rPr>
        <w:t xml:space="preserve">Prospects for a comprehensive immigration reform bill remain cloudy after a bruising shutdown fight for Republicans </w:t>
      </w:r>
      <w:r w:rsidRPr="00B669C7">
        <w:rPr>
          <w:rStyle w:val="StyleBoldUnderline"/>
        </w:rPr>
        <w:t>that left hard feelings in Washington</w:t>
      </w:r>
      <w:r w:rsidRPr="00B669C7">
        <w:t xml:space="preserve"> even as activists continue to push their cause. </w:t>
      </w:r>
      <w:r w:rsidRPr="00B669C7">
        <w:rPr>
          <w:sz w:val="12"/>
        </w:rPr>
        <w:t xml:space="preserve">¶ </w:t>
      </w:r>
      <w:r w:rsidRPr="00B669C7">
        <w:rPr>
          <w:rStyle w:val="StyleBoldUnderline"/>
        </w:rPr>
        <w:t>“</w:t>
      </w:r>
      <w:r w:rsidRPr="0068789F">
        <w:rPr>
          <w:rStyle w:val="StyleBoldUnderline"/>
          <w:highlight w:val="yellow"/>
        </w:rPr>
        <w:t>The president’s actions and attitude over the past couple of weeks have certainly poisoned the well and made it harder to work together on any issue,”</w:t>
      </w:r>
      <w:r w:rsidRPr="00B669C7">
        <w:t xml:space="preserve"> said a GOP leadership aide asked about the chances of major immigration legislation making it to the White House. </w:t>
      </w:r>
      <w:r w:rsidRPr="00B669C7">
        <w:rPr>
          <w:sz w:val="12"/>
        </w:rPr>
        <w:t xml:space="preserve">¶ </w:t>
      </w:r>
      <w:r w:rsidRPr="00B669C7">
        <w:rPr>
          <w:rStyle w:val="StyleBoldUnderline"/>
        </w:rPr>
        <w:t xml:space="preserve">Republican leaders say they remain committed to fixing the nation’s broken immigration system. </w:t>
      </w:r>
      <w:r w:rsidRPr="0068789F">
        <w:rPr>
          <w:rStyle w:val="StyleBoldUnderline"/>
          <w:highlight w:val="yellow"/>
        </w:rPr>
        <w:t>But, as the dust settles from the shutdown mess, both sides say that the time isn’t exactly optimal for a Kumbaya moment. “There will definitely have to be a cooling off period,</w:t>
      </w:r>
      <w:r w:rsidRPr="00B669C7">
        <w:rPr>
          <w:rStyle w:val="StyleBoldUnderline"/>
        </w:rPr>
        <w:t>”</w:t>
      </w:r>
      <w:r w:rsidRPr="00B669C7">
        <w:t xml:space="preserve"> said Marshall Fitz, the director of immigration policy for the progressive Center for American Progress. Republicans hold "a sense of, ‘Yes, we lost, but we won’t back down,'” he said. </w:t>
      </w:r>
      <w:r w:rsidRPr="00B669C7">
        <w:rPr>
          <w:rStyle w:val="StyleBoldUnderline"/>
        </w:rPr>
        <w:t>"</w:t>
      </w:r>
      <w:r w:rsidRPr="0068789F">
        <w:rPr>
          <w:rStyle w:val="StyleBoldUnderline"/>
          <w:highlight w:val="yellow"/>
        </w:rPr>
        <w:t xml:space="preserve">It certainly feels like the fever has not broken.” </w:t>
      </w:r>
    </w:p>
    <w:p w:rsidR="009D267B" w:rsidRDefault="009D267B" w:rsidP="009D267B">
      <w:pPr>
        <w:rPr>
          <w:rStyle w:val="StyleBoldUnderline"/>
        </w:rPr>
      </w:pPr>
    </w:p>
    <w:p w:rsidR="009D267B" w:rsidRDefault="009D267B" w:rsidP="009D267B">
      <w:pPr>
        <w:rPr>
          <w:rStyle w:val="StyleBoldUnderline"/>
        </w:rPr>
      </w:pPr>
    </w:p>
    <w:p w:rsidR="009D267B" w:rsidRDefault="009D267B" w:rsidP="009D267B">
      <w:pPr>
        <w:pStyle w:val="Heading2"/>
      </w:pPr>
      <w:r>
        <w:t>Prez powers</w:t>
      </w:r>
    </w:p>
    <w:p w:rsidR="009D267B" w:rsidRDefault="009D267B" w:rsidP="009D267B">
      <w:pPr>
        <w:pStyle w:val="Heading4"/>
      </w:pPr>
      <w:r>
        <w:t>1</w:t>
      </w:r>
      <w:r w:rsidRPr="005F1991">
        <w:rPr>
          <w:vertAlign w:val="superscript"/>
        </w:rPr>
        <w:t>st</w:t>
      </w:r>
      <w:r>
        <w:t>, Pres powers low now—Syria decision undermined Obama’s presidential powers</w:t>
      </w:r>
    </w:p>
    <w:p w:rsidR="009D267B" w:rsidRPr="000B0829" w:rsidRDefault="009D267B" w:rsidP="009D267B">
      <w:pPr>
        <w:rPr>
          <w:rStyle w:val="StyleStyleBold12pt"/>
        </w:rPr>
      </w:pPr>
      <w:r w:rsidRPr="000B0829">
        <w:rPr>
          <w:rStyle w:val="StyleStyleBold12pt"/>
        </w:rPr>
        <w:t>Nather and Palmer, 9-1-13</w:t>
      </w:r>
    </w:p>
    <w:p w:rsidR="009D267B" w:rsidRDefault="009D267B" w:rsidP="009D267B">
      <w:r>
        <w:t xml:space="preserve">[David and Anna, Politico, </w:t>
      </w:r>
      <w:r w:rsidRPr="000B0829">
        <w:t>Bushies fear Obama weakening presidency</w:t>
      </w:r>
      <w:r>
        <w:t xml:space="preserve">, </w:t>
      </w:r>
      <w:r w:rsidRPr="000B0829">
        <w:t>http://www.politico.com/story/2013/09/bushies-fear-obama-weakening-presidency-96143.html</w:t>
      </w:r>
      <w:r>
        <w:t>] /Wyo-MB</w:t>
      </w:r>
    </w:p>
    <w:p w:rsidR="009D267B" w:rsidRPr="000B0829" w:rsidRDefault="009D267B" w:rsidP="009D267B">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rsidR="009D267B" w:rsidRPr="000B0829" w:rsidRDefault="009D267B" w:rsidP="009D267B">
      <w:pPr>
        <w:pStyle w:val="Heading4"/>
      </w:pPr>
      <w:r>
        <w:t>2</w:t>
      </w:r>
      <w:r w:rsidRPr="000B0829">
        <w:rPr>
          <w:vertAlign w:val="superscript"/>
        </w:rPr>
        <w:t>nd</w:t>
      </w:r>
      <w:r>
        <w:t xml:space="preserve">, </w:t>
      </w:r>
      <w:r w:rsidRPr="000B0829">
        <w:t>A multitude of other actors hamper presidential flexibility</w:t>
      </w:r>
      <w:r>
        <w:t>—thumps the disad</w:t>
      </w:r>
    </w:p>
    <w:p w:rsidR="009D267B" w:rsidRPr="00ED38A0" w:rsidRDefault="009D267B" w:rsidP="009D267B">
      <w:pPr>
        <w:rPr>
          <w:rStyle w:val="StyleStyleBold12pt"/>
        </w:rPr>
      </w:pPr>
      <w:r w:rsidRPr="00ED38A0">
        <w:rPr>
          <w:rStyle w:val="StyleStyleBold12pt"/>
        </w:rPr>
        <w:t>Rozell 12</w:t>
      </w:r>
    </w:p>
    <w:p w:rsidR="009D267B" w:rsidRDefault="009D267B" w:rsidP="009D267B">
      <w:pPr>
        <w:rPr>
          <w:sz w:val="16"/>
          <w:szCs w:val="16"/>
        </w:rPr>
      </w:pPr>
      <w:r w:rsidRPr="00ED38A0">
        <w:rPr>
          <w:sz w:val="16"/>
          <w:szCs w:val="16"/>
        </w:rPr>
        <w:t xml:space="preserve">(Mark Rozell, Professor of Public Policy, George Mason University, “From Idealism to Power: The Presidency in the Age of Obama” 2012, </w:t>
      </w:r>
      <w:hyperlink r:id="rId12" w:history="1">
        <w:r w:rsidRPr="00ED38A0">
          <w:rPr>
            <w:rStyle w:val="Hyperlink"/>
            <w:sz w:val="16"/>
            <w:szCs w:val="16"/>
          </w:rPr>
          <w:t>http://www.libertylawsite.org/book-review/from-idealism-to-power-the-presidency-in-the-age-of-obama/</w:t>
        </w:r>
      </w:hyperlink>
      <w:r w:rsidRPr="00ED38A0">
        <w:rPr>
          <w:sz w:val="16"/>
          <w:szCs w:val="16"/>
        </w:rPr>
        <w:t>, KB)</w:t>
      </w:r>
    </w:p>
    <w:p w:rsidR="009D267B" w:rsidRPr="000B0829" w:rsidRDefault="009D267B" w:rsidP="009D267B">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9D267B" w:rsidRDefault="009D267B" w:rsidP="009D267B">
      <w:pPr>
        <w:spacing w:after="200" w:line="276" w:lineRule="auto"/>
        <w:rPr>
          <w:rFonts w:asciiTheme="minorHAnsi" w:hAnsiTheme="minorHAnsi" w:cstheme="minorBidi"/>
        </w:rPr>
      </w:pPr>
    </w:p>
    <w:p w:rsidR="009D267B" w:rsidRDefault="009D267B" w:rsidP="009D267B">
      <w:pPr>
        <w:pStyle w:val="Heading1"/>
      </w:pPr>
      <w:r>
        <w:t>1ar</w:t>
      </w:r>
    </w:p>
    <w:p w:rsidR="009D267B" w:rsidRPr="00CF3A9D" w:rsidRDefault="009D267B" w:rsidP="009D267B">
      <w:pPr>
        <w:pStyle w:val="Heading4"/>
      </w:pPr>
      <w:r w:rsidRPr="00CF3A9D">
        <w:t>drone courts popular</w:t>
      </w:r>
      <w:r>
        <w:t>—particularly</w:t>
      </w:r>
      <w:r w:rsidRPr="00CF3A9D">
        <w:t xml:space="preserve"> with Feinstein and King</w:t>
      </w:r>
    </w:p>
    <w:p w:rsidR="009D267B" w:rsidRPr="00AD25CA" w:rsidRDefault="009D267B" w:rsidP="009D267B">
      <w:pPr>
        <w:rPr>
          <w:rStyle w:val="StyleStyleBold12pt"/>
        </w:rPr>
      </w:pPr>
      <w:r w:rsidRPr="00AD25CA">
        <w:rPr>
          <w:rStyle w:val="StyleStyleBold12pt"/>
        </w:rPr>
        <w:t>Hosenball, 2-8-2013</w:t>
      </w:r>
    </w:p>
    <w:p w:rsidR="009D267B" w:rsidRDefault="009D267B" w:rsidP="009D267B">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rsidR="009D267B" w:rsidRDefault="009D267B" w:rsidP="009D267B">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w:t>
      </w:r>
      <w:r w:rsidRPr="00FC13C8">
        <w:rPr>
          <w:rStyle w:val="TitleChar"/>
          <w:highlight w:val="yellow"/>
        </w:rPr>
        <w:t xml:space="preserve">special federal </w:t>
      </w:r>
      <w:r w:rsidRPr="00DA2C1C">
        <w:rPr>
          <w:rStyle w:val="TitleChar"/>
          <w:highlight w:val="green"/>
        </w:rPr>
        <w:t xml:space="preserve">"drone court" that would approve </w:t>
      </w:r>
      <w:r w:rsidRPr="00FC13C8">
        <w:rPr>
          <w:rStyle w:val="TitleChar"/>
          <w:highlight w:val="yellow"/>
        </w:rPr>
        <w:t xml:space="preserve">suspected militants for </w:t>
      </w:r>
      <w:r w:rsidRPr="00DA2C1C">
        <w:rPr>
          <w:rStyle w:val="TitleChar"/>
          <w:highlight w:val="green"/>
        </w:rPr>
        <w:t>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 xml:space="preserve">a </w:t>
      </w:r>
      <w:r w:rsidRPr="00FC13C8">
        <w:rPr>
          <w:rStyle w:val="TitleChar"/>
          <w:highlight w:val="yellow"/>
        </w:rPr>
        <w:t xml:space="preserve">secret </w:t>
      </w:r>
      <w:r w:rsidRPr="00DA2C1C">
        <w:rPr>
          <w:rStyle w:val="TitleChar"/>
          <w:highlight w:val="green"/>
        </w:rPr>
        <w:t>court</w:t>
      </w:r>
      <w:r w:rsidRPr="00075BE8">
        <w:rPr>
          <w:rStyle w:val="TitleChar"/>
        </w:rPr>
        <w:t xml:space="preserve"> </w:t>
      </w:r>
      <w:r>
        <w:t xml:space="preserve">or tribunal </w:t>
      </w:r>
      <w:r w:rsidRPr="00DA2C1C">
        <w:rPr>
          <w:rStyle w:val="TitleChar"/>
          <w:highlight w:val="green"/>
        </w:rPr>
        <w:t xml:space="preserve">to rule on </w:t>
      </w:r>
      <w:r w:rsidRPr="00FC13C8">
        <w:rPr>
          <w:rStyle w:val="TitleChar"/>
          <w:highlight w:val="yellow"/>
        </w:rPr>
        <w:t xml:space="preserve">the </w:t>
      </w:r>
      <w:r w:rsidRPr="00DA2C1C">
        <w:rPr>
          <w:rStyle w:val="TitleChar"/>
          <w:highlight w:val="green"/>
        </w:rPr>
        <w:t xml:space="preserve">validity of cases </w:t>
      </w:r>
      <w:r w:rsidRPr="00FC13C8">
        <w:rPr>
          <w:rStyle w:val="TitleChar"/>
          <w:highlight w:val="yellow"/>
        </w:rPr>
        <w:t xml:space="preserve">that </w:t>
      </w:r>
      <w:r w:rsidRPr="00DA2C1C">
        <w:rPr>
          <w:rStyle w:val="TitleChar"/>
          <w:highlight w:val="green"/>
        </w:rPr>
        <w:t xml:space="preserve">U.S. intelligence agencies draw up for killing </w:t>
      </w:r>
      <w:r w:rsidRPr="00FC13C8">
        <w:rPr>
          <w:rStyle w:val="TitleChar"/>
          <w:highlight w:val="yellow"/>
        </w:rPr>
        <w:t xml:space="preserve">suspected militants </w:t>
      </w:r>
      <w:r w:rsidRPr="00DA2C1C">
        <w:rPr>
          <w:rStyle w:val="TitleChar"/>
          <w:highlight w:val="green"/>
        </w:rPr>
        <w:t>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FC13C8">
        <w:rPr>
          <w:rStyle w:val="TitleChar"/>
          <w:highlight w:val="yellow"/>
        </w:rPr>
        <w:t>said</w:t>
      </w:r>
      <w:r w:rsidRPr="00075BE8">
        <w:rPr>
          <w:rStyle w:val="TitleChar"/>
        </w:rPr>
        <w:t xml:space="preserve"> Thursday that </w:t>
      </w:r>
      <w:r w:rsidRPr="00FC13C8">
        <w:rPr>
          <w:rStyle w:val="TitleChar"/>
          <w:highlight w:val="yellow"/>
        </w:rPr>
        <w:t xml:space="preserve">she </w:t>
      </w:r>
      <w:r w:rsidRPr="00DA2C1C">
        <w:rPr>
          <w:rStyle w:val="TitleChar"/>
          <w:highlight w:val="green"/>
        </w:rPr>
        <w:t>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FC13C8">
        <w:rPr>
          <w:rStyle w:val="TitleChar"/>
          <w:highlight w:val="yellow"/>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rsidR="009D267B" w:rsidRPr="007A6EF0" w:rsidRDefault="009D267B" w:rsidP="009D267B"/>
    <w:p w:rsidR="001413B2" w:rsidRPr="009D267B" w:rsidRDefault="001413B2" w:rsidP="009D267B">
      <w:bookmarkStart w:id="0" w:name="_GoBack"/>
      <w:bookmarkEnd w:id="0"/>
    </w:p>
    <w:sectPr w:rsidR="001413B2" w:rsidRPr="009D2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8DB" w:rsidRDefault="007368DB" w:rsidP="005F5576">
      <w:r>
        <w:separator/>
      </w:r>
    </w:p>
  </w:endnote>
  <w:endnote w:type="continuationSeparator" w:id="0">
    <w:p w:rsidR="007368DB" w:rsidRDefault="007368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Bold">
    <w:altName w:val="Garamond"/>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8DB" w:rsidRDefault="007368DB" w:rsidP="005F5576">
      <w:r>
        <w:separator/>
      </w:r>
    </w:p>
  </w:footnote>
  <w:footnote w:type="continuationSeparator" w:id="0">
    <w:p w:rsidR="007368DB" w:rsidRDefault="007368D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08"/>
    <w:rsid w:val="000022F2"/>
    <w:rsid w:val="00021F29"/>
    <w:rsid w:val="00027EED"/>
    <w:rsid w:val="00033028"/>
    <w:rsid w:val="000360A7"/>
    <w:rsid w:val="00052A1D"/>
    <w:rsid w:val="00055E12"/>
    <w:rsid w:val="00064A59"/>
    <w:rsid w:val="0007162E"/>
    <w:rsid w:val="00077722"/>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3B2"/>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1AD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3A08"/>
    <w:rsid w:val="0042682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68DB"/>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267B"/>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6AEB"/>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B52960-879F-4BDF-8B4C-3FC8E002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D267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D26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26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26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9D26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2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267B"/>
  </w:style>
  <w:style w:type="character" w:customStyle="1" w:styleId="Heading1Char">
    <w:name w:val="Heading 1 Char"/>
    <w:aliases w:val="Pocket Char"/>
    <w:basedOn w:val="DefaultParagraphFont"/>
    <w:link w:val="Heading1"/>
    <w:uiPriority w:val="1"/>
    <w:rsid w:val="009D267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267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D267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267B"/>
    <w:rPr>
      <w:b/>
      <w:bCs/>
    </w:rPr>
  </w:style>
  <w:style w:type="character" w:customStyle="1" w:styleId="Heading3Char">
    <w:name w:val="Heading 3 Char"/>
    <w:aliases w:val="Block Char"/>
    <w:basedOn w:val="DefaultParagraphFont"/>
    <w:link w:val="Heading3"/>
    <w:uiPriority w:val="3"/>
    <w:rsid w:val="009D267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9D267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D267B"/>
    <w:rPr>
      <w:b/>
      <w:bCs/>
      <w:sz w:val="26"/>
      <w:u w:val="none"/>
    </w:rPr>
  </w:style>
  <w:style w:type="paragraph" w:styleId="Header">
    <w:name w:val="header"/>
    <w:basedOn w:val="Normal"/>
    <w:link w:val="HeaderChar"/>
    <w:uiPriority w:val="99"/>
    <w:semiHidden/>
    <w:rsid w:val="009D267B"/>
    <w:pPr>
      <w:tabs>
        <w:tab w:val="center" w:pos="4680"/>
        <w:tab w:val="right" w:pos="9360"/>
      </w:tabs>
    </w:pPr>
  </w:style>
  <w:style w:type="character" w:customStyle="1" w:styleId="HeaderChar">
    <w:name w:val="Header Char"/>
    <w:basedOn w:val="DefaultParagraphFont"/>
    <w:link w:val="Header"/>
    <w:uiPriority w:val="99"/>
    <w:semiHidden/>
    <w:rsid w:val="009D267B"/>
    <w:rPr>
      <w:rFonts w:ascii="Calibri" w:hAnsi="Calibri" w:cs="Calibri"/>
    </w:rPr>
  </w:style>
  <w:style w:type="paragraph" w:styleId="Footer">
    <w:name w:val="footer"/>
    <w:basedOn w:val="Normal"/>
    <w:link w:val="FooterChar"/>
    <w:uiPriority w:val="99"/>
    <w:semiHidden/>
    <w:rsid w:val="009D267B"/>
    <w:pPr>
      <w:tabs>
        <w:tab w:val="center" w:pos="4680"/>
        <w:tab w:val="right" w:pos="9360"/>
      </w:tabs>
    </w:pPr>
  </w:style>
  <w:style w:type="character" w:customStyle="1" w:styleId="FooterChar">
    <w:name w:val="Footer Char"/>
    <w:basedOn w:val="DefaultParagraphFont"/>
    <w:link w:val="Footer"/>
    <w:uiPriority w:val="99"/>
    <w:semiHidden/>
    <w:rsid w:val="009D267B"/>
    <w:rPr>
      <w:rFonts w:ascii="Calibri" w:hAnsi="Calibri" w:cs="Calibri"/>
    </w:rPr>
  </w:style>
  <w:style w:type="character" w:styleId="Hyperlink">
    <w:name w:val="Hyperlink"/>
    <w:aliases w:val="heading 1 (block title),Read,Important,Internet Link,Card Text"/>
    <w:basedOn w:val="DefaultParagraphFont"/>
    <w:uiPriority w:val="99"/>
    <w:rsid w:val="009D267B"/>
    <w:rPr>
      <w:color w:val="auto"/>
      <w:u w:val="none"/>
    </w:rPr>
  </w:style>
  <w:style w:type="character" w:styleId="FollowedHyperlink">
    <w:name w:val="FollowedHyperlink"/>
    <w:basedOn w:val="DefaultParagraphFont"/>
    <w:uiPriority w:val="99"/>
    <w:semiHidden/>
    <w:rsid w:val="009D267B"/>
    <w:rPr>
      <w:color w:val="auto"/>
      <w:u w:val="none"/>
    </w:rPr>
  </w:style>
  <w:style w:type="character" w:customStyle="1" w:styleId="Heading4Char">
    <w:name w:val="Heading 4 Char"/>
    <w:aliases w:val="Tag Char,Big card Char,Normal Tag Char,body Char,small text Char,heading 2 Char, Ch Char,Ch Char,no read Char,No Spacing2111 Char,No Spacing4 Char,No Spacing11111 Char,No Spacing5 Char,No Spacing21 Char,Heading 2 Char2 Char Char,TAG Char"/>
    <w:basedOn w:val="DefaultParagraphFont"/>
    <w:link w:val="Heading4"/>
    <w:uiPriority w:val="4"/>
    <w:rsid w:val="009D267B"/>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077722"/>
    <w:rPr>
      <w:b/>
      <w:u w:val="single"/>
    </w:rPr>
  </w:style>
  <w:style w:type="paragraph" w:styleId="Title">
    <w:name w:val="Title"/>
    <w:aliases w:val="Bold Underlined,Cites and Cards,UNDERLINE"/>
    <w:basedOn w:val="Normal"/>
    <w:next w:val="Normal"/>
    <w:link w:val="TitleChar"/>
    <w:uiPriority w:val="6"/>
    <w:qFormat/>
    <w:rsid w:val="00077722"/>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07772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9D267B"/>
    <w:rPr>
      <w:b/>
      <w:u w:val="single"/>
    </w:rPr>
  </w:style>
  <w:style w:type="paragraph" w:customStyle="1" w:styleId="textbold">
    <w:name w:val="text bold"/>
    <w:basedOn w:val="Normal"/>
    <w:link w:val="underline"/>
    <w:qFormat/>
    <w:rsid w:val="009D267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9D267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D267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ibertylawsite.org/book-review/from-idealism-to-power-the-presidency-in-the-age-of-oba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cincinnati.com/usatoday/article/3062199//wyo-ng" TargetMode="External"/><Relationship Id="rId5" Type="http://schemas.openxmlformats.org/officeDocument/2006/relationships/settings" Target="settings.xml"/><Relationship Id="rId10" Type="http://schemas.openxmlformats.org/officeDocument/2006/relationships/hyperlink" Target="http://www.dissentmagazine.org/menutest/archives/2003/wi03/wapner.htm" TargetMode="External"/><Relationship Id="rId4" Type="http://schemas.openxmlformats.org/officeDocument/2006/relationships/styles" Target="styles.xml"/><Relationship Id="rId9" Type="http://schemas.openxmlformats.org/officeDocument/2006/relationships/hyperlink" Target="http://jurist.org/forum/2013/03/amos-guiora-drone-policy.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e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Selene Figueroa</cp:lastModifiedBy>
  <cp:revision>2</cp:revision>
  <dcterms:created xsi:type="dcterms:W3CDTF">2013-10-20T21:14:00Z</dcterms:created>
  <dcterms:modified xsi:type="dcterms:W3CDTF">2013-10-20T21:14:00Z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