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 Plot the converged policy and value function for this grid world.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i w:val="1"/>
          <w:rtl w:val="0"/>
        </w:rPr>
        <w:t xml:space="preserve">ipython solution link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https://drive.google.com/file/d/19-g9yx7eh1OO4fVT4kHCbpin3FrtINwb/view?usp=sharing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Q2. Do it for Gamma = 0.1, 0.5 and 0.9, take epsilon = 0.1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discount factor determines the importance of future rewards. A factor of 0 makes the agent short-sighted by only considering current rewards, while a factor approaching 1 will make it strive for a long-term high reward.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the below convergence policy fig, at different gamma values depicts -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Lower value of gamma, prioritized immediate rewards more than the long term reward.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Whereas a larger value of gamma, prioritized long term rewards more than the immediate reward.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lower value of gamma, hinders the model to learn the optimal policy. Whereas a larger value of gamma promotes better optimal policy.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Lower gamma leads to - immediate convergence, which might not be better whereas a larger value of gamma promotes gradual convergence.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838825" cy="3219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Q3. For gamma = 0.9, plot the no. of steps to reach the goal across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episodes for epsilon = 0.1, 0.3 and 0.5.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i w:val="1"/>
          <w:rtl w:val="0"/>
        </w:rPr>
        <w:t xml:space="preserve">Epsilon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 greedy exploration, where the agent chooses a random action with probability </w:t>
      </w:r>
      <w:r w:rsidDel="00000000" w:rsidR="00000000" w:rsidRPr="00000000">
        <w:rPr>
          <w:rtl w:val="0"/>
        </w:rPr>
        <w:t xml:space="preserve">epsilon</w:t>
      </w:r>
      <w:r w:rsidDel="00000000" w:rsidR="00000000" w:rsidRPr="00000000">
        <w:rPr>
          <w:rtl w:val="0"/>
        </w:rPr>
        <w:t xml:space="preserve"> and the action with the highest Q-value with probability (</w:t>
      </w:r>
      <w:r w:rsidDel="00000000" w:rsidR="00000000" w:rsidRPr="00000000">
        <w:rPr>
          <w:rtl w:val="0"/>
        </w:rPr>
        <w:t xml:space="preserve">1 - epsilon). </w:t>
      </w:r>
      <w:r w:rsidDel="00000000" w:rsidR="00000000" w:rsidRPr="00000000">
        <w:rPr>
          <w:rtl w:val="0"/>
        </w:rPr>
        <w:t xml:space="preserve">This allows the agent to balance exploration (trying out new actions) and exploitation (choosing the best known action).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Based upon the observations, As the value of epsilon increases 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tries to exploration more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more random walks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inturn increases the number of steps required to converse to the Goal stage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leads to gradual decrease in below graph color shades and doesn’t get stuck at local optima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all the values of epsilon, observe that initially the number</w:t>
      </w:r>
      <w:r w:rsidDel="00000000" w:rsidR="00000000" w:rsidRPr="00000000">
        <w:rPr>
          <w:rtl w:val="0"/>
        </w:rPr>
        <w:t xml:space="preserve"> of steps to reach the goal is higher and gradually it decreases as initially the model explores more and as the learning increases it exploits more.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higher </w:t>
      </w:r>
      <w:r w:rsidDel="00000000" w:rsidR="00000000" w:rsidRPr="00000000">
        <w:rPr>
          <w:rtl w:val="0"/>
        </w:rPr>
        <w:t xml:space="preserve">epsilon</w:t>
      </w:r>
      <w:r w:rsidDel="00000000" w:rsidR="00000000" w:rsidRPr="00000000">
        <w:rPr>
          <w:rtl w:val="0"/>
        </w:rPr>
        <w:t xml:space="preserve"> leads to more steps initially as the agent explores more, but would lead to fewer steps in the long run as the agent learns a more optimal policy.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epsilon 0.1 - Policy Convergence = we see the effect of local maxim, around the terminal(red) block.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3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60"/>
        <w:gridCol w:w="1160"/>
        <w:gridCol w:w="1160"/>
        <w:gridCol w:w="1160"/>
        <w:tblGridChange w:id="0">
          <w:tblGrid>
            <w:gridCol w:w="3860"/>
            <w:gridCol w:w="1160"/>
            <w:gridCol w:w="1160"/>
            <w:gridCol w:w="11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Epsilon</w:t>
            </w:r>
          </w:p>
        </w:tc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Exploration (random action)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least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most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Exploitation (choose highest Q value)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least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converse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least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most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rate of convergence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slower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chances to get stuck at local maxim</w:t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most</w:t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least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3324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9-g9yx7eh1OO4fVT4kHCbpin3FrtINwb/view?usp=sharin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