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Understanding Rice Cultivation Practices and Yield Patterns among Smallholder Farmers in India: An Exploratory Data Analysis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productivity among smallholder farmers in India remains variable due to diverse agroecological conditions and management practices. Understanding these variations is essential to identify bottlenecks and effective strategies for improving crop outcomes.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uses detailed farm-level survey data collected by Digital Green in collaboration with JEEViKA and FAIR Forward. The dataset captures information on rice cultivation practices, land characteristics, input use, pest management, and yields for over 5,000 farmers in India.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explore the data to describe current farming practices, identify trends, and detect relationships between agronomic decisions and yield outcomes.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profiling of rice farming practices across surveyed farmers.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patterns and trends in yield outcomes based on farm size, soil type, fertilizer use, irrigation frequency, pest management, and other variables.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yield and input-use characteristics across subgroups (e.g. districts, landholding size categories, number of irrigation events).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challenges and data gaps that may inform future data collection and program design.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evidence-based recommendations for farmer-facing extension services.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0D">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What are the most common agronomic practices (fertilizer use, irrigation, transplanting timing, pest control) among rice farmers in the dataset?</w:t>
      </w:r>
    </w:p>
    <w:p w:rsidR="00000000" w:rsidDel="00000000" w:rsidP="00000000" w:rsidRDefault="00000000" w:rsidRPr="00000000" w14:paraId="0000000E">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How does rice yield vary by farm size, input application, irrigation frequency, and other land or management factors?</w:t>
      </w:r>
    </w:p>
    <w:p w:rsidR="00000000" w:rsidDel="00000000" w:rsidP="00000000" w:rsidRDefault="00000000" w:rsidRPr="00000000" w14:paraId="0000000F">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Are there observable trends in yield associated with specific practices (e.g., use of basal fertilizer, organic manure, early transplanting)?</w:t>
      </w:r>
    </w:p>
    <w:p w:rsidR="00000000" w:rsidDel="00000000" w:rsidP="00000000" w:rsidRDefault="00000000" w:rsidRPr="00000000" w14:paraId="00000010">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How do farming practices and outcomes differ by region, soil type, or irrigation access?</w:t>
      </w:r>
    </w:p>
    <w:p w:rsidR="00000000" w:rsidDel="00000000" w:rsidP="00000000" w:rsidRDefault="00000000" w:rsidRPr="00000000" w14:paraId="00000011">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What data quality or consistency issues exist that might affect program evaluation or policy recommendations?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approximately 5,000 farm-level observations on rice cultivation practices and yields, with over 40 variables including:</w:t>
      </w:r>
    </w:p>
    <w:p w:rsidR="00000000" w:rsidDel="00000000" w:rsidP="00000000" w:rsidRDefault="00000000" w:rsidRPr="00000000" w14:paraId="00000014">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Farm and land information</w:t>
      </w:r>
      <w:r w:rsidDel="00000000" w:rsidR="00000000" w:rsidRPr="00000000">
        <w:rPr>
          <w:rFonts w:ascii="Times New Roman" w:cs="Times New Roman" w:eastAsia="Times New Roman" w:hAnsi="Times New Roman"/>
          <w:sz w:val="24"/>
          <w:szCs w:val="24"/>
          <w:rtl w:val="0"/>
        </w:rPr>
        <w:t xml:space="preserve">: land size, soil type, tillage type, drainage conditions.</w:t>
      </w:r>
    </w:p>
    <w:p w:rsidR="00000000" w:rsidDel="00000000" w:rsidP="00000000" w:rsidRDefault="00000000" w:rsidRPr="00000000" w14:paraId="00000015">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Input use</w:t>
      </w:r>
      <w:r w:rsidDel="00000000" w:rsidR="00000000" w:rsidRPr="00000000">
        <w:rPr>
          <w:rFonts w:ascii="Times New Roman" w:cs="Times New Roman" w:eastAsia="Times New Roman" w:hAnsi="Times New Roman"/>
          <w:sz w:val="24"/>
          <w:szCs w:val="24"/>
          <w:rtl w:val="0"/>
        </w:rPr>
        <w:t xml:space="preserve">: basal and top-dress fertilizer application (quantities by type: Urea, DAP, NPK, SSP, Zinc), organic inputs.</w:t>
      </w:r>
    </w:p>
    <w:p w:rsidR="00000000" w:rsidDel="00000000" w:rsidP="00000000" w:rsidRDefault="00000000" w:rsidRPr="00000000" w14:paraId="00000016">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Crop management</w:t>
      </w:r>
      <w:r w:rsidDel="00000000" w:rsidR="00000000" w:rsidRPr="00000000">
        <w:rPr>
          <w:rFonts w:ascii="Times New Roman" w:cs="Times New Roman" w:eastAsia="Times New Roman" w:hAnsi="Times New Roman"/>
          <w:sz w:val="24"/>
          <w:szCs w:val="24"/>
          <w:rtl w:val="0"/>
        </w:rPr>
        <w:t xml:space="preserve">: transplanting date, nursery practices, irrigation count, pest/disease management type.</w:t>
      </w:r>
    </w:p>
    <w:p w:rsidR="00000000" w:rsidDel="00000000" w:rsidP="00000000" w:rsidRDefault="00000000" w:rsidRPr="00000000" w14:paraId="00000017">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Harvest data</w:t>
      </w:r>
      <w:r w:rsidDel="00000000" w:rsidR="00000000" w:rsidRPr="00000000">
        <w:rPr>
          <w:rFonts w:ascii="Times New Roman" w:cs="Times New Roman" w:eastAsia="Times New Roman" w:hAnsi="Times New Roman"/>
          <w:sz w:val="24"/>
          <w:szCs w:val="24"/>
          <w:rtl w:val="0"/>
        </w:rPr>
        <w:t xml:space="preserve">: harvest date, method, post-harvest practices.</w:t>
      </w:r>
    </w:p>
    <w:p w:rsidR="00000000" w:rsidDel="00000000" w:rsidP="00000000" w:rsidRDefault="00000000" w:rsidRPr="00000000" w14:paraId="00000018">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Exposure to extension services</w:t>
      </w:r>
      <w:r w:rsidDel="00000000" w:rsidR="00000000" w:rsidRPr="00000000">
        <w:rPr>
          <w:rFonts w:ascii="Times New Roman" w:cs="Times New Roman" w:eastAsia="Times New Roman" w:hAnsi="Times New Roman"/>
          <w:sz w:val="24"/>
          <w:szCs w:val="24"/>
          <w:rtl w:val="0"/>
        </w:rPr>
        <w:t xml:space="preserve">: digital scorecards, video viewing, geofencing activities.</w:t>
      </w:r>
    </w:p>
    <w:p w:rsidR="00000000" w:rsidDel="00000000" w:rsidP="00000000" w:rsidRDefault="00000000" w:rsidRPr="00000000" w14:paraId="00000019">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Yield outcomes</w:t>
      </w:r>
      <w:r w:rsidDel="00000000" w:rsidR="00000000" w:rsidRPr="00000000">
        <w:rPr>
          <w:rFonts w:ascii="Times New Roman" w:cs="Times New Roman" w:eastAsia="Times New Roman" w:hAnsi="Times New Roman"/>
          <w:sz w:val="24"/>
          <w:szCs w:val="24"/>
          <w:rtl w:val="0"/>
        </w:rPr>
        <w:t xml:space="preserve">: crop yield (kg) per main plot area.</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Deliverables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Cleaned and structured rice cultivation dataset.</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report with:</w:t>
      </w:r>
    </w:p>
    <w:p w:rsidR="00000000" w:rsidDel="00000000" w:rsidP="00000000" w:rsidRDefault="00000000" w:rsidRPr="00000000" w14:paraId="0000001E">
      <w:pPr>
        <w:numPr>
          <w:ilvl w:val="1"/>
          <w:numId w:val="2"/>
        </w:numPr>
        <w:ind w:left="1440" w:hanging="360"/>
        <w:rPr/>
      </w:pPr>
      <w:r w:rsidDel="00000000" w:rsidR="00000000" w:rsidRPr="00000000">
        <w:rPr>
          <w:rFonts w:ascii="Times New Roman" w:cs="Times New Roman" w:eastAsia="Times New Roman" w:hAnsi="Times New Roman"/>
          <w:sz w:val="24"/>
          <w:szCs w:val="24"/>
          <w:rtl w:val="0"/>
        </w:rPr>
        <w:t xml:space="preserve">Descriptive statistics.</w:t>
      </w:r>
    </w:p>
    <w:p w:rsidR="00000000" w:rsidDel="00000000" w:rsidP="00000000" w:rsidRDefault="00000000" w:rsidRPr="00000000" w14:paraId="0000001F">
      <w:pPr>
        <w:numPr>
          <w:ilvl w:val="1"/>
          <w:numId w:val="2"/>
        </w:numPr>
        <w:ind w:left="1440" w:hanging="360"/>
        <w:rPr/>
      </w:pPr>
      <w:r w:rsidDel="00000000" w:rsidR="00000000" w:rsidRPr="00000000">
        <w:rPr>
          <w:rFonts w:ascii="Times New Roman" w:cs="Times New Roman" w:eastAsia="Times New Roman" w:hAnsi="Times New Roman"/>
          <w:sz w:val="24"/>
          <w:szCs w:val="24"/>
          <w:rtl w:val="0"/>
        </w:rPr>
        <w:t xml:space="preserve">Visualizations of input use and yield patterns.</w:t>
      </w:r>
    </w:p>
    <w:p w:rsidR="00000000" w:rsidDel="00000000" w:rsidP="00000000" w:rsidRDefault="00000000" w:rsidRPr="00000000" w14:paraId="00000020">
      <w:pPr>
        <w:numPr>
          <w:ilvl w:val="1"/>
          <w:numId w:val="2"/>
        </w:numPr>
        <w:ind w:left="1440" w:hanging="360"/>
        <w:rPr/>
      </w:pPr>
      <w:r w:rsidDel="00000000" w:rsidR="00000000" w:rsidRPr="00000000">
        <w:rPr>
          <w:rFonts w:ascii="Times New Roman" w:cs="Times New Roman" w:eastAsia="Times New Roman" w:hAnsi="Times New Roman"/>
          <w:sz w:val="24"/>
          <w:szCs w:val="24"/>
          <w:rtl w:val="0"/>
        </w:rPr>
        <w:t xml:space="preserve">Subgroup comparisons and trend analyses.</w:t>
      </w:r>
    </w:p>
    <w:p w:rsidR="00000000" w:rsidDel="00000000" w:rsidP="00000000" w:rsidRDefault="00000000" w:rsidRPr="00000000" w14:paraId="00000021">
      <w:pPr>
        <w:numPr>
          <w:ilvl w:val="1"/>
          <w:numId w:val="2"/>
        </w:numPr>
        <w:ind w:left="1440" w:hanging="360"/>
        <w:rPr/>
      </w:pPr>
      <w:r w:rsidDel="00000000" w:rsidR="00000000" w:rsidRPr="00000000">
        <w:rPr>
          <w:rFonts w:ascii="Times New Roman" w:cs="Times New Roman" w:eastAsia="Times New Roman" w:hAnsi="Times New Roman"/>
          <w:sz w:val="24"/>
          <w:szCs w:val="24"/>
          <w:rtl w:val="0"/>
        </w:rPr>
        <w:t xml:space="preserve">Data quality assessment.</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key agronomic trends and yield variations.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for extension agents and program planners.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Dashboards for field-level use.</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tbl>
      <w:tblPr>
        <w:tblStyle w:val="Table1"/>
        <w:tblW w:w="6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4"/>
        <w:gridCol w:w="1696"/>
        <w:tblGridChange w:id="0">
          <w:tblGrid>
            <w:gridCol w:w="4364"/>
            <w:gridCol w:w="1696"/>
          </w:tblGrid>
        </w:tblGridChange>
      </w:tblGrid>
      <w:tr>
        <w:trPr>
          <w:cantSplit w:val="0"/>
          <w:trHeight w:val="503" w:hRule="atLeast"/>
          <w:tblHeader w:val="0"/>
        </w:trPr>
        <w:tc>
          <w:tcPr/>
          <w:p w:rsidR="00000000" w:rsidDel="00000000" w:rsidP="00000000" w:rsidRDefault="00000000" w:rsidRPr="00000000" w14:paraId="0000002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p w:rsidR="00000000" w:rsidDel="00000000" w:rsidP="00000000" w:rsidRDefault="00000000" w:rsidRPr="00000000" w14:paraId="0000002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w:t>
            </w:r>
          </w:p>
        </w:tc>
      </w:tr>
      <w:tr>
        <w:trPr>
          <w:cantSplit w:val="0"/>
          <w:trHeight w:val="503" w:hRule="atLeast"/>
          <w:tblHeader w:val="0"/>
        </w:trPr>
        <w:tc>
          <w:tcPr/>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&amp; Prep</w:t>
            </w:r>
          </w:p>
        </w:tc>
        <w:tc>
          <w:tcPr/>
          <w:p w:rsidR="00000000" w:rsidDel="00000000" w:rsidP="00000000" w:rsidRDefault="00000000" w:rsidRPr="00000000" w14:paraId="0000002A">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w:t>
            </w:r>
          </w:p>
        </w:tc>
        <w:tc>
          <w:tcPr/>
          <w:p w:rsidR="00000000" w:rsidDel="00000000" w:rsidP="00000000" w:rsidRDefault="00000000" w:rsidRPr="00000000" w14:paraId="0000002C">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Subgroup &amp; Trend Analysis</w:t>
            </w:r>
          </w:p>
        </w:tc>
        <w:tc>
          <w:tcPr/>
          <w:p w:rsidR="00000000" w:rsidDel="00000000" w:rsidP="00000000" w:rsidRDefault="00000000" w:rsidRPr="00000000" w14:paraId="0000002E">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&amp; Insight Report</w:t>
            </w:r>
          </w:p>
        </w:tc>
        <w:tc>
          <w:tcPr/>
          <w:p w:rsidR="00000000" w:rsidDel="00000000" w:rsidP="00000000" w:rsidRDefault="00000000" w:rsidRPr="00000000" w14:paraId="00000030">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&amp; Reporting</w:t>
            </w:r>
          </w:p>
        </w:tc>
        <w:tc>
          <w:tcPr/>
          <w:p w:rsidR="00000000" w:rsidDel="00000000" w:rsidP="00000000" w:rsidRDefault="00000000" w:rsidRPr="00000000" w14:paraId="00000032">
            <w:pPr>
              <w:spacing w:after="160"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Impact</w:t>
      </w:r>
    </w:p>
    <w:p w:rsidR="00000000" w:rsidDel="00000000" w:rsidP="00000000" w:rsidRDefault="00000000" w:rsidRPr="00000000" w14:paraId="00000035">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Provides a clear, data-driven snapshot of rice cultivation practices among smallholders.</w:t>
      </w:r>
    </w:p>
    <w:p w:rsidR="00000000" w:rsidDel="00000000" w:rsidP="00000000" w:rsidRDefault="00000000" w:rsidRPr="00000000" w14:paraId="00000036">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Highlights areas for targeted intervention (e.g., increasing irrigation access, promoting balanced fertilization).</w:t>
      </w:r>
    </w:p>
    <w:p w:rsidR="00000000" w:rsidDel="00000000" w:rsidP="00000000" w:rsidRDefault="00000000" w:rsidRPr="00000000" w14:paraId="00000037">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Equips extension workers with evidence to guide farmers toward practices associated with better outcomes.</w:t>
      </w:r>
    </w:p>
    <w:p w:rsidR="00000000" w:rsidDel="00000000" w:rsidP="00000000" w:rsidRDefault="00000000" w:rsidRPr="00000000" w14:paraId="00000038">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Informs future data collection priorities and survey tool improvements.</w:t>
      </w:r>
    </w:p>
    <w:p w:rsidR="00000000" w:rsidDel="00000000" w:rsidP="00000000" w:rsidRDefault="00000000" w:rsidRPr="00000000" w14:paraId="00000039">
      <w:pPr>
        <w:numPr>
          <w:ilvl w:val="0"/>
          <w:numId w:val="3"/>
        </w:numPr>
        <w:ind w:left="720" w:hanging="360"/>
        <w:rPr/>
      </w:pPr>
      <w:r w:rsidDel="00000000" w:rsidR="00000000" w:rsidRPr="00000000">
        <w:rPr>
          <w:rFonts w:ascii="Times New Roman" w:cs="Times New Roman" w:eastAsia="Times New Roman" w:hAnsi="Times New Roman"/>
          <w:sz w:val="24"/>
          <w:szCs w:val="24"/>
          <w:rtl w:val="0"/>
        </w:rPr>
        <w:t xml:space="preserve">Aligns with broader sustainable agriculture and food security goals in Bihar/India.</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B">
      <w:pPr>
        <w:numPr>
          <w:ilvl w:val="0"/>
          <w:numId w:val="4"/>
        </w:numPr>
        <w:ind w:left="720" w:hanging="360"/>
        <w:rPr/>
      </w:pPr>
      <w:r w:rsidDel="00000000" w:rsidR="00000000" w:rsidRPr="00000000">
        <w:rPr>
          <w:rFonts w:ascii="Times New Roman" w:cs="Times New Roman" w:eastAsia="Times New Roman" w:hAnsi="Times New Roman"/>
          <w:sz w:val="24"/>
          <w:szCs w:val="24"/>
          <w:rtl w:val="0"/>
        </w:rPr>
        <w:t xml:space="preserve">Digital Green, &amp; GiZ. (n.d.). </w:t>
      </w:r>
      <w:r w:rsidDel="00000000" w:rsidR="00000000" w:rsidRPr="00000000">
        <w:rPr>
          <w:rFonts w:ascii="Times New Roman" w:cs="Times New Roman" w:eastAsia="Times New Roman" w:hAnsi="Times New Roman"/>
          <w:i w:val="1"/>
          <w:sz w:val="24"/>
          <w:szCs w:val="24"/>
          <w:rtl w:val="0"/>
        </w:rPr>
        <w:t xml:space="preserve">FRAME templates</w:t>
      </w:r>
      <w:r w:rsidDel="00000000" w:rsidR="00000000" w:rsidRPr="00000000">
        <w:rPr>
          <w:rFonts w:ascii="Times New Roman" w:cs="Times New Roman" w:eastAsia="Times New Roman" w:hAnsi="Times New Roman"/>
          <w:sz w:val="24"/>
          <w:szCs w:val="24"/>
          <w:rtl w:val="0"/>
        </w:rPr>
        <w:t xml:space="preserve"> [Data set]. GitHub. </w:t>
      </w:r>
      <w:hyperlink r:id="rId6">
        <w:r w:rsidDel="00000000" w:rsidR="00000000" w:rsidRPr="00000000">
          <w:rPr>
            <w:rFonts w:ascii="Times New Roman" w:cs="Times New Roman" w:eastAsia="Times New Roman" w:hAnsi="Times New Roman"/>
            <w:color w:val="0563c1"/>
            <w:sz w:val="24"/>
            <w:szCs w:val="24"/>
            <w:u w:val="single"/>
            <w:rtl w:val="0"/>
          </w:rPr>
          <w:t xml:space="preserve">https://github.com/digitalgreenorg/frame-templates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gitalgreenorg/frame-templ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