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Steps to obtain and use an API key: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Create an API key: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Go to the Google AI Studio and create a new API key.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690" w:hanging="360"/>
      </w:pPr>
      <w:r w:rsidDel="00000000" w:rsidR="00000000" w:rsidRPr="00000000">
        <w:rPr>
          <w:color w:val="1f1f1f"/>
          <w:rtl w:val="0"/>
        </w:rPr>
        <w:t xml:space="preserve">Assign the appropriate permissions to the key.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Securely store the API key: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Do not</w:t>
      </w:r>
      <w:r w:rsidDel="00000000" w:rsidR="00000000" w:rsidRPr="00000000">
        <w:rPr>
          <w:color w:val="1f1f1f"/>
          <w:rtl w:val="0"/>
        </w:rPr>
        <w:t xml:space="preserve"> hardcode the API key in your code.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690" w:hanging="360"/>
      </w:pPr>
      <w:r w:rsidDel="00000000" w:rsidR="00000000" w:rsidRPr="00000000">
        <w:rPr>
          <w:color w:val="1f1f1f"/>
          <w:rtl w:val="0"/>
        </w:rPr>
        <w:t xml:space="preserve">Use environment variables or a secrets manager to store it securely.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Authenticate with the API: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Use the google-cloud-aiplatform library to authenticate with the API using your API key.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Updated Python code: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os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google.cloud.aiplatform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aiplatform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generate_text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(prompt):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Set the API key as an environment variable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os.environ[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"GOOGLE_APPLICATION_CREDENTIALS"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"/path/to/your/key.json"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Initialize the Gemini model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model = aiplatform.gapitlm.Model(</w:t>
        <w:br w:type="textWrapping"/>
        <w:t xml:space="preserve">        endpoint=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'projects/&lt;project-id&gt;/locations/&lt;location&gt;/models/&lt;model-name&gt;'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)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Generate text using the model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response = model.predict(prompt)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response.text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__name__ ==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'__main__'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</w:t>
        <w:br w:type="textWrapping"/>
        <w:t xml:space="preserve">    prompt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"Write a short story about a robot who wants to be a chef"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generated_text = generate_text(prompt)</w:t>
        <w:br w:type="textWrapping"/>
        <w:t xml:space="preserve">    print(generated_text)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Replace</w:t>
      </w:r>
      <w:r w:rsidDel="00000000" w:rsidR="00000000" w:rsidRPr="00000000">
        <w:rPr>
          <w:color w:val="1f1f1f"/>
          <w:rtl w:val="0"/>
        </w:rPr>
        <w:t xml:space="preserve"> /path/to/your/key.json with the actual path to your JSON key file.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Additional considerations: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For production environments, using a secrets manager (like Google Secret Manager) is highly recommended.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Consider implementing error handling for API key issues.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Explore using service accounts for more granular permissions.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Would you like to delve deeper into any of these points, or do you have any other questions?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