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none" w:color="FFFFFF" w:sz="0"/>
              <w:bottom w:val="none" w:color="FFFFFF" w:sz="0"/>
              <w:right w:val="none" w:color="FFFFFF" w:sz="0"/>
            </w:tcBorders>
            <w:shd w:fill="0D1B2A" w:val="clear"/>
            <w:tcMar>
              <w:top w:type="dxa" w:w="560"/>
              <w:left w:type="dxa" w:w="300"/>
              <w:bottom w:type="dxa" w:w="400"/>
              <w:right w:type="dxa" w:w="300"/>
            </w:tcMar>
          </w:tcPr>
          <w:p>
            <w:pPr>
              <w:spacing w:after="160" w:before="80" w:line="276"/>
              <w:jc w:val="center"/>
            </w:pPr>
            <w:r>
              <w:rPr>
                <w:rFonts w:ascii="Arial" w:cs="Arial" w:eastAsia="Arial" w:hAnsi="Arial"/>
                <w:b/>
                <w:bCs/>
                <w:i w:val="false"/>
                <w:iCs w:val="false"/>
                <w:color w:val="FFFFFF"/>
                <w:sz w:val="48"/>
                <w:szCs w:val="48"/>
              </w:rPr>
              <w:t xml:space="preserve">Credit Risk Intelligence Platform</w:t>
            </w:r>
          </w:p>
          <w:p>
            <w:pPr>
              <w:spacing w:after="80" w:before="80" w:line="276"/>
              <w:jc w:val="center"/>
            </w:pPr>
            <w:r>
              <w:rPr>
                <w:rFonts w:ascii="Arial" w:cs="Arial" w:eastAsia="Arial" w:hAnsi="Arial"/>
                <w:b w:val="false"/>
                <w:bCs w:val="false"/>
                <w:i w:val="false"/>
                <w:iCs w:val="false"/>
                <w:color w:val="AACCEE"/>
                <w:sz w:val="26"/>
                <w:szCs w:val="26"/>
              </w:rPr>
              <w:t xml:space="preserve">Design Documentation</w:t>
            </w:r>
          </w:p>
        </w:tc>
      </w:tr>
    </w:tbl>
    <w:p>
      <w:pPr>
        <w:spacing w:after="40" w:before="40" w:line="276"/>
        <w:jc w:val="both"/>
      </w:pPr>
      <w:r>
        <w:rPr>
          <w:rFonts w:ascii="Arial" w:cs="Arial" w:eastAsia="Arial" w:hAnsi="Arial"/>
          <w:b w:val="false"/>
          <w:bCs w:val="false"/>
          <w:i w:val="false"/>
          <w:iCs w:val="false"/>
          <w:color w:val="2E2E2E"/>
          <w:sz w:val="20"/>
          <w:szCs w:val="20"/>
        </w:rPr>
        <w:t xml:space="preserve"/>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none" w:color="FFFFFF" w:sz="0"/>
              <w:bottom w:val="none" w:color="FFFFFF" w:sz="0"/>
              <w:right w:val="none" w:color="FFFFFF" w:sz="0"/>
            </w:tcBorders>
            <w:shd w:fill="2E86AB" w:val="clear"/>
            <w:tcMar>
              <w:top w:type="dxa" w:w="140"/>
              <w:left w:type="dxa" w:w="300"/>
              <w:bottom w:type="dxa" w:w="140"/>
              <w:right w:type="dxa" w:w="300"/>
            </w:tcMar>
          </w:tcPr>
          <w:p>
            <w:pPr>
              <w:spacing w:after="80" w:before="80" w:line="276"/>
              <w:jc w:val="center"/>
            </w:pPr>
            <w:r>
              <w:rPr>
                <w:rFonts w:ascii="Arial" w:cs="Arial" w:eastAsia="Arial" w:hAnsi="Arial"/>
                <w:b w:val="false"/>
                <w:bCs w:val="false"/>
                <w:i w:val="false"/>
                <w:iCs w:val="false"/>
                <w:color w:val="FFFFFF"/>
                <w:sz w:val="22"/>
                <w:szCs w:val="22"/>
              </w:rPr>
              <w:t xml:space="preserve">EY Training — Capstone Project 2026</w:t>
            </w:r>
          </w:p>
        </w:tc>
      </w:tr>
    </w:tbl>
    <w:p>
      <w:pPr>
        <w:spacing w:after="60" w:before="600" w:line="276"/>
        <w:jc w:val="center"/>
      </w:pPr>
      <w:r>
        <w:rPr>
          <w:rFonts w:ascii="Arial" w:cs="Arial" w:eastAsia="Arial" w:hAnsi="Arial"/>
          <w:b/>
          <w:bCs/>
          <w:i w:val="false"/>
          <w:iCs w:val="false"/>
          <w:color w:val="FFFFFF"/>
          <w:sz w:val="22"/>
          <w:szCs w:val="22"/>
        </w:rPr>
        <w:t xml:space="preserve">Prepared by</w:t>
      </w:r>
    </w:p>
    <w:p>
      <w:pPr>
        <w:spacing w:after="60" w:before="80" w:line="276"/>
        <w:jc w:val="center"/>
      </w:pPr>
      <w:r>
        <w:rPr>
          <w:rFonts w:ascii="Arial" w:cs="Arial" w:eastAsia="Arial" w:hAnsi="Arial"/>
          <w:b/>
          <w:bCs/>
          <w:i w:val="false"/>
          <w:iCs w:val="false"/>
          <w:color w:val="2E2E2E"/>
          <w:sz w:val="22"/>
          <w:szCs w:val="22"/>
        </w:rPr>
        <w:t xml:space="preserve">Ashu Sharma &amp; Akash Chaurasiya</w:t>
      </w:r>
    </w:p>
    <w:p>
      <w:pPr>
        <w:spacing w:after="80" w:before="80" w:line="276"/>
        <w:jc w:val="center"/>
      </w:pPr>
      <w:r>
        <w:rPr>
          <w:rFonts w:ascii="Arial" w:cs="Arial" w:eastAsia="Arial" w:hAnsi="Arial"/>
          <w:b w:val="false"/>
          <w:bCs w:val="false"/>
          <w:i w:val="false"/>
          <w:iCs w:val="false"/>
          <w:color w:val="555555"/>
          <w:sz w:val="20"/>
          <w:szCs w:val="20"/>
        </w:rPr>
        <w:t xml:space="preserve">GitHub: github.com/Chaurasiyakash0136/EY-Training-2026</w:t>
      </w:r>
    </w:p>
    <w:p>
      <w:r>
        <w:br w:type="page"/>
      </w:r>
    </w:p>
    <w:p>
      <w:pPr>
        <w:pStyle w:val="Heading1"/>
        <w:pBdr>
          <w:bottom w:val="single" w:color="CCDDEE" w:sz="4" w:space="4"/>
        </w:pBdr>
        <w:spacing w:after="120" w:before="300"/>
      </w:pPr>
      <w:r>
        <w:rPr>
          <w:rFonts w:ascii="Arial" w:cs="Arial" w:eastAsia="Arial" w:hAnsi="Arial"/>
          <w:b/>
          <w:bCs/>
          <w:i w:val="false"/>
          <w:iCs w:val="false"/>
          <w:color w:val="1A6BB5"/>
          <w:sz w:val="28"/>
          <w:szCs w:val="28"/>
        </w:rPr>
        <w:t xml:space="preserve">1.  The Problem Statement</w:t>
      </w:r>
    </w:p>
    <w:p>
      <w:pPr>
        <w:spacing w:after="80" w:before="80" w:line="276"/>
        <w:jc w:val="both"/>
      </w:pPr>
      <w:r>
        <w:rPr>
          <w:rFonts w:ascii="Arial" w:cs="Arial" w:eastAsia="Arial" w:hAnsi="Arial"/>
          <w:b w:val="false"/>
          <w:bCs w:val="false"/>
          <w:i w:val="false"/>
          <w:iCs w:val="false"/>
          <w:color w:val="2E2E2E"/>
          <w:sz w:val="20"/>
          <w:szCs w:val="20"/>
        </w:rPr>
        <w:t xml:space="preserve">When a person or a business applies for a loan, banks and lending companies currently spend hours searching through messy financial paperwork, bank statements, and tax forms to determine if the applicant can safely pay back the money. This manual review process is incredibly slow, highly repetitive, and leaves borrowers completely in the dark regarding the status of their application.</w:t>
      </w:r>
    </w:p>
    <w:p>
      <w:pPr>
        <w:spacing w:after="80" w:before="80" w:line="276"/>
        <w:jc w:val="both"/>
      </w:pPr>
      <w:r>
        <w:rPr>
          <w:rFonts w:ascii="Arial" w:cs="Arial" w:eastAsia="Arial" w:hAnsi="Arial"/>
          <w:b w:val="false"/>
          <w:bCs w:val="false"/>
          <w:i w:val="false"/>
          <w:iCs w:val="false"/>
          <w:color w:val="2E2E2E"/>
          <w:sz w:val="20"/>
          <w:szCs w:val="20"/>
        </w:rPr>
        <w:t xml:space="preserve">Standard software systems only look backward at past data. They simply stamp applications as "Approved" or "Rejected" without providing any explanation as to why. If an applicant's profile is even slightly weak, the borrower is turned away without receiving any guidance on how to fix their financial situation.</w:t>
      </w:r>
    </w:p>
    <w:p>
      <w:pPr>
        <w:spacing w:after="40" w:before="40" w:line="276"/>
        <w:jc w:val="both"/>
      </w:pPr>
      <w:r>
        <w:rPr>
          <w:rFonts w:ascii="Arial" w:cs="Arial" w:eastAsia="Arial" w:hAnsi="Arial"/>
          <w:b w:val="false"/>
          <w:bCs w:val="false"/>
          <w:i w:val="false"/>
          <w:iCs w:val="false"/>
          <w:color w:val="2E2E2E"/>
          <w:sz w:val="20"/>
          <w:szCs w:val="20"/>
        </w:rPr>
        <w:t xml:space="preserve"/>
      </w:r>
    </w:p>
    <w:p>
      <w:pPr>
        <w:pStyle w:val="Heading1"/>
        <w:pBdr>
          <w:bottom w:val="single" w:color="CCDDEE" w:sz="4" w:space="4"/>
        </w:pBdr>
        <w:spacing w:after="120" w:before="300"/>
      </w:pPr>
      <w:r>
        <w:rPr>
          <w:rFonts w:ascii="Arial" w:cs="Arial" w:eastAsia="Arial" w:hAnsi="Arial"/>
          <w:b/>
          <w:bCs/>
          <w:i w:val="false"/>
          <w:iCs w:val="false"/>
          <w:color w:val="1A6BB5"/>
          <w:sz w:val="28"/>
          <w:szCs w:val="28"/>
        </w:rPr>
        <w:t xml:space="preserve">2.  Market Research</w:t>
      </w:r>
    </w:p>
    <w:p>
      <w:pPr>
        <w:pStyle w:val="Heading2"/>
        <w:spacing w:after="80" w:before="200"/>
      </w:pPr>
      <w:r>
        <w:rPr>
          <w:rFonts w:ascii="Arial" w:cs="Arial" w:eastAsia="Arial" w:hAnsi="Arial"/>
          <w:b/>
          <w:bCs/>
          <w:i w:val="false"/>
          <w:iCs w:val="false"/>
          <w:color w:val="0D1B2A"/>
          <w:sz w:val="24"/>
          <w:szCs w:val="24"/>
        </w:rPr>
        <w:t xml:space="preserve">2.1  Market Overview</w:t>
      </w:r>
    </w:p>
    <w:p>
      <w:pPr>
        <w:spacing w:after="80" w:before="80" w:line="276"/>
        <w:jc w:val="both"/>
      </w:pPr>
      <w:r>
        <w:rPr>
          <w:rFonts w:ascii="Arial" w:cs="Arial" w:eastAsia="Arial" w:hAnsi="Arial"/>
          <w:b w:val="false"/>
          <w:bCs w:val="false"/>
          <w:i w:val="false"/>
          <w:iCs w:val="false"/>
          <w:color w:val="2E2E2E"/>
          <w:sz w:val="20"/>
          <w:szCs w:val="20"/>
        </w:rPr>
        <w:t xml:space="preserve">The global credit risk management market is growing rapidly as financial institutions increasingly adopt Artificial Intelligence (AI) to automate lending decisions, reduce operational costs, and improve regulatory compliance. Industry reports estimate that the market will reach approximately USD 44 billion by 2026, growing at nearly 10% annually. Banks, NBFCs, commercial lenders, and fintech organisations are investing in AI-powered credit risk platforms that automate document processing, generate risk scores, monitor borrower portfolios, and accelerate underwriting.</w:t>
      </w:r>
    </w:p>
    <w:p>
      <w:pPr>
        <w:spacing w:after="80" w:before="80" w:line="276"/>
        <w:jc w:val="both"/>
      </w:pPr>
      <w:r>
        <w:rPr>
          <w:rFonts w:ascii="Arial" w:cs="Arial" w:eastAsia="Arial" w:hAnsi="Arial"/>
          <w:b w:val="false"/>
          <w:bCs w:val="false"/>
          <w:i w:val="false"/>
          <w:iCs w:val="false"/>
          <w:color w:val="2E2E2E"/>
          <w:sz w:val="20"/>
          <w:szCs w:val="20"/>
        </w:rPr>
        <w:t xml:space="preserve">Modern platforms leverage OCR, Machine Learning, Natural Language Processing (NLP), Retrieval-Augmented Generation (RAG), Explainable AI (XAI), and Multi-Agent AI to improve decision-making while maintaining transparency and regulatory compliance.</w:t>
      </w:r>
    </w:p>
    <w:p>
      <w:pPr>
        <w:spacing w:after="40" w:before="40" w:line="276"/>
        <w:jc w:val="both"/>
      </w:pPr>
      <w:r>
        <w:rPr>
          <w:rFonts w:ascii="Arial" w:cs="Arial" w:eastAsia="Arial" w:hAnsi="Arial"/>
          <w:b w:val="false"/>
          <w:bCs w:val="false"/>
          <w:i w:val="false"/>
          <w:iCs w:val="false"/>
          <w:color w:val="2E2E2E"/>
          <w:sz w:val="20"/>
          <w:szCs w:val="20"/>
        </w:rPr>
        <w:t xml:space="preserve"/>
      </w:r>
    </w:p>
    <w:p>
      <w:pPr>
        <w:pStyle w:val="Heading2"/>
        <w:spacing w:after="80" w:before="200"/>
      </w:pPr>
      <w:r>
        <w:rPr>
          <w:rFonts w:ascii="Arial" w:cs="Arial" w:eastAsia="Arial" w:hAnsi="Arial"/>
          <w:b/>
          <w:bCs/>
          <w:i w:val="false"/>
          <w:iCs w:val="false"/>
          <w:color w:val="0D1B2A"/>
          <w:sz w:val="24"/>
          <w:szCs w:val="24"/>
        </w:rPr>
        <w:t xml:space="preserve">2.2  Key Competitors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80"/>
        <w:gridCol w:w="1780"/>
        <w:gridCol w:w="2800"/>
        <w:gridCol w:w="2132"/>
      </w:tblGrid>
      <w:tr>
        <w:trPr>
          <w:tblHeader/>
        </w:trPr>
        <w:tc>
          <w:tcPr>
            <w:tcW w:type="dxa" w:w="1580"/>
            <w:tcBorders>
              <w:top w:val="single" w:color="CCDDEE" w:sz="4"/>
              <w:left w:val="single" w:color="CCDDEE" w:sz="4"/>
              <w:bottom w:val="single" w:color="CCDDEE" w:sz="4"/>
              <w:right w:val="single" w:color="CCDDEE" w:sz="4"/>
            </w:tcBorders>
            <w:shd w:fill="1A6BB5" w:val="clear"/>
            <w:tcMar>
              <w:top w:type="dxa" w:w="80"/>
              <w:left w:type="dxa" w:w="120"/>
              <w:bottom w:type="dxa" w:w="80"/>
              <w:right w:type="dxa" w:w="120"/>
            </w:tcMar>
            <w:vAlign w:val="center"/>
          </w:tcPr>
          <w:p>
            <w:pPr>
              <w:spacing w:after="80" w:before="80" w:line="276"/>
              <w:jc w:val="both"/>
            </w:pPr>
            <w:r>
              <w:rPr>
                <w:rFonts w:ascii="Arial" w:cs="Arial" w:eastAsia="Arial" w:hAnsi="Arial"/>
                <w:b/>
                <w:bCs/>
                <w:i w:val="false"/>
                <w:iCs w:val="false"/>
                <w:color w:val="FFFFFF"/>
                <w:sz w:val="18"/>
                <w:szCs w:val="18"/>
              </w:rPr>
              <w:t xml:space="preserve">Company</w:t>
            </w:r>
          </w:p>
        </w:tc>
        <w:tc>
          <w:tcPr>
            <w:tcW w:type="dxa" w:w="1780"/>
            <w:tcBorders>
              <w:top w:val="single" w:color="CCDDEE" w:sz="4"/>
              <w:left w:val="single" w:color="CCDDEE" w:sz="4"/>
              <w:bottom w:val="single" w:color="CCDDEE" w:sz="4"/>
              <w:right w:val="single" w:color="CCDDEE" w:sz="4"/>
            </w:tcBorders>
            <w:shd w:fill="1A6BB5" w:val="clear"/>
            <w:tcMar>
              <w:top w:type="dxa" w:w="80"/>
              <w:left w:type="dxa" w:w="120"/>
              <w:bottom w:type="dxa" w:w="80"/>
              <w:right w:type="dxa" w:w="120"/>
            </w:tcMar>
            <w:vAlign w:val="center"/>
          </w:tcPr>
          <w:p>
            <w:pPr>
              <w:spacing w:after="80" w:before="80" w:line="276"/>
              <w:jc w:val="both"/>
            </w:pPr>
            <w:r>
              <w:rPr>
                <w:rFonts w:ascii="Arial" w:cs="Arial" w:eastAsia="Arial" w:hAnsi="Arial"/>
                <w:b/>
                <w:bCs/>
                <w:i w:val="false"/>
                <w:iCs w:val="false"/>
                <w:color w:val="FFFFFF"/>
                <w:sz w:val="18"/>
                <w:szCs w:val="18"/>
              </w:rPr>
              <w:t xml:space="preserve">Primary Focus</w:t>
            </w:r>
          </w:p>
        </w:tc>
        <w:tc>
          <w:tcPr>
            <w:tcW w:type="dxa" w:w="2800"/>
            <w:tcBorders>
              <w:top w:val="single" w:color="CCDDEE" w:sz="4"/>
              <w:left w:val="single" w:color="CCDDEE" w:sz="4"/>
              <w:bottom w:val="single" w:color="CCDDEE" w:sz="4"/>
              <w:right w:val="single" w:color="CCDDEE" w:sz="4"/>
            </w:tcBorders>
            <w:shd w:fill="1A6BB5" w:val="clear"/>
            <w:tcMar>
              <w:top w:type="dxa" w:w="80"/>
              <w:left w:type="dxa" w:w="120"/>
              <w:bottom w:type="dxa" w:w="80"/>
              <w:right w:type="dxa" w:w="120"/>
            </w:tcMar>
            <w:vAlign w:val="center"/>
          </w:tcPr>
          <w:p>
            <w:pPr>
              <w:spacing w:after="80" w:before="80" w:line="276"/>
              <w:jc w:val="both"/>
            </w:pPr>
            <w:r>
              <w:rPr>
                <w:rFonts w:ascii="Arial" w:cs="Arial" w:eastAsia="Arial" w:hAnsi="Arial"/>
                <w:b/>
                <w:bCs/>
                <w:i w:val="false"/>
                <w:iCs w:val="false"/>
                <w:color w:val="FFFFFF"/>
                <w:sz w:val="18"/>
                <w:szCs w:val="18"/>
              </w:rPr>
              <w:t xml:space="preserve">Key Strengths</w:t>
            </w:r>
          </w:p>
        </w:tc>
        <w:tc>
          <w:tcPr>
            <w:tcW w:type="dxa" w:w="2132"/>
            <w:tcBorders>
              <w:top w:val="single" w:color="CCDDEE" w:sz="4"/>
              <w:left w:val="single" w:color="CCDDEE" w:sz="4"/>
              <w:bottom w:val="single" w:color="CCDDEE" w:sz="4"/>
              <w:right w:val="single" w:color="CCDDEE" w:sz="4"/>
            </w:tcBorders>
            <w:shd w:fill="1A6BB5" w:val="clear"/>
            <w:tcMar>
              <w:top w:type="dxa" w:w="80"/>
              <w:left w:type="dxa" w:w="120"/>
              <w:bottom w:type="dxa" w:w="80"/>
              <w:right w:type="dxa" w:w="120"/>
            </w:tcMar>
            <w:vAlign w:val="center"/>
          </w:tcPr>
          <w:p>
            <w:pPr>
              <w:spacing w:after="80" w:before="80" w:line="276"/>
              <w:jc w:val="both"/>
            </w:pPr>
            <w:r>
              <w:rPr>
                <w:rFonts w:ascii="Arial" w:cs="Arial" w:eastAsia="Arial" w:hAnsi="Arial"/>
                <w:b/>
                <w:bCs/>
                <w:i w:val="false"/>
                <w:iCs w:val="false"/>
                <w:color w:val="FFFFFF"/>
                <w:sz w:val="18"/>
                <w:szCs w:val="18"/>
              </w:rPr>
              <w:t xml:space="preserve">Limitations</w:t>
            </w:r>
          </w:p>
        </w:tc>
      </w:tr>
      <w:tr>
        <w:tc>
          <w:tcPr>
            <w:tcW w:type="dxa" w:w="158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Hebbia</w:t>
            </w:r>
          </w:p>
        </w:tc>
        <w:tc>
          <w:tcPr>
            <w:tcW w:type="dxa" w:w="178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AI Document Intelligence</w:t>
            </w:r>
          </w:p>
        </w:tc>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Autonomous agents, document reasoning, source citations</w:t>
            </w:r>
          </w:p>
        </w:tc>
        <w:tc>
          <w:tcPr>
            <w:tcW w:type="dxa" w:w="213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Limited credit scoring</w:t>
            </w:r>
          </w:p>
        </w:tc>
      </w:tr>
      <w:tr>
        <w:tc>
          <w:tcPr>
            <w:tcW w:type="dxa" w:w="158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Model ML</w:t>
            </w:r>
          </w:p>
        </w:tc>
        <w:tc>
          <w:tcPr>
            <w:tcW w:type="dxa" w:w="178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Automated Underwriting</w:t>
            </w:r>
          </w:p>
        </w:tc>
        <w:tc>
          <w:tcPr>
            <w:tcW w:type="dxa" w:w="280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OCR, financial statement analysis</w:t>
            </w:r>
          </w:p>
        </w:tc>
        <w:tc>
          <w:tcPr>
            <w:tcW w:type="dxa" w:w="213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No multi-agent workflow</w:t>
            </w:r>
          </w:p>
        </w:tc>
      </w:tr>
      <w:tr>
        <w:tc>
          <w:tcPr>
            <w:tcW w:type="dxa" w:w="158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Numarqe (ATHENA)</w:t>
            </w:r>
          </w:p>
        </w:tc>
        <w:tc>
          <w:tcPr>
            <w:tcW w:type="dxa" w:w="178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Corporate Credit</w:t>
            </w:r>
          </w:p>
        </w:tc>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Credit bureau integration, fraud detection</w:t>
            </w:r>
          </w:p>
        </w:tc>
        <w:tc>
          <w:tcPr>
            <w:tcW w:type="dxa" w:w="213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Limited document intelligence</w:t>
            </w:r>
          </w:p>
        </w:tc>
      </w:tr>
      <w:tr>
        <w:tc>
          <w:tcPr>
            <w:tcW w:type="dxa" w:w="158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Moody's MaxSight</w:t>
            </w:r>
          </w:p>
        </w:tc>
        <w:tc>
          <w:tcPr>
            <w:tcW w:type="dxa" w:w="178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Enterprise Risk</w:t>
            </w:r>
          </w:p>
        </w:tc>
        <w:tc>
          <w:tcPr>
            <w:tcW w:type="dxa" w:w="280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Portfolio monitoring, compliance</w:t>
            </w:r>
          </w:p>
        </w:tc>
        <w:tc>
          <w:tcPr>
            <w:tcW w:type="dxa" w:w="213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Complex and expensive</w:t>
            </w:r>
          </w:p>
        </w:tc>
      </w:tr>
      <w:tr>
        <w:tc>
          <w:tcPr>
            <w:tcW w:type="dxa" w:w="158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OakNorth</w:t>
            </w:r>
          </w:p>
        </w:tc>
        <w:tc>
          <w:tcPr>
            <w:tcW w:type="dxa" w:w="178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SME Lending</w:t>
            </w:r>
          </w:p>
        </w:tc>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Explainable AI, alternative data</w:t>
            </w:r>
          </w:p>
        </w:tc>
        <w:tc>
          <w:tcPr>
            <w:tcW w:type="dxa" w:w="213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Limited document processing</w:t>
            </w:r>
          </w:p>
        </w:tc>
      </w:tr>
      <w:tr>
        <w:tc>
          <w:tcPr>
            <w:tcW w:type="dxa" w:w="158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Bloomberg MARS</w:t>
            </w:r>
          </w:p>
        </w:tc>
        <w:tc>
          <w:tcPr>
            <w:tcW w:type="dxa" w:w="178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Financial Analytics</w:t>
            </w:r>
          </w:p>
        </w:tc>
        <w:tc>
          <w:tcPr>
            <w:tcW w:type="dxa" w:w="280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Market data, portfolio analytics</w:t>
            </w:r>
          </w:p>
        </w:tc>
        <w:tc>
          <w:tcPr>
            <w:tcW w:type="dxa" w:w="213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No document AI</w:t>
            </w:r>
          </w:p>
        </w:tc>
      </w:tr>
      <w:tr>
        <w:tc>
          <w:tcPr>
            <w:tcW w:type="dxa" w:w="158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S&amp;P Capital IQ</w:t>
            </w:r>
          </w:p>
        </w:tc>
        <w:tc>
          <w:tcPr>
            <w:tcW w:type="dxa" w:w="178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Financial Intelligence</w:t>
            </w:r>
          </w:p>
        </w:tc>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Credit analytics, APIs</w:t>
            </w:r>
          </w:p>
        </w:tc>
        <w:tc>
          <w:tcPr>
            <w:tcW w:type="dxa" w:w="213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Limited AI document analysis</w:t>
            </w:r>
          </w:p>
        </w:tc>
      </w:tr>
      <w:tr>
        <w:tc>
          <w:tcPr>
            <w:tcW w:type="dxa" w:w="158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AlphaSense</w:t>
            </w:r>
          </w:p>
        </w:tc>
        <w:tc>
          <w:tcPr>
            <w:tcW w:type="dxa" w:w="178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Financial Search</w:t>
            </w:r>
          </w:p>
        </w:tc>
        <w:tc>
          <w:tcPr>
            <w:tcW w:type="dxa" w:w="280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AI search across filings</w:t>
            </w:r>
          </w:p>
        </w:tc>
        <w:tc>
          <w:tcPr>
            <w:tcW w:type="dxa" w:w="213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No risk scoring</w:t>
            </w:r>
          </w:p>
        </w:tc>
      </w:tr>
      <w:tr>
        <w:tc>
          <w:tcPr>
            <w:tcW w:type="dxa" w:w="158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Kira</w:t>
            </w:r>
          </w:p>
        </w:tc>
        <w:tc>
          <w:tcPr>
            <w:tcW w:type="dxa" w:w="178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Contract Intelligence</w:t>
            </w:r>
          </w:p>
        </w:tc>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OCR, clause extraction</w:t>
            </w:r>
          </w:p>
        </w:tc>
        <w:tc>
          <w:tcPr>
            <w:tcW w:type="dxa" w:w="213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No end-to-end credit assessment</w:t>
            </w:r>
          </w:p>
        </w:tc>
      </w:tr>
      <w:tr>
        <w:tc>
          <w:tcPr>
            <w:tcW w:type="dxa" w:w="158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Finbots CreditX</w:t>
            </w:r>
          </w:p>
        </w:tc>
        <w:tc>
          <w:tcPr>
            <w:tcW w:type="dxa" w:w="178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Credit Scorecards</w:t>
            </w:r>
          </w:p>
        </w:tc>
        <w:tc>
          <w:tcPr>
            <w:tcW w:type="dxa" w:w="280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Explainable AI, compliance</w:t>
            </w:r>
          </w:p>
        </w:tc>
        <w:tc>
          <w:tcPr>
            <w:tcW w:type="dxa" w:w="213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Scorecard-focused</w:t>
            </w:r>
          </w:p>
        </w:tc>
      </w:tr>
      <w:tr>
        <w:tc>
          <w:tcPr>
            <w:tcW w:type="dxa" w:w="158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Nexgile</w:t>
            </w:r>
          </w:p>
        </w:tc>
        <w:tc>
          <w:tcPr>
            <w:tcW w:type="dxa" w:w="178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AI Credit Assessment</w:t>
            </w:r>
          </w:p>
        </w:tc>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Multi-agent AI, scenario simulation</w:t>
            </w:r>
          </w:p>
        </w:tc>
        <w:tc>
          <w:tcPr>
            <w:tcW w:type="dxa" w:w="213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Consumer-focused</w:t>
            </w:r>
          </w:p>
        </w:tc>
      </w:tr>
    </w:tbl>
    <w:p>
      <w:pPr>
        <w:spacing w:after="40" w:before="40" w:line="276"/>
        <w:jc w:val="both"/>
      </w:pPr>
      <w:r>
        <w:rPr>
          <w:rFonts w:ascii="Arial" w:cs="Arial" w:eastAsia="Arial" w:hAnsi="Arial"/>
          <w:b w:val="false"/>
          <w:bCs w:val="false"/>
          <w:i w:val="false"/>
          <w:iCs w:val="false"/>
          <w:color w:val="2E2E2E"/>
          <w:sz w:val="20"/>
          <w:szCs w:val="20"/>
        </w:rPr>
        <w:t xml:space="preserve"/>
      </w:r>
    </w:p>
    <w:p>
      <w:pPr>
        <w:pStyle w:val="Heading2"/>
        <w:spacing w:after="80" w:before="200"/>
      </w:pPr>
      <w:r>
        <w:rPr>
          <w:rFonts w:ascii="Arial" w:cs="Arial" w:eastAsia="Arial" w:hAnsi="Arial"/>
          <w:b/>
          <w:bCs/>
          <w:i w:val="false"/>
          <w:iCs w:val="false"/>
          <w:color w:val="0D1B2A"/>
          <w:sz w:val="24"/>
          <w:szCs w:val="24"/>
        </w:rPr>
        <w:t xml:space="preserve">2.3  Market Comparison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72"/>
      </w:tblGrid>
      <w:tr>
        <w:trPr>
          <w:tblHeader/>
        </w:trPr>
        <w:tc>
          <w:tcPr>
            <w:tcW w:type="dxa" w:w="2520"/>
            <w:tcBorders>
              <w:top w:val="single" w:color="CCDDEE" w:sz="4"/>
              <w:left w:val="single" w:color="CCDDEE" w:sz="4"/>
              <w:bottom w:val="single" w:color="CCDDEE" w:sz="4"/>
              <w:right w:val="single" w:color="CCDDEE" w:sz="4"/>
            </w:tcBorders>
            <w:shd w:fill="1A6BB5" w:val="clear"/>
            <w:tcMar>
              <w:top w:type="dxa" w:w="80"/>
              <w:left w:type="dxa" w:w="120"/>
              <w:bottom w:type="dxa" w:w="80"/>
              <w:right w:type="dxa" w:w="120"/>
            </w:tcMar>
            <w:vAlign w:val="center"/>
          </w:tcPr>
          <w:p>
            <w:pPr>
              <w:spacing w:after="80" w:before="80" w:line="276"/>
              <w:jc w:val="both"/>
            </w:pPr>
            <w:r>
              <w:rPr>
                <w:rFonts w:ascii="Arial" w:cs="Arial" w:eastAsia="Arial" w:hAnsi="Arial"/>
                <w:b/>
                <w:bCs/>
                <w:i w:val="false"/>
                <w:iCs w:val="false"/>
                <w:color w:val="FFFFFF"/>
                <w:sz w:val="18"/>
                <w:szCs w:val="18"/>
              </w:rPr>
              <w:t xml:space="preserve">Capability</w:t>
            </w:r>
          </w:p>
        </w:tc>
        <w:tc>
          <w:tcPr>
            <w:tcW w:type="dxa" w:w="2520"/>
            <w:tcBorders>
              <w:top w:val="single" w:color="CCDDEE" w:sz="4"/>
              <w:left w:val="single" w:color="CCDDEE" w:sz="4"/>
              <w:bottom w:val="single" w:color="CCDDEE" w:sz="4"/>
              <w:right w:val="single" w:color="CCDDEE" w:sz="4"/>
            </w:tcBorders>
            <w:shd w:fill="1A6BB5" w:val="clear"/>
            <w:tcMar>
              <w:top w:type="dxa" w:w="80"/>
              <w:left w:type="dxa" w:w="120"/>
              <w:bottom w:type="dxa" w:w="80"/>
              <w:right w:type="dxa" w:w="120"/>
            </w:tcMar>
            <w:vAlign w:val="center"/>
          </w:tcPr>
          <w:p>
            <w:pPr>
              <w:spacing w:after="80" w:before="80" w:line="276"/>
              <w:jc w:val="both"/>
            </w:pPr>
            <w:r>
              <w:rPr>
                <w:rFonts w:ascii="Arial" w:cs="Arial" w:eastAsia="Arial" w:hAnsi="Arial"/>
                <w:b/>
                <w:bCs/>
                <w:i w:val="false"/>
                <w:iCs w:val="false"/>
                <w:color w:val="FFFFFF"/>
                <w:sz w:val="18"/>
                <w:szCs w:val="18"/>
              </w:rPr>
              <w:t xml:space="preserve">Existing Solutions</w:t>
            </w:r>
          </w:p>
        </w:tc>
        <w:tc>
          <w:tcPr>
            <w:tcW w:type="dxa" w:w="4372"/>
            <w:tcBorders>
              <w:top w:val="single" w:color="CCDDEE" w:sz="4"/>
              <w:left w:val="single" w:color="CCDDEE" w:sz="4"/>
              <w:bottom w:val="single" w:color="CCDDEE" w:sz="4"/>
              <w:right w:val="single" w:color="CCDDEE" w:sz="4"/>
            </w:tcBorders>
            <w:shd w:fill="1A6BB5" w:val="clear"/>
            <w:tcMar>
              <w:top w:type="dxa" w:w="80"/>
              <w:left w:type="dxa" w:w="120"/>
              <w:bottom w:type="dxa" w:w="80"/>
              <w:right w:type="dxa" w:w="120"/>
            </w:tcMar>
            <w:vAlign w:val="center"/>
          </w:tcPr>
          <w:p>
            <w:pPr>
              <w:spacing w:after="80" w:before="80" w:line="276"/>
              <w:jc w:val="both"/>
            </w:pPr>
            <w:r>
              <w:rPr>
                <w:rFonts w:ascii="Arial" w:cs="Arial" w:eastAsia="Arial" w:hAnsi="Arial"/>
                <w:b/>
                <w:bCs/>
                <w:i w:val="false"/>
                <w:iCs w:val="false"/>
                <w:color w:val="FFFFFF"/>
                <w:sz w:val="18"/>
                <w:szCs w:val="18"/>
              </w:rPr>
              <w:t xml:space="preserve">Proposed Platform</w:t>
            </w:r>
          </w:p>
        </w:tc>
      </w:tr>
      <w:tr>
        <w:tc>
          <w:tcPr>
            <w:tcW w:type="dxa" w:w="252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OCR &amp; PDF Processing</w:t>
            </w:r>
          </w:p>
        </w:tc>
        <w:tc>
          <w:tcPr>
            <w:tcW w:type="dxa" w:w="252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Available</w:t>
            </w:r>
          </w:p>
        </w:tc>
        <w:tc>
          <w:tcPr>
            <w:tcW w:type="dxa" w:w="437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Advanced OCR with financial document parsing</w:t>
            </w:r>
          </w:p>
        </w:tc>
      </w:tr>
      <w:tr>
        <w:tc>
          <w:tcPr>
            <w:tcW w:type="dxa" w:w="252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AI Document Understanding</w:t>
            </w:r>
          </w:p>
        </w:tc>
        <w:tc>
          <w:tcPr>
            <w:tcW w:type="dxa" w:w="252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Partial</w:t>
            </w:r>
          </w:p>
        </w:tc>
        <w:tc>
          <w:tcPr>
            <w:tcW w:type="dxa" w:w="437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Multi-document reasoning</w:t>
            </w:r>
          </w:p>
        </w:tc>
      </w:tr>
      <w:tr>
        <w:tc>
          <w:tcPr>
            <w:tcW w:type="dxa" w:w="252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RAG</w:t>
            </w:r>
          </w:p>
        </w:tc>
        <w:tc>
          <w:tcPr>
            <w:tcW w:type="dxa" w:w="252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Limited</w:t>
            </w:r>
          </w:p>
        </w:tc>
        <w:tc>
          <w:tcPr>
            <w:tcW w:type="dxa" w:w="437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Enterprise-grade RAG pipeline</w:t>
            </w:r>
          </w:p>
        </w:tc>
      </w:tr>
      <w:tr>
        <w:tc>
          <w:tcPr>
            <w:tcW w:type="dxa" w:w="252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Multi-Agent AI</w:t>
            </w:r>
          </w:p>
        </w:tc>
        <w:tc>
          <w:tcPr>
            <w:tcW w:type="dxa" w:w="252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Few platforms</w:t>
            </w:r>
          </w:p>
        </w:tc>
        <w:tc>
          <w:tcPr>
            <w:tcW w:type="dxa" w:w="437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Four specialised AI agents</w:t>
            </w:r>
          </w:p>
        </w:tc>
      </w:tr>
      <w:tr>
        <w:tc>
          <w:tcPr>
            <w:tcW w:type="dxa" w:w="252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Explainable AI</w:t>
            </w:r>
          </w:p>
        </w:tc>
        <w:tc>
          <w:tcPr>
            <w:tcW w:type="dxa" w:w="252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Partial</w:t>
            </w:r>
          </w:p>
        </w:tc>
        <w:tc>
          <w:tcPr>
            <w:tcW w:type="dxa" w:w="437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Citation-based explanations</w:t>
            </w:r>
          </w:p>
        </w:tc>
      </w:tr>
      <w:tr>
        <w:tc>
          <w:tcPr>
            <w:tcW w:type="dxa" w:w="252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Scenario Simulation</w:t>
            </w:r>
          </w:p>
        </w:tc>
        <w:tc>
          <w:tcPr>
            <w:tcW w:type="dxa" w:w="252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Rare</w:t>
            </w:r>
          </w:p>
        </w:tc>
        <w:tc>
          <w:tcPr>
            <w:tcW w:type="dxa" w:w="437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Built-in what-if analysis</w:t>
            </w:r>
          </w:p>
        </w:tc>
      </w:tr>
      <w:tr>
        <w:tc>
          <w:tcPr>
            <w:tcW w:type="dxa" w:w="252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Risk Scoring</w:t>
            </w:r>
          </w:p>
        </w:tc>
        <w:tc>
          <w:tcPr>
            <w:tcW w:type="dxa" w:w="252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Available</w:t>
            </w:r>
          </w:p>
        </w:tc>
        <w:tc>
          <w:tcPr>
            <w:tcW w:type="dxa" w:w="437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AI-enhanced hybrid scoring</w:t>
            </w:r>
          </w:p>
        </w:tc>
      </w:tr>
      <w:tr>
        <w:tc>
          <w:tcPr>
            <w:tcW w:type="dxa" w:w="252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Conversational AI</w:t>
            </w:r>
          </w:p>
        </w:tc>
        <w:tc>
          <w:tcPr>
            <w:tcW w:type="dxa" w:w="252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Limited</w:t>
            </w:r>
          </w:p>
        </w:tc>
        <w:tc>
          <w:tcPr>
            <w:tcW w:type="dxa" w:w="437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Interactive AI assistant</w:t>
            </w:r>
          </w:p>
        </w:tc>
      </w:tr>
      <w:tr>
        <w:tc>
          <w:tcPr>
            <w:tcW w:type="dxa" w:w="252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Borrower Recommendations</w:t>
            </w:r>
          </w:p>
        </w:tc>
        <w:tc>
          <w:tcPr>
            <w:tcW w:type="dxa" w:w="252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Mostly manual</w:t>
            </w:r>
          </w:p>
        </w:tc>
        <w:tc>
          <w:tcPr>
            <w:tcW w:type="dxa" w:w="437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Automated improvement plans</w:t>
            </w:r>
          </w:p>
        </w:tc>
      </w:tr>
    </w:tbl>
    <w:p>
      <w:pPr>
        <w:spacing w:after="40" w:before="40" w:line="276"/>
        <w:jc w:val="both"/>
      </w:pPr>
      <w:r>
        <w:rPr>
          <w:rFonts w:ascii="Arial" w:cs="Arial" w:eastAsia="Arial" w:hAnsi="Arial"/>
          <w:b w:val="false"/>
          <w:bCs w:val="false"/>
          <w:i w:val="false"/>
          <w:iCs w:val="false"/>
          <w:color w:val="2E2E2E"/>
          <w:sz w:val="20"/>
          <w:szCs w:val="20"/>
        </w:rPr>
        <w:t xml:space="preserve"/>
      </w:r>
    </w:p>
    <w:p>
      <w:pPr>
        <w:pStyle w:val="Heading2"/>
        <w:spacing w:after="80" w:before="200"/>
      </w:pPr>
      <w:r>
        <w:rPr>
          <w:rFonts w:ascii="Arial" w:cs="Arial" w:eastAsia="Arial" w:hAnsi="Arial"/>
          <w:b/>
          <w:bCs/>
          <w:i w:val="false"/>
          <w:iCs w:val="false"/>
          <w:color w:val="0D1B2A"/>
          <w:sz w:val="24"/>
          <w:szCs w:val="24"/>
        </w:rPr>
        <w:t xml:space="preserve">2.4  Industry Trends</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Growing adoption of Generative AI for underwriting.</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Multi-Agent AI architectures replacing single-model pipelines.</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Explainable AI (XAI) becoming a regulatory requirement.</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Open Banking integration and alternative data utilisation.</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Real-time risk monitoring and automated regulatory compliance.</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Conversational AI assistants for analysts and applicants.</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Scenario-based stress testing becoming standard practice.</w:t>
      </w:r>
    </w:p>
    <w:p>
      <w:pPr>
        <w:spacing w:after="40" w:before="40" w:line="276"/>
        <w:jc w:val="both"/>
      </w:pPr>
      <w:r>
        <w:rPr>
          <w:rFonts w:ascii="Arial" w:cs="Arial" w:eastAsia="Arial" w:hAnsi="Arial"/>
          <w:b w:val="false"/>
          <w:bCs w:val="false"/>
          <w:i w:val="false"/>
          <w:iCs w:val="false"/>
          <w:color w:val="2E2E2E"/>
          <w:sz w:val="20"/>
          <w:szCs w:val="20"/>
        </w:rPr>
        <w:t xml:space="preserve"/>
      </w:r>
    </w:p>
    <w:p>
      <w:pPr>
        <w:pStyle w:val="Heading2"/>
        <w:spacing w:after="80" w:before="200"/>
      </w:pPr>
      <w:r>
        <w:rPr>
          <w:rFonts w:ascii="Arial" w:cs="Arial" w:eastAsia="Arial" w:hAnsi="Arial"/>
          <w:b/>
          <w:bCs/>
          <w:i w:val="false"/>
          <w:iCs w:val="false"/>
          <w:color w:val="0D1B2A"/>
          <w:sz w:val="24"/>
          <w:szCs w:val="24"/>
        </w:rPr>
        <w:t xml:space="preserve">2.5  Market Gaps</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Most platforms focus on either document intelligence or credit scoring, not both.</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Few integrate OCR, RAG, Multi-Agent AI, Explainable AI, and Scenario Simulation together.</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Interactive AI assistants remain limited across existing solutions.</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Borrower recommendations often require manual analysis by the credit team.</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Explainability is inconsistent across solutions in the market.</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End-to-end automation from document upload to final decision is still fragmented.</w:t>
      </w:r>
    </w:p>
    <w:p>
      <w:pPr>
        <w:spacing w:after="40" w:before="40" w:line="276"/>
        <w:jc w:val="both"/>
      </w:pPr>
      <w:r>
        <w:rPr>
          <w:rFonts w:ascii="Arial" w:cs="Arial" w:eastAsia="Arial" w:hAnsi="Arial"/>
          <w:b w:val="false"/>
          <w:bCs w:val="false"/>
          <w:i w:val="false"/>
          <w:iCs w:val="false"/>
          <w:color w:val="2E2E2E"/>
          <w:sz w:val="20"/>
          <w:szCs w:val="20"/>
        </w:rPr>
        <w:t xml:space="preserve"/>
      </w:r>
    </w:p>
    <w:p>
      <w:pPr>
        <w:pStyle w:val="Heading2"/>
        <w:spacing w:after="80" w:before="200"/>
      </w:pPr>
      <w:r>
        <w:rPr>
          <w:rFonts w:ascii="Arial" w:cs="Arial" w:eastAsia="Arial" w:hAnsi="Arial"/>
          <w:b/>
          <w:bCs/>
          <w:i w:val="false"/>
          <w:iCs w:val="false"/>
          <w:color w:val="0D1B2A"/>
          <w:sz w:val="24"/>
          <w:szCs w:val="24"/>
        </w:rPr>
        <w:t xml:space="preserve">2.6  Competitive Advantage of the Proposed Platform</w:t>
      </w:r>
    </w:p>
    <w:p>
      <w:pPr>
        <w:spacing w:after="80" w:before="80" w:line="276"/>
        <w:jc w:val="both"/>
      </w:pPr>
      <w:r>
        <w:rPr>
          <w:rFonts w:ascii="Arial" w:cs="Arial" w:eastAsia="Arial" w:hAnsi="Arial"/>
          <w:b w:val="false"/>
          <w:bCs w:val="false"/>
          <w:i w:val="false"/>
          <w:iCs w:val="false"/>
          <w:color w:val="2E2E2E"/>
          <w:sz w:val="20"/>
          <w:szCs w:val="20"/>
        </w:rPr>
        <w:t xml:space="preserve">The proposed Credit Risk Intelligence Platform delivers an end-to-end AI-powered solution by combining OCR-based document ingestion, Retrieval-Augmented Generation (RAG), Multi-Agent AI, Explainable AI, scenario simulation, and conversational AI within a single platform. Unlike conventional solutions that specialise in only one stage of credit assessment, it automates the complete workflow — from document ingestion and financial analysis to risk scoring, recommendations, and interactive decision support. Every AI-generated insight is backed by document-level evidence, improving transparency, regulatory compliance, user trust, and overall decision quality.</w:t>
      </w:r>
    </w:p>
    <w:p>
      <w:pPr>
        <w:spacing w:after="40" w:before="40" w:line="276"/>
        <w:jc w:val="both"/>
      </w:pPr>
      <w:r>
        <w:rPr>
          <w:rFonts w:ascii="Arial" w:cs="Arial" w:eastAsia="Arial" w:hAnsi="Arial"/>
          <w:b w:val="false"/>
          <w:bCs w:val="false"/>
          <w:i w:val="false"/>
          <w:iCs w:val="false"/>
          <w:color w:val="2E2E2E"/>
          <w:sz w:val="20"/>
          <w:szCs w:val="20"/>
        </w:rPr>
        <w:t xml:space="preserve"/>
      </w:r>
    </w:p>
    <w:p>
      <w:pPr>
        <w:pStyle w:val="Heading1"/>
        <w:pBdr>
          <w:bottom w:val="single" w:color="CCDDEE" w:sz="4" w:space="4"/>
        </w:pBdr>
        <w:spacing w:after="120" w:before="300"/>
      </w:pPr>
      <w:r>
        <w:rPr>
          <w:rFonts w:ascii="Arial" w:cs="Arial" w:eastAsia="Arial" w:hAnsi="Arial"/>
          <w:b/>
          <w:bCs/>
          <w:i w:val="false"/>
          <w:iCs w:val="false"/>
          <w:color w:val="1A6BB5"/>
          <w:sz w:val="28"/>
          <w:szCs w:val="28"/>
        </w:rPr>
        <w:t xml:space="preserve">3.  Proposed Solution</w:t>
      </w:r>
    </w:p>
    <w:p>
      <w:pPr>
        <w:spacing w:after="80" w:before="80" w:line="276"/>
        <w:jc w:val="both"/>
      </w:pPr>
      <w:r>
        <w:rPr>
          <w:rFonts w:ascii="Arial" w:cs="Arial" w:eastAsia="Arial" w:hAnsi="Arial"/>
          <w:b w:val="false"/>
          <w:bCs w:val="false"/>
          <w:i w:val="false"/>
          <w:iCs w:val="false"/>
          <w:color w:val="2E2E2E"/>
          <w:sz w:val="20"/>
          <w:szCs w:val="20"/>
        </w:rPr>
        <w:t xml:space="preserve">The Credit Risk Intelligence Platform is an AI-powered system that helps banks and borrowers make smarter, faster, and more transparent credit decisions. It replaces the slow, manual, and opaque financial document evaluation process with an intelligent multi-agent system that reads financial documents, understands them deeply, and delivers clear actionable guidance to everyone involved.</w:t>
      </w:r>
    </w:p>
    <w:p>
      <w:pPr>
        <w:pStyle w:val="Heading2"/>
        <w:spacing w:after="80" w:before="200"/>
      </w:pPr>
      <w:r>
        <w:rPr>
          <w:rFonts w:ascii="Arial" w:cs="Arial" w:eastAsia="Arial" w:hAnsi="Arial"/>
          <w:b/>
          <w:bCs/>
          <w:i w:val="false"/>
          <w:iCs w:val="false"/>
          <w:color w:val="0D1B2A"/>
          <w:sz w:val="24"/>
          <w:szCs w:val="24"/>
        </w:rPr>
        <w:t xml:space="preserve">The Core Idea</w:t>
      </w:r>
    </w:p>
    <w:p>
      <w:pPr>
        <w:spacing w:after="80" w:before="80" w:line="276"/>
        <w:jc w:val="both"/>
      </w:pPr>
      <w:r>
        <w:rPr>
          <w:rFonts w:ascii="Arial" w:cs="Arial" w:eastAsia="Arial" w:hAnsi="Arial"/>
          <w:b w:val="false"/>
          <w:bCs w:val="false"/>
          <w:i w:val="false"/>
          <w:iCs w:val="false"/>
          <w:color w:val="2E2E2E"/>
          <w:sz w:val="20"/>
          <w:szCs w:val="20"/>
        </w:rPr>
        <w:t xml:space="preserve">Instead of a credit analyst spending hours manually reading financial documents, our platform does it automatically in minutes by:</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Reading and understanding uploaded financial PDFs instantly using OCR and intelligent parsing.</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Extracting key financial data — income, expenses, debt, cash flow, profit trends and repayment history — with minimal manual effort.</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Calculating a complete credit risk score from 0 to 100 with a full breakdown of strengths, weaknesses and red flags.</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Analysing the overall financial health of any individual or business — not just for loan approval but for any credit-related decision.</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Modelling future financial scenarios to assess whether the applicant remains financially stable even if economic conditions change.</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Delivering personalised guidance to both the financial institution and the applicant based entirely on their actual uploaded documents.</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Enabling natural conversation — both users can ask any question and receive answers grounded in real document data with zero guesswork.</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Prioritising urgent cases automatically so analysts always handle the most critical applications first.</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Giving applicants a clear recovery roadmap — turning a rejection into a starting point for financial improvement.</w:t>
      </w:r>
    </w:p>
    <w:p>
      <w:pPr>
        <w:spacing w:after="40" w:before="40" w:line="276"/>
        <w:jc w:val="both"/>
      </w:pPr>
      <w:r>
        <w:rPr>
          <w:rFonts w:ascii="Arial" w:cs="Arial" w:eastAsia="Arial" w:hAnsi="Arial"/>
          <w:b w:val="false"/>
          <w:bCs w:val="false"/>
          <w:i w:val="false"/>
          <w:iCs w:val="false"/>
          <w:color w:val="2E2E2E"/>
          <w:sz w:val="20"/>
          <w:szCs w:val="20"/>
        </w:rPr>
        <w:t xml:space="preserve"/>
      </w:r>
    </w:p>
    <w:p>
      <w:pPr>
        <w:pStyle w:val="Heading1"/>
        <w:pBdr>
          <w:bottom w:val="single" w:color="CCDDEE" w:sz="4" w:space="4"/>
        </w:pBdr>
        <w:spacing w:after="120" w:before="300"/>
      </w:pPr>
      <w:r>
        <w:rPr>
          <w:rFonts w:ascii="Arial" w:cs="Arial" w:eastAsia="Arial" w:hAnsi="Arial"/>
          <w:b/>
          <w:bCs/>
          <w:i w:val="false"/>
          <w:iCs w:val="false"/>
          <w:color w:val="1A6BB5"/>
          <w:sz w:val="28"/>
          <w:szCs w:val="28"/>
        </w:rPr>
        <w:t xml:space="preserve">4.  Project Scope and Boundaries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160"/>
        <w:gridCol w:w="7252"/>
      </w:tblGrid>
      <w:tr>
        <w:tc>
          <w:tcPr>
            <w:tcW w:type="dxa" w:w="2160"/>
            <w:tcBorders>
              <w:top w:val="single" w:color="CCDDEE" w:sz="4"/>
              <w:left w:val="single" w:color="CCDDEE" w:sz="4"/>
              <w:bottom w:val="single" w:color="CCDDEE" w:sz="4"/>
              <w:right w:val="single" w:color="CCDDEE" w:sz="4"/>
            </w:tcBorders>
            <w:shd w:fill="0D1B2A"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Target Users and Context</w:t>
            </w:r>
          </w:p>
        </w:tc>
        <w:tc>
          <w:tcPr>
            <w:tcW w:type="dxa" w:w="725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The platform is designed for credit analysts working inside commercial lending banks. It is also built for loan applicants who want to track their active loan applications.</w:t>
            </w:r>
          </w:p>
        </w:tc>
      </w:tr>
      <w:tr>
        <w:tc>
          <w:tcPr>
            <w:tcW w:type="dxa" w:w="2160"/>
            <w:tcBorders>
              <w:top w:val="single" w:color="CCDDEE" w:sz="4"/>
              <w:left w:val="single" w:color="CCDDEE" w:sz="4"/>
              <w:bottom w:val="single" w:color="CCDDEE" w:sz="4"/>
              <w:right w:val="single" w:color="CCDDEE" w:sz="4"/>
            </w:tcBorders>
            <w:shd w:fill="0D1B2A"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The Core Pain Point</w:t>
            </w:r>
          </w:p>
        </w:tc>
        <w:tc>
          <w:tcPr>
            <w:tcW w:type="dxa" w:w="725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Extracting risk data manually from documents is slow and prone to errors. Furthermore, traditional rejection processes lack transparency and leave borrowers without a path to financial recovery.</w:t>
            </w:r>
          </w:p>
        </w:tc>
      </w:tr>
      <w:tr>
        <w:tc>
          <w:tcPr>
            <w:tcW w:type="dxa" w:w="2160"/>
            <w:tcBorders>
              <w:top w:val="single" w:color="CCDDEE" w:sz="4"/>
              <w:left w:val="single" w:color="CCDDEE" w:sz="4"/>
              <w:bottom w:val="single" w:color="CCDDEE" w:sz="4"/>
              <w:right w:val="single" w:color="CCDDEE" w:sz="4"/>
            </w:tcBorders>
            <w:shd w:fill="0D1B2A"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Measures of Success</w:t>
            </w:r>
          </w:p>
        </w:tc>
        <w:tc>
          <w:tcPr>
            <w:tcW w:type="dxa" w:w="725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The project will be considered successful if it reduces the total document evaluation time from several hours down to just minutes. It should also increase customer conversion rates by offering secondary, backup loan options.</w:t>
            </w:r>
          </w:p>
        </w:tc>
      </w:tr>
      <w:tr>
        <w:tc>
          <w:tcPr>
            <w:tcW w:type="dxa" w:w="2160"/>
            <w:tcBorders>
              <w:top w:val="single" w:color="CCDDEE" w:sz="4"/>
              <w:left w:val="single" w:color="CCDDEE" w:sz="4"/>
              <w:bottom w:val="single" w:color="CCDDEE" w:sz="4"/>
              <w:right w:val="single" w:color="CCDDEE" w:sz="4"/>
            </w:tcBorders>
            <w:shd w:fill="0D1B2A"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Data Sources</w:t>
            </w:r>
          </w:p>
        </w:tc>
        <w:tc>
          <w:tcPr>
            <w:tcW w:type="dxa" w:w="725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The system will process official financial PDF documents uploaded directly by the user. These include Bank Statements, Income Tax Returns (ITR), Balance Sheets, and Profit &amp; Loss statements.</w:t>
            </w:r>
          </w:p>
        </w:tc>
      </w:tr>
      <w:tr>
        <w:tc>
          <w:tcPr>
            <w:tcW w:type="dxa" w:w="2160"/>
            <w:tcBorders>
              <w:top w:val="single" w:color="CCDDEE" w:sz="4"/>
              <w:left w:val="single" w:color="CCDDEE" w:sz="4"/>
              <w:bottom w:val="single" w:color="CCDDEE" w:sz="4"/>
              <w:right w:val="single" w:color="CCDDEE" w:sz="4"/>
            </w:tcBorders>
            <w:shd w:fill="0D1B2A"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Out of Scope</w:t>
            </w:r>
          </w:p>
        </w:tc>
        <w:tc>
          <w:tcPr>
            <w:tcW w:type="dxa" w:w="725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The system will not automatically approve or reject loans without human sign-off. It will also not handle the actual infrastructure for transferring funds.</w:t>
            </w:r>
          </w:p>
        </w:tc>
      </w:tr>
    </w:tbl>
    <w:p>
      <w:pPr>
        <w:spacing w:after="40" w:before="40" w:line="276"/>
        <w:jc w:val="both"/>
      </w:pPr>
      <w:r>
        <w:rPr>
          <w:rFonts w:ascii="Arial" w:cs="Arial" w:eastAsia="Arial" w:hAnsi="Arial"/>
          <w:b w:val="false"/>
          <w:bCs w:val="false"/>
          <w:i w:val="false"/>
          <w:iCs w:val="false"/>
          <w:color w:val="2E2E2E"/>
          <w:sz w:val="20"/>
          <w:szCs w:val="20"/>
        </w:rPr>
        <w:t xml:space="preserve"/>
      </w:r>
    </w:p>
    <w:p>
      <w:pPr>
        <w:pStyle w:val="Heading1"/>
        <w:pBdr>
          <w:bottom w:val="single" w:color="CCDDEE" w:sz="4" w:space="4"/>
        </w:pBdr>
        <w:spacing w:after="120" w:before="300"/>
      </w:pPr>
      <w:r>
        <w:rPr>
          <w:rFonts w:ascii="Arial" w:cs="Arial" w:eastAsia="Arial" w:hAnsi="Arial"/>
          <w:b/>
          <w:bCs/>
          <w:i w:val="false"/>
          <w:iCs w:val="false"/>
          <w:color w:val="1A6BB5"/>
          <w:sz w:val="28"/>
          <w:szCs w:val="28"/>
        </w:rPr>
        <w:t xml:space="preserve">5.  Project Type and Capabilities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40"/>
        <w:gridCol w:w="1580"/>
        <w:gridCol w:w="5592"/>
      </w:tblGrid>
      <w:tr>
        <w:trPr>
          <w:tblHeader/>
        </w:trPr>
        <w:tc>
          <w:tcPr>
            <w:tcW w:type="dxa" w:w="2240"/>
            <w:tcBorders>
              <w:top w:val="single" w:color="CCDDEE" w:sz="4"/>
              <w:left w:val="single" w:color="CCDDEE" w:sz="4"/>
              <w:bottom w:val="single" w:color="CCDDEE" w:sz="4"/>
              <w:right w:val="single" w:color="CCDDEE" w:sz="4"/>
            </w:tcBorders>
            <w:shd w:fill="1A6BB5" w:val="clear"/>
            <w:tcMar>
              <w:top w:type="dxa" w:w="80"/>
              <w:left w:type="dxa" w:w="120"/>
              <w:bottom w:type="dxa" w:w="80"/>
              <w:right w:type="dxa" w:w="120"/>
            </w:tcMar>
            <w:vAlign w:val="center"/>
          </w:tcPr>
          <w:p>
            <w:pPr>
              <w:spacing w:after="80" w:before="80" w:line="276"/>
              <w:jc w:val="both"/>
            </w:pPr>
            <w:r>
              <w:rPr>
                <w:rFonts w:ascii="Arial" w:cs="Arial" w:eastAsia="Arial" w:hAnsi="Arial"/>
                <w:b/>
                <w:bCs/>
                <w:i w:val="false"/>
                <w:iCs w:val="false"/>
                <w:color w:val="FFFFFF"/>
                <w:sz w:val="18"/>
                <w:szCs w:val="18"/>
              </w:rPr>
              <w:t xml:space="preserve">Feature Category</w:t>
            </w:r>
          </w:p>
        </w:tc>
        <w:tc>
          <w:tcPr>
            <w:tcW w:type="dxa" w:w="1580"/>
            <w:tcBorders>
              <w:top w:val="single" w:color="CCDDEE" w:sz="4"/>
              <w:left w:val="single" w:color="CCDDEE" w:sz="4"/>
              <w:bottom w:val="single" w:color="CCDDEE" w:sz="4"/>
              <w:right w:val="single" w:color="CCDDEE" w:sz="4"/>
            </w:tcBorders>
            <w:shd w:fill="1A6BB5" w:val="clear"/>
            <w:tcMar>
              <w:top w:type="dxa" w:w="80"/>
              <w:left w:type="dxa" w:w="120"/>
              <w:bottom w:type="dxa" w:w="80"/>
              <w:right w:type="dxa" w:w="120"/>
            </w:tcMar>
            <w:vAlign w:val="center"/>
          </w:tcPr>
          <w:p>
            <w:pPr>
              <w:spacing w:after="80" w:before="80" w:line="276"/>
              <w:jc w:val="both"/>
            </w:pPr>
            <w:r>
              <w:rPr>
                <w:rFonts w:ascii="Arial" w:cs="Arial" w:eastAsia="Arial" w:hAnsi="Arial"/>
                <w:b/>
                <w:bCs/>
                <w:i w:val="false"/>
                <w:iCs w:val="false"/>
                <w:color w:val="FFFFFF"/>
                <w:sz w:val="18"/>
                <w:szCs w:val="18"/>
              </w:rPr>
              <w:t xml:space="preserve">Priority Level</w:t>
            </w:r>
          </w:p>
        </w:tc>
        <w:tc>
          <w:tcPr>
            <w:tcW w:type="dxa" w:w="5592"/>
            <w:tcBorders>
              <w:top w:val="single" w:color="CCDDEE" w:sz="4"/>
              <w:left w:val="single" w:color="CCDDEE" w:sz="4"/>
              <w:bottom w:val="single" w:color="CCDDEE" w:sz="4"/>
              <w:right w:val="single" w:color="CCDDEE" w:sz="4"/>
            </w:tcBorders>
            <w:shd w:fill="1A6BB5" w:val="clear"/>
            <w:tcMar>
              <w:top w:type="dxa" w:w="80"/>
              <w:left w:type="dxa" w:w="120"/>
              <w:bottom w:type="dxa" w:w="80"/>
              <w:right w:type="dxa" w:w="120"/>
            </w:tcMar>
            <w:vAlign w:val="center"/>
          </w:tcPr>
          <w:p>
            <w:pPr>
              <w:spacing w:after="80" w:before="80" w:line="276"/>
              <w:jc w:val="both"/>
            </w:pPr>
            <w:r>
              <w:rPr>
                <w:rFonts w:ascii="Arial" w:cs="Arial" w:eastAsia="Arial" w:hAnsi="Arial"/>
                <w:b/>
                <w:bCs/>
                <w:i w:val="false"/>
                <w:iCs w:val="false"/>
                <w:color w:val="FFFFFF"/>
                <w:sz w:val="18"/>
                <w:szCs w:val="18"/>
              </w:rPr>
              <w:t xml:space="preserve">AI Role and Technical Implementation</w:t>
            </w:r>
          </w:p>
        </w:tc>
      </w:tr>
      <w:tr>
        <w:tc>
          <w:tcPr>
            <w:tcW w:type="dxa" w:w="224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Document Summariser</w:t>
            </w:r>
          </w:p>
        </w:tc>
        <w:tc>
          <w:tcPr>
            <w:tcW w:type="dxa" w:w="158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Primary</w:t>
            </w:r>
          </w:p>
        </w:tc>
        <w:tc>
          <w:tcPr>
            <w:tcW w:type="dxa" w:w="559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Uses text chunking (split-and-refine) to process raw uploaded files and create a clean, visual overview of the user's finances.</w:t>
            </w:r>
          </w:p>
        </w:tc>
      </w:tr>
      <w:tr>
        <w:tc>
          <w:tcPr>
            <w:tcW w:type="dxa" w:w="224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AI Chat Assistant</w:t>
            </w:r>
          </w:p>
        </w:tc>
        <w:tc>
          <w:tcPr>
            <w:tcW w:type="dxa" w:w="158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Secondary</w:t>
            </w:r>
          </w:p>
        </w:tc>
        <w:tc>
          <w:tcPr>
            <w:tcW w:type="dxa" w:w="559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Provides conversational follow-up questions and answers. The chat is strictly based on the uploaded document contents to help resolve any questions the credit analyst might have.</w:t>
            </w:r>
          </w:p>
        </w:tc>
      </w:tr>
      <w:tr>
        <w:tc>
          <w:tcPr>
            <w:tcW w:type="dxa" w:w="224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Recommendation System</w:t>
            </w:r>
          </w:p>
        </w:tc>
        <w:tc>
          <w:tcPr>
            <w:tcW w:type="dxa" w:w="158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Primary</w:t>
            </w:r>
          </w:p>
        </w:tc>
        <w:tc>
          <w:tcPr>
            <w:tcW w:type="dxa" w:w="559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Uses intelligent business rules to suggest personalised ways to fix credit issues and recommends safer, alternative loan structures.</w:t>
            </w:r>
          </w:p>
        </w:tc>
      </w:tr>
    </w:tbl>
    <w:p>
      <w:pPr>
        <w:spacing w:after="40" w:before="40" w:line="276"/>
        <w:jc w:val="both"/>
      </w:pPr>
      <w:r>
        <w:rPr>
          <w:rFonts w:ascii="Arial" w:cs="Arial" w:eastAsia="Arial" w:hAnsi="Arial"/>
          <w:b w:val="false"/>
          <w:bCs w:val="false"/>
          <w:i w:val="false"/>
          <w:iCs w:val="false"/>
          <w:color w:val="2E2E2E"/>
          <w:sz w:val="20"/>
          <w:szCs w:val="20"/>
        </w:rPr>
        <w:t xml:space="preserve"/>
      </w:r>
    </w:p>
    <w:p>
      <w:pPr>
        <w:pStyle w:val="Heading1"/>
        <w:pBdr>
          <w:bottom w:val="single" w:color="CCDDEE" w:sz="4" w:space="4"/>
        </w:pBdr>
        <w:spacing w:after="120" w:before="300"/>
      </w:pPr>
      <w:r>
        <w:rPr>
          <w:rFonts w:ascii="Arial" w:cs="Arial" w:eastAsia="Arial" w:hAnsi="Arial"/>
          <w:b/>
          <w:bCs/>
          <w:i w:val="false"/>
          <w:iCs w:val="false"/>
          <w:color w:val="1A6BB5"/>
          <w:sz w:val="28"/>
          <w:szCs w:val="28"/>
        </w:rPr>
        <w:t xml:space="preserve">6.  Main Features and User Interface Plan</w:t>
      </w:r>
    </w:p>
    <w:p>
      <w:pPr>
        <w:pStyle w:val="Heading2"/>
        <w:spacing w:after="80" w:before="200"/>
      </w:pPr>
      <w:r>
        <w:rPr>
          <w:rFonts w:ascii="Arial" w:cs="Arial" w:eastAsia="Arial" w:hAnsi="Arial"/>
          <w:b/>
          <w:bCs/>
          <w:i w:val="false"/>
          <w:iCs w:val="false"/>
          <w:color w:val="0D1B2A"/>
          <w:sz w:val="24"/>
          <w:szCs w:val="24"/>
        </w:rPr>
        <w:t xml:space="preserve">6.1  Dynamic Recommendation Features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160"/>
        <w:gridCol w:w="7252"/>
      </w:tblGrid>
      <w:tr>
        <w:tc>
          <w:tcPr>
            <w:tcW w:type="dxa" w:w="2160"/>
            <w:tcBorders>
              <w:top w:val="single" w:color="CCDDEE" w:sz="4"/>
              <w:left w:val="single" w:color="CCDDEE" w:sz="4"/>
              <w:bottom w:val="single" w:color="CCDDEE" w:sz="4"/>
              <w:right w:val="single" w:color="CCDDEE" w:sz="4"/>
            </w:tcBorders>
            <w:shd w:fill="0D1B2A"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Actionable Credit Checklist</w:t>
            </w:r>
          </w:p>
        </w:tc>
        <w:tc>
          <w:tcPr>
            <w:tcW w:type="dxa" w:w="725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If a borrower's application is rejected, the system lists simple, step-by-step actions to fix their profile. Examples include suggesting they pay off a specific credit card or reduce their overall card utilisation so they can get approved the next time.</w:t>
            </w:r>
          </w:p>
        </w:tc>
      </w:tr>
      <w:tr>
        <w:tc>
          <w:tcPr>
            <w:tcW w:type="dxa" w:w="2160"/>
            <w:tcBorders>
              <w:top w:val="single" w:color="CCDDEE" w:sz="4"/>
              <w:left w:val="single" w:color="CCDDEE" w:sz="4"/>
              <w:bottom w:val="single" w:color="CCDDEE" w:sz="4"/>
              <w:right w:val="single" w:color="CCDDEE" w:sz="4"/>
            </w:tcBorders>
            <w:shd w:fill="0D1B2A"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Safer Backup Loan Options</w:t>
            </w:r>
          </w:p>
        </w:tc>
        <w:tc>
          <w:tcPr>
            <w:tcW w:type="dxa" w:w="725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If the requested loan amount carries too much risk, the system automatically calculates a safer alternative offer. For example, it might recommend a smaller loan amount or ask the applicant to provide a business asset as security.</w:t>
            </w:r>
          </w:p>
        </w:tc>
      </w:tr>
      <w:tr>
        <w:tc>
          <w:tcPr>
            <w:tcW w:type="dxa" w:w="2160"/>
            <w:tcBorders>
              <w:top w:val="single" w:color="CCDDEE" w:sz="4"/>
              <w:left w:val="single" w:color="CCDDEE" w:sz="4"/>
              <w:bottom w:val="single" w:color="CCDDEE" w:sz="4"/>
              <w:right w:val="single" w:color="CCDDEE" w:sz="4"/>
            </w:tcBorders>
            <w:shd w:fill="0D1B2A"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Long-Term Risk Simulator</w:t>
            </w:r>
          </w:p>
        </w:tc>
        <w:tc>
          <w:tcPr>
            <w:tcW w:type="dxa" w:w="725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The AI looks ahead to model future cash flows and potential economic changes, such as higher interest rates. This ensures the borrower can comfortably afford their monthly payments in the upcoming year.</w:t>
            </w:r>
          </w:p>
        </w:tc>
      </w:tr>
      <w:tr>
        <w:tc>
          <w:tcPr>
            <w:tcW w:type="dxa" w:w="2160"/>
            <w:tcBorders>
              <w:top w:val="single" w:color="CCDDEE" w:sz="4"/>
              <w:left w:val="single" w:color="CCDDEE" w:sz="4"/>
              <w:bottom w:val="single" w:color="CCDDEE" w:sz="4"/>
              <w:right w:val="single" w:color="CCDDEE" w:sz="4"/>
            </w:tcBorders>
            <w:shd w:fill="0D1B2A"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Urgency Pipeline Sorting</w:t>
            </w:r>
          </w:p>
        </w:tc>
        <w:tc>
          <w:tcPr>
            <w:tcW w:type="dxa" w:w="725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The AI automatically scans through the text in applications to identify applicants who need funds immediately, such as for an emergency company payroll. This allows bank teams to handle high-priority leads first.</w:t>
            </w:r>
          </w:p>
        </w:tc>
      </w:tr>
    </w:tbl>
    <w:p>
      <w:pPr>
        <w:spacing w:after="40" w:before="40" w:line="276"/>
        <w:jc w:val="both"/>
      </w:pPr>
      <w:r>
        <w:rPr>
          <w:rFonts w:ascii="Arial" w:cs="Arial" w:eastAsia="Arial" w:hAnsi="Arial"/>
          <w:b w:val="false"/>
          <w:bCs w:val="false"/>
          <w:i w:val="false"/>
          <w:iCs w:val="false"/>
          <w:color w:val="2E2E2E"/>
          <w:sz w:val="20"/>
          <w:szCs w:val="20"/>
        </w:rPr>
        <w:t xml:space="preserve"/>
      </w:r>
    </w:p>
    <w:p>
      <w:pPr>
        <w:pStyle w:val="Heading2"/>
        <w:spacing w:after="80" w:before="200"/>
      </w:pPr>
      <w:r>
        <w:rPr>
          <w:rFonts w:ascii="Arial" w:cs="Arial" w:eastAsia="Arial" w:hAnsi="Arial"/>
          <w:b/>
          <w:bCs/>
          <w:i w:val="false"/>
          <w:iCs w:val="false"/>
          <w:color w:val="0D1B2A"/>
          <w:sz w:val="24"/>
          <w:szCs w:val="24"/>
        </w:rPr>
        <w:t xml:space="preserve">6.2  Document Analysis Features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160"/>
        <w:gridCol w:w="7252"/>
      </w:tblGrid>
      <w:tr>
        <w:tc>
          <w:tcPr>
            <w:tcW w:type="dxa" w:w="2160"/>
            <w:tcBorders>
              <w:top w:val="single" w:color="CCDDEE" w:sz="4"/>
              <w:left w:val="single" w:color="CCDDEE" w:sz="4"/>
              <w:bottom w:val="single" w:color="CCDDEE" w:sz="4"/>
              <w:right w:val="single" w:color="CCDDEE" w:sz="4"/>
            </w:tcBorders>
            <w:shd w:fill="0D1B2A"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Borrower Loan Pros and Cons</w:t>
            </w:r>
          </w:p>
        </w:tc>
        <w:tc>
          <w:tcPr>
            <w:tcW w:type="dxa" w:w="725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This feature shows applicants exactly where their financial profile is strong, like having a stable income. It also highlights weaknesses, such as having too much existing debt, ensuring they understand their exact chances of approval.</w:t>
            </w:r>
          </w:p>
        </w:tc>
      </w:tr>
      <w:tr>
        <w:tc>
          <w:tcPr>
            <w:tcW w:type="dxa" w:w="2160"/>
            <w:tcBorders>
              <w:top w:val="single" w:color="CCDDEE" w:sz="4"/>
              <w:left w:val="single" w:color="CCDDEE" w:sz="4"/>
              <w:bottom w:val="single" w:color="CCDDEE" w:sz="4"/>
              <w:right w:val="single" w:color="CCDDEE" w:sz="4"/>
            </w:tcBorders>
            <w:shd w:fill="0D1B2A"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Financial PDF Uploads</w:t>
            </w:r>
          </w:p>
        </w:tc>
        <w:tc>
          <w:tcPr>
            <w:tcW w:type="dxa" w:w="725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Users can upload the official files required for their evaluation. Supported documents include Bank Statements, Income Tax Returns (ITR), Audited Balance Sheets, and Company Profit &amp; Loss statements.</w:t>
            </w:r>
          </w:p>
        </w:tc>
      </w:tr>
      <w:tr>
        <w:tc>
          <w:tcPr>
            <w:tcW w:type="dxa" w:w="2160"/>
            <w:tcBorders>
              <w:top w:val="single" w:color="CCDDEE" w:sz="4"/>
              <w:left w:val="single" w:color="CCDDEE" w:sz="4"/>
              <w:bottom w:val="single" w:color="CCDDEE" w:sz="4"/>
              <w:right w:val="single" w:color="CCDDEE" w:sz="4"/>
            </w:tcBorders>
            <w:shd w:fill="0D1B2A"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Visual Dashboard Summaries</w:t>
            </w:r>
          </w:p>
        </w:tc>
        <w:tc>
          <w:tcPr>
            <w:tcW w:type="dxa" w:w="725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The system creates an interactive screen featuring a 3-year profit growth graph and a loan-reduction tracker chart. It also provides immediate red-flag alerts if the applicant missed past loan payments.</w:t>
            </w:r>
          </w:p>
        </w:tc>
      </w:tr>
      <w:tr>
        <w:tc>
          <w:tcPr>
            <w:tcW w:type="dxa" w:w="2160"/>
            <w:tcBorders>
              <w:top w:val="single" w:color="CCDDEE" w:sz="4"/>
              <w:left w:val="single" w:color="CCDDEE" w:sz="4"/>
              <w:bottom w:val="single" w:color="CCDDEE" w:sz="4"/>
              <w:right w:val="single" w:color="CCDDEE" w:sz="4"/>
            </w:tcBorders>
            <w:shd w:fill="0D1B2A"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Pre-configured Clickable Prompts</w:t>
            </w:r>
          </w:p>
        </w:tc>
        <w:tc>
          <w:tcPr>
            <w:tcW w:type="dxa" w:w="725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The platform provides ready-to-use, clickable sample questions tailored to different user types. For Banks: 'Did this company miss any payments in the last 12 months?' or 'Does the borrower have enough cash for next month's instalment?' For Borrowers: 'What is causing my credit score to drop?' or 'Based on my documents, how much loan amount can I safely afford?'</w:t>
            </w:r>
          </w:p>
        </w:tc>
      </w:tr>
    </w:tbl>
    <w:p>
      <w:pPr>
        <w:spacing w:after="40" w:before="40" w:line="276"/>
        <w:jc w:val="both"/>
      </w:pPr>
      <w:r>
        <w:rPr>
          <w:rFonts w:ascii="Arial" w:cs="Arial" w:eastAsia="Arial" w:hAnsi="Arial"/>
          <w:b w:val="false"/>
          <w:bCs w:val="false"/>
          <w:i w:val="false"/>
          <w:iCs w:val="false"/>
          <w:color w:val="2E2E2E"/>
          <w:sz w:val="20"/>
          <w:szCs w:val="20"/>
        </w:rPr>
        <w:t xml:space="preserve"/>
      </w:r>
    </w:p>
    <w:p>
      <w:pPr>
        <w:pStyle w:val="Heading2"/>
        <w:spacing w:after="80" w:before="200"/>
      </w:pPr>
      <w:r>
        <w:rPr>
          <w:rFonts w:ascii="Arial" w:cs="Arial" w:eastAsia="Arial" w:hAnsi="Arial"/>
          <w:b/>
          <w:bCs/>
          <w:i w:val="false"/>
          <w:iCs w:val="false"/>
          <w:color w:val="0D1B2A"/>
          <w:sz w:val="24"/>
          <w:szCs w:val="24"/>
        </w:rPr>
        <w:t xml:space="preserve">6.3  User Interface Layout Plan</w:t>
      </w:r>
    </w:p>
    <w:p>
      <w:pPr>
        <w:spacing w:after="80" w:before="80" w:line="276"/>
        <w:jc w:val="both"/>
      </w:pPr>
      <w:r>
        <w:rPr>
          <w:rFonts w:ascii="Arial" w:cs="Arial" w:eastAsia="Arial" w:hAnsi="Arial"/>
          <w:b w:val="false"/>
          <w:bCs w:val="false"/>
          <w:i w:val="false"/>
          <w:iCs w:val="false"/>
          <w:color w:val="2E2E2E"/>
          <w:sz w:val="20"/>
          <w:szCs w:val="20"/>
        </w:rPr>
        <w:t xml:space="preserve">The platform is built on a clean, intuitive Streamlit dashboard designed for both technical and non-technical users. The interface is organised into a left navigation sidebar and a main content area with six dedicated pages.</w:t>
      </w:r>
    </w:p>
    <w:p>
      <w:pPr>
        <w:pStyle w:val="Heading3"/>
        <w:spacing w:after="60" w:before="160"/>
      </w:pPr>
      <w:r>
        <w:rPr>
          <w:rFonts w:ascii="Arial" w:cs="Arial" w:eastAsia="Arial" w:hAnsi="Arial"/>
          <w:b/>
          <w:bCs/>
          <w:i w:val="false"/>
          <w:iCs w:val="false"/>
          <w:color w:val="2E86AB"/>
          <w:sz w:val="22"/>
          <w:szCs w:val="22"/>
        </w:rPr>
        <w:t xml:space="preserve">Left Sidebar — Navigation and Session Status</w:t>
      </w:r>
    </w:p>
    <w:p>
      <w:pPr>
        <w:spacing w:after="80" w:before="80" w:line="276"/>
        <w:jc w:val="both"/>
      </w:pPr>
      <w:r>
        <w:rPr>
          <w:rFonts w:ascii="Arial" w:cs="Arial" w:eastAsia="Arial" w:hAnsi="Arial"/>
          <w:b w:val="false"/>
          <w:bCs w:val="false"/>
          <w:i w:val="false"/>
          <w:iCs w:val="false"/>
          <w:color w:val="2E2E2E"/>
          <w:sz w:val="20"/>
          <w:szCs w:val="20"/>
        </w:rPr>
        <w:t xml:space="preserve">The left sidebar serves as the central control panel for the entire platform. It contains:</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Navigation menu with six pages — Dashboard, Upload Documents, Document Summary, Risk Analysis, AI Recommendations and AI Chat.</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Session tracker showing live status — Documents uploaded, Documents processed, Risk Score, Recommendations status and Chat status.</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AI Engine indicator at the bottom showing which model is currently active.</w:t>
      </w:r>
    </w:p>
    <w:p>
      <w:pPr>
        <w:pStyle w:val="Heading3"/>
        <w:spacing w:after="60" w:before="160"/>
      </w:pPr>
      <w:r>
        <w:rPr>
          <w:rFonts w:ascii="Arial" w:cs="Arial" w:eastAsia="Arial" w:hAnsi="Arial"/>
          <w:b/>
          <w:bCs/>
          <w:i w:val="false"/>
          <w:iCs w:val="false"/>
          <w:color w:val="2E86AB"/>
          <w:sz w:val="22"/>
          <w:szCs w:val="22"/>
        </w:rPr>
        <w:t xml:space="preserve">Main Pages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80"/>
        <w:gridCol w:w="7032"/>
      </w:tblGrid>
      <w:tr>
        <w:tc>
          <w:tcPr>
            <w:tcW w:type="dxa" w:w="2380"/>
            <w:tcBorders>
              <w:top w:val="single" w:color="CCDDEE" w:sz="4"/>
              <w:left w:val="single" w:color="CCDDEE" w:sz="4"/>
              <w:bottom w:val="single" w:color="CCDDEE" w:sz="4"/>
              <w:right w:val="single" w:color="CCDDEE" w:sz="4"/>
            </w:tcBorders>
            <w:shd w:fill="1A6BB5"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Dashboard</w:t>
            </w:r>
          </w:p>
        </w:tc>
        <w:tc>
          <w:tcPr>
            <w:tcW w:type="dxa" w:w="703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The home screen giving a complete overview of the current session — documents uploaded, risk score summary, key financial highlights and quick access to all sections.</w:t>
            </w:r>
          </w:p>
        </w:tc>
      </w:tr>
      <w:tr>
        <w:tc>
          <w:tcPr>
            <w:tcW w:type="dxa" w:w="2380"/>
            <w:tcBorders>
              <w:top w:val="single" w:color="CCDDEE" w:sz="4"/>
              <w:left w:val="single" w:color="CCDDEE" w:sz="4"/>
              <w:bottom w:val="single" w:color="CCDDEE" w:sz="4"/>
              <w:right w:val="single" w:color="CCDDEE" w:sz="4"/>
            </w:tcBorders>
            <w:shd w:fill="1A6BB5"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Upload Documents</w:t>
            </w:r>
          </w:p>
        </w:tc>
        <w:tc>
          <w:tcPr>
            <w:tcW w:type="dxa" w:w="703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Dedicated page for uploading financial PDFs. Supports multiple file uploads at once with real-time processing status for each document.</w:t>
            </w:r>
          </w:p>
        </w:tc>
      </w:tr>
      <w:tr>
        <w:tc>
          <w:tcPr>
            <w:tcW w:type="dxa" w:w="2380"/>
            <w:tcBorders>
              <w:top w:val="single" w:color="CCDDEE" w:sz="4"/>
              <w:left w:val="single" w:color="CCDDEE" w:sz="4"/>
              <w:bottom w:val="single" w:color="CCDDEE" w:sz="4"/>
              <w:right w:val="single" w:color="CCDDEE" w:sz="4"/>
            </w:tcBorders>
            <w:shd w:fill="1A6BB5"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Document Summary</w:t>
            </w:r>
          </w:p>
        </w:tc>
        <w:tc>
          <w:tcPr>
            <w:tcW w:type="dxa" w:w="703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Displays a clean AI-generated summary of all uploaded documents — income overview, expense patterns, profit trends and key financial figures extracted automatically.</w:t>
            </w:r>
          </w:p>
        </w:tc>
      </w:tr>
      <w:tr>
        <w:tc>
          <w:tcPr>
            <w:tcW w:type="dxa" w:w="2380"/>
            <w:tcBorders>
              <w:top w:val="single" w:color="CCDDEE" w:sz="4"/>
              <w:left w:val="single" w:color="CCDDEE" w:sz="4"/>
              <w:bottom w:val="single" w:color="CCDDEE" w:sz="4"/>
              <w:right w:val="single" w:color="CCDDEE" w:sz="4"/>
            </w:tcBorders>
            <w:shd w:fill="1A6BB5"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Risk Analysis</w:t>
            </w:r>
          </w:p>
        </w:tc>
        <w:tc>
          <w:tcPr>
            <w:tcW w:type="dxa" w:w="703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The core analysis page showing a visual risk score gauge (0-100) with Low, Moderate and High levels; a Risk Breakdown bar chart summarising Strengths, Weaknesses, Red Flags and Missing Information; a warning banner when concerns outweigh positives; and four detailed tabs — Strengths, Weaknesses, Red Flags and Missing Info — each listing specific findings extracted directly from the uploaded financial documents. All findings are fully grounded in the actual uploaded documents — no assumptions or guesswork involved.</w:t>
            </w:r>
          </w:p>
        </w:tc>
      </w:tr>
      <w:tr>
        <w:tc>
          <w:tcPr>
            <w:tcW w:type="dxa" w:w="2380"/>
            <w:tcBorders>
              <w:top w:val="single" w:color="CCDDEE" w:sz="4"/>
              <w:left w:val="single" w:color="CCDDEE" w:sz="4"/>
              <w:bottom w:val="single" w:color="CCDDEE" w:sz="4"/>
              <w:right w:val="single" w:color="CCDDEE" w:sz="4"/>
            </w:tcBorders>
            <w:shd w:fill="1A6BB5"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AI Recommendations</w:t>
            </w:r>
          </w:p>
        </w:tc>
        <w:tc>
          <w:tcPr>
            <w:tcW w:type="dxa" w:w="703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Provides personalised guidance — credit improvement checklist, safer alternative options and specific actions the applicant can take to strengthen their financial profile.</w:t>
            </w:r>
          </w:p>
        </w:tc>
      </w:tr>
      <w:tr>
        <w:tc>
          <w:tcPr>
            <w:tcW w:type="dxa" w:w="2380"/>
            <w:tcBorders>
              <w:top w:val="single" w:color="CCDDEE" w:sz="4"/>
              <w:left w:val="single" w:color="CCDDEE" w:sz="4"/>
              <w:bottom w:val="single" w:color="CCDDEE" w:sz="4"/>
              <w:right w:val="single" w:color="CCDDEE" w:sz="4"/>
            </w:tcBorders>
            <w:shd w:fill="1A6BB5"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AI Chat</w:t>
            </w:r>
          </w:p>
        </w:tc>
        <w:tc>
          <w:tcPr>
            <w:tcW w:type="dxa" w:w="703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A conversational assistant where both the analyst and applicant can ask any question about the uploaded documents and receive answers grounded entirely in the actual financial data.</w:t>
            </w:r>
          </w:p>
        </w:tc>
      </w:tr>
    </w:tbl>
    <w:p>
      <w:pPr>
        <w:spacing w:after="40" w:before="40" w:line="276"/>
        <w:jc w:val="both"/>
      </w:pPr>
      <w:r>
        <w:rPr>
          <w:rFonts w:ascii="Arial" w:cs="Arial" w:eastAsia="Arial" w:hAnsi="Arial"/>
          <w:b w:val="false"/>
          <w:bCs w:val="false"/>
          <w:i w:val="false"/>
          <w:iCs w:val="false"/>
          <w:color w:val="2E2E2E"/>
          <w:sz w:val="20"/>
          <w:szCs w:val="20"/>
        </w:rPr>
        <w:t xml:space="preserve"/>
      </w:r>
    </w:p>
    <w:p>
      <w:pPr>
        <w:pStyle w:val="Heading1"/>
        <w:pBdr>
          <w:bottom w:val="single" w:color="CCDDEE" w:sz="4" w:space="4"/>
        </w:pBdr>
        <w:spacing w:after="120" w:before="300"/>
      </w:pPr>
      <w:r>
        <w:rPr>
          <w:rFonts w:ascii="Arial" w:cs="Arial" w:eastAsia="Arial" w:hAnsi="Arial"/>
          <w:b/>
          <w:bCs/>
          <w:i w:val="false"/>
          <w:iCs w:val="false"/>
          <w:color w:val="1A6BB5"/>
          <w:sz w:val="28"/>
          <w:szCs w:val="28"/>
        </w:rPr>
        <w:t xml:space="preserve">7.  Simple Workflow</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620"/>
        <w:gridCol w:w="2700"/>
        <w:gridCol w:w="6092"/>
      </w:tblGrid>
      <w:tr>
        <w:tc>
          <w:tcPr>
            <w:tcW w:type="dxa" w:w="620"/>
            <w:tcBorders>
              <w:top w:val="single" w:color="CCDDEE" w:sz="4"/>
              <w:left w:val="single" w:color="CCDDEE" w:sz="4"/>
              <w:bottom w:val="single" w:color="CCDDEE" w:sz="4"/>
              <w:right w:val="single" w:color="CCDDEE" w:sz="4"/>
            </w:tcBorders>
            <w:shd w:fill="1A6BB5" w:val="clear"/>
            <w:tcMar>
              <w:top w:type="dxa" w:w="100"/>
              <w:left w:type="dxa" w:w="80"/>
              <w:bottom w:type="dxa" w:w="100"/>
              <w:right w:type="dxa" w:w="80"/>
            </w:tcMar>
            <w:vAlign w:val="center"/>
          </w:tcPr>
          <w:p>
            <w:pPr>
              <w:spacing w:after="80" w:before="80" w:line="276"/>
              <w:jc w:val="center"/>
            </w:pPr>
            <w:r>
              <w:rPr>
                <w:rFonts w:ascii="Arial" w:cs="Arial" w:eastAsia="Arial" w:hAnsi="Arial"/>
                <w:b/>
                <w:bCs/>
                <w:i w:val="false"/>
                <w:iCs w:val="false"/>
                <w:color w:val="FFFFFF"/>
                <w:sz w:val="24"/>
                <w:szCs w:val="24"/>
              </w:rPr>
              <w:t xml:space="preserve">1</w:t>
            </w:r>
          </w:p>
        </w:tc>
        <w:tc>
          <w:tcPr>
            <w:tcW w:type="dxa" w:w="2700"/>
            <w:tcBorders>
              <w:top w:val="single" w:color="CCDDEE" w:sz="4"/>
              <w:left w:val="single" w:color="CCDDEE" w:sz="4"/>
              <w:bottom w:val="single" w:color="CCDDEE" w:sz="4"/>
              <w:right w:val="single" w:color="CCDDEE" w:sz="4"/>
            </w:tcBorders>
            <w:shd w:fill="FFFFFF" w:val="clear"/>
            <w:tcMar>
              <w:top w:type="dxa" w:w="100"/>
              <w:left w:type="dxa" w:w="120"/>
              <w:bottom w:type="dxa" w:w="100"/>
              <w:right w:type="dxa" w:w="120"/>
            </w:tcMar>
            <w:vAlign w:val="center"/>
          </w:tcPr>
          <w:p>
            <w:pPr>
              <w:spacing w:after="80" w:before="80" w:line="276"/>
              <w:jc w:val="both"/>
            </w:pPr>
            <w:r>
              <w:rPr>
                <w:rFonts w:ascii="Arial" w:cs="Arial" w:eastAsia="Arial" w:hAnsi="Arial"/>
                <w:b/>
                <w:bCs/>
                <w:i w:val="false"/>
                <w:iCs w:val="false"/>
                <w:color w:val="2E2E2E"/>
                <w:sz w:val="20"/>
                <w:szCs w:val="20"/>
              </w:rPr>
              <w:t xml:space="preserve">Upload Documents</w:t>
            </w:r>
          </w:p>
        </w:tc>
        <w:tc>
          <w:tcPr>
            <w:tcW w:type="dxa" w:w="6092"/>
            <w:tcBorders>
              <w:top w:val="single" w:color="CCDDEE" w:sz="4"/>
              <w:left w:val="single" w:color="CCDDEE" w:sz="4"/>
              <w:bottom w:val="single" w:color="CCDDEE" w:sz="4"/>
              <w:right w:val="single" w:color="CCDDEE" w:sz="4"/>
            </w:tcBorders>
            <w:shd w:fill="FFFFFF" w:val="clear"/>
            <w:tcMar>
              <w:top w:type="dxa" w:w="100"/>
              <w:left w:type="dxa" w:w="120"/>
              <w:bottom w:type="dxa" w:w="100"/>
              <w:right w:type="dxa" w:w="120"/>
            </w:tcMar>
            <w:vAlign w:val="center"/>
          </w:tcPr>
          <w:p>
            <w:pPr>
              <w:spacing w:after="80" w:before="80" w:line="276"/>
              <w:jc w:val="both"/>
            </w:pPr>
            <w:r>
              <w:rPr>
                <w:rFonts w:ascii="Arial" w:cs="Arial" w:eastAsia="Arial" w:hAnsi="Arial"/>
                <w:b w:val="false"/>
                <w:bCs w:val="false"/>
                <w:i w:val="false"/>
                <w:iCs w:val="false"/>
                <w:color w:val="2E2E2E"/>
                <w:sz w:val="20"/>
                <w:szCs w:val="20"/>
              </w:rPr>
              <w:t xml:space="preserve">The user uploads their financial files.</w:t>
            </w:r>
          </w:p>
        </w:tc>
      </w:tr>
      <w:tr>
        <w:tc>
          <w:tcPr>
            <w:tcW w:type="dxa" w:w="620"/>
            <w:tcBorders>
              <w:top w:val="single" w:color="CCDDEE" w:sz="4"/>
              <w:left w:val="single" w:color="CCDDEE" w:sz="4"/>
              <w:bottom w:val="single" w:color="CCDDEE" w:sz="4"/>
              <w:right w:val="single" w:color="CCDDEE" w:sz="4"/>
            </w:tcBorders>
            <w:shd w:fill="1A6BB5" w:val="clear"/>
            <w:tcMar>
              <w:top w:type="dxa" w:w="100"/>
              <w:left w:type="dxa" w:w="80"/>
              <w:bottom w:type="dxa" w:w="100"/>
              <w:right w:type="dxa" w:w="80"/>
            </w:tcMar>
            <w:vAlign w:val="center"/>
          </w:tcPr>
          <w:p>
            <w:pPr>
              <w:spacing w:after="80" w:before="80" w:line="276"/>
              <w:jc w:val="center"/>
            </w:pPr>
            <w:r>
              <w:rPr>
                <w:rFonts w:ascii="Arial" w:cs="Arial" w:eastAsia="Arial" w:hAnsi="Arial"/>
                <w:b/>
                <w:bCs/>
                <w:i w:val="false"/>
                <w:iCs w:val="false"/>
                <w:color w:val="FFFFFF"/>
                <w:sz w:val="24"/>
                <w:szCs w:val="24"/>
              </w:rPr>
              <w:t xml:space="preserve">2</w:t>
            </w:r>
          </w:p>
        </w:tc>
        <w:tc>
          <w:tcPr>
            <w:tcW w:type="dxa" w:w="2700"/>
            <w:tcBorders>
              <w:top w:val="single" w:color="CCDDEE" w:sz="4"/>
              <w:left w:val="single" w:color="CCDDEE" w:sz="4"/>
              <w:bottom w:val="single" w:color="CCDDEE" w:sz="4"/>
              <w:right w:val="single" w:color="CCDDEE" w:sz="4"/>
            </w:tcBorders>
            <w:shd w:fill="F2F8FF" w:val="clear"/>
            <w:tcMar>
              <w:top w:type="dxa" w:w="100"/>
              <w:left w:type="dxa" w:w="120"/>
              <w:bottom w:type="dxa" w:w="100"/>
              <w:right w:type="dxa" w:w="120"/>
            </w:tcMar>
            <w:vAlign w:val="center"/>
          </w:tcPr>
          <w:p>
            <w:pPr>
              <w:spacing w:after="80" w:before="80" w:line="276"/>
              <w:jc w:val="both"/>
            </w:pPr>
            <w:r>
              <w:rPr>
                <w:rFonts w:ascii="Arial" w:cs="Arial" w:eastAsia="Arial" w:hAnsi="Arial"/>
                <w:b/>
                <w:bCs/>
                <w:i w:val="false"/>
                <w:iCs w:val="false"/>
                <w:color w:val="2E2E2E"/>
                <w:sz w:val="20"/>
                <w:szCs w:val="20"/>
              </w:rPr>
              <w:t xml:space="preserve">AI Reads Documents</w:t>
            </w:r>
          </w:p>
        </w:tc>
        <w:tc>
          <w:tcPr>
            <w:tcW w:type="dxa" w:w="6092"/>
            <w:tcBorders>
              <w:top w:val="single" w:color="CCDDEE" w:sz="4"/>
              <w:left w:val="single" w:color="CCDDEE" w:sz="4"/>
              <w:bottom w:val="single" w:color="CCDDEE" w:sz="4"/>
              <w:right w:val="single" w:color="CCDDEE" w:sz="4"/>
            </w:tcBorders>
            <w:shd w:fill="F2F8FF" w:val="clear"/>
            <w:tcMar>
              <w:top w:type="dxa" w:w="100"/>
              <w:left w:type="dxa" w:w="120"/>
              <w:bottom w:type="dxa" w:w="100"/>
              <w:right w:type="dxa" w:w="120"/>
            </w:tcMar>
            <w:vAlign w:val="center"/>
          </w:tcPr>
          <w:p>
            <w:pPr>
              <w:spacing w:after="80" w:before="80" w:line="276"/>
              <w:jc w:val="both"/>
            </w:pPr>
            <w:r>
              <w:rPr>
                <w:rFonts w:ascii="Arial" w:cs="Arial" w:eastAsia="Arial" w:hAnsi="Arial"/>
                <w:b w:val="false"/>
                <w:bCs w:val="false"/>
                <w:i w:val="false"/>
                <w:iCs w:val="false"/>
                <w:color w:val="2E2E2E"/>
                <w:sz w:val="20"/>
                <w:szCs w:val="20"/>
              </w:rPr>
              <w:t xml:space="preserve">The system processes the text and numbers.</w:t>
            </w:r>
          </w:p>
        </w:tc>
      </w:tr>
      <w:tr>
        <w:tc>
          <w:tcPr>
            <w:tcW w:type="dxa" w:w="620"/>
            <w:tcBorders>
              <w:top w:val="single" w:color="CCDDEE" w:sz="4"/>
              <w:left w:val="single" w:color="CCDDEE" w:sz="4"/>
              <w:bottom w:val="single" w:color="CCDDEE" w:sz="4"/>
              <w:right w:val="single" w:color="CCDDEE" w:sz="4"/>
            </w:tcBorders>
            <w:shd w:fill="1A6BB5" w:val="clear"/>
            <w:tcMar>
              <w:top w:type="dxa" w:w="100"/>
              <w:left w:type="dxa" w:w="80"/>
              <w:bottom w:type="dxa" w:w="100"/>
              <w:right w:type="dxa" w:w="80"/>
            </w:tcMar>
            <w:vAlign w:val="center"/>
          </w:tcPr>
          <w:p>
            <w:pPr>
              <w:spacing w:after="80" w:before="80" w:line="276"/>
              <w:jc w:val="center"/>
            </w:pPr>
            <w:r>
              <w:rPr>
                <w:rFonts w:ascii="Arial" w:cs="Arial" w:eastAsia="Arial" w:hAnsi="Arial"/>
                <w:b/>
                <w:bCs/>
                <w:i w:val="false"/>
                <w:iCs w:val="false"/>
                <w:color w:val="FFFFFF"/>
                <w:sz w:val="24"/>
                <w:szCs w:val="24"/>
              </w:rPr>
              <w:t xml:space="preserve">3</w:t>
            </w:r>
          </w:p>
        </w:tc>
        <w:tc>
          <w:tcPr>
            <w:tcW w:type="dxa" w:w="2700"/>
            <w:tcBorders>
              <w:top w:val="single" w:color="CCDDEE" w:sz="4"/>
              <w:left w:val="single" w:color="CCDDEE" w:sz="4"/>
              <w:bottom w:val="single" w:color="CCDDEE" w:sz="4"/>
              <w:right w:val="single" w:color="CCDDEE" w:sz="4"/>
            </w:tcBorders>
            <w:shd w:fill="FFFFFF" w:val="clear"/>
            <w:tcMar>
              <w:top w:type="dxa" w:w="100"/>
              <w:left w:type="dxa" w:w="120"/>
              <w:bottom w:type="dxa" w:w="100"/>
              <w:right w:type="dxa" w:w="120"/>
            </w:tcMar>
            <w:vAlign w:val="center"/>
          </w:tcPr>
          <w:p>
            <w:pPr>
              <w:spacing w:after="80" w:before="80" w:line="276"/>
              <w:jc w:val="both"/>
            </w:pPr>
            <w:r>
              <w:rPr>
                <w:rFonts w:ascii="Arial" w:cs="Arial" w:eastAsia="Arial" w:hAnsi="Arial"/>
                <w:b/>
                <w:bCs/>
                <w:i w:val="false"/>
                <w:iCs w:val="false"/>
                <w:color w:val="2E2E2E"/>
                <w:sz w:val="20"/>
                <w:szCs w:val="20"/>
              </w:rPr>
              <w:t xml:space="preserve">Information Retrieved</w:t>
            </w:r>
          </w:p>
        </w:tc>
        <w:tc>
          <w:tcPr>
            <w:tcW w:type="dxa" w:w="6092"/>
            <w:tcBorders>
              <w:top w:val="single" w:color="CCDDEE" w:sz="4"/>
              <w:left w:val="single" w:color="CCDDEE" w:sz="4"/>
              <w:bottom w:val="single" w:color="CCDDEE" w:sz="4"/>
              <w:right w:val="single" w:color="CCDDEE" w:sz="4"/>
            </w:tcBorders>
            <w:shd w:fill="FFFFFF" w:val="clear"/>
            <w:tcMar>
              <w:top w:type="dxa" w:w="100"/>
              <w:left w:type="dxa" w:w="120"/>
              <w:bottom w:type="dxa" w:w="100"/>
              <w:right w:type="dxa" w:w="120"/>
            </w:tcMar>
            <w:vAlign w:val="center"/>
          </w:tcPr>
          <w:p>
            <w:pPr>
              <w:spacing w:after="80" w:before="80" w:line="276"/>
              <w:jc w:val="both"/>
            </w:pPr>
            <w:r>
              <w:rPr>
                <w:rFonts w:ascii="Arial" w:cs="Arial" w:eastAsia="Arial" w:hAnsi="Arial"/>
                <w:b w:val="false"/>
                <w:bCs w:val="false"/>
                <w:i w:val="false"/>
                <w:iCs w:val="false"/>
                <w:color w:val="2E2E2E"/>
                <w:sz w:val="20"/>
                <w:szCs w:val="20"/>
              </w:rPr>
              <w:t xml:space="preserve">Key financial data points are extracted.</w:t>
            </w:r>
          </w:p>
        </w:tc>
      </w:tr>
      <w:tr>
        <w:tc>
          <w:tcPr>
            <w:tcW w:type="dxa" w:w="620"/>
            <w:tcBorders>
              <w:top w:val="single" w:color="CCDDEE" w:sz="4"/>
              <w:left w:val="single" w:color="CCDDEE" w:sz="4"/>
              <w:bottom w:val="single" w:color="CCDDEE" w:sz="4"/>
              <w:right w:val="single" w:color="CCDDEE" w:sz="4"/>
            </w:tcBorders>
            <w:shd w:fill="1A6BB5" w:val="clear"/>
            <w:tcMar>
              <w:top w:type="dxa" w:w="100"/>
              <w:left w:type="dxa" w:w="80"/>
              <w:bottom w:type="dxa" w:w="100"/>
              <w:right w:type="dxa" w:w="80"/>
            </w:tcMar>
            <w:vAlign w:val="center"/>
          </w:tcPr>
          <w:p>
            <w:pPr>
              <w:spacing w:after="80" w:before="80" w:line="276"/>
              <w:jc w:val="center"/>
            </w:pPr>
            <w:r>
              <w:rPr>
                <w:rFonts w:ascii="Arial" w:cs="Arial" w:eastAsia="Arial" w:hAnsi="Arial"/>
                <w:b/>
                <w:bCs/>
                <w:i w:val="false"/>
                <w:iCs w:val="false"/>
                <w:color w:val="FFFFFF"/>
                <w:sz w:val="24"/>
                <w:szCs w:val="24"/>
              </w:rPr>
              <w:t xml:space="preserve">4</w:t>
            </w:r>
          </w:p>
        </w:tc>
        <w:tc>
          <w:tcPr>
            <w:tcW w:type="dxa" w:w="2700"/>
            <w:tcBorders>
              <w:top w:val="single" w:color="CCDDEE" w:sz="4"/>
              <w:left w:val="single" w:color="CCDDEE" w:sz="4"/>
              <w:bottom w:val="single" w:color="CCDDEE" w:sz="4"/>
              <w:right w:val="single" w:color="CCDDEE" w:sz="4"/>
            </w:tcBorders>
            <w:shd w:fill="F2F8FF" w:val="clear"/>
            <w:tcMar>
              <w:top w:type="dxa" w:w="100"/>
              <w:left w:type="dxa" w:w="120"/>
              <w:bottom w:type="dxa" w:w="100"/>
              <w:right w:type="dxa" w:w="120"/>
            </w:tcMar>
            <w:vAlign w:val="center"/>
          </w:tcPr>
          <w:p>
            <w:pPr>
              <w:spacing w:after="80" w:before="80" w:line="276"/>
              <w:jc w:val="both"/>
            </w:pPr>
            <w:r>
              <w:rPr>
                <w:rFonts w:ascii="Arial" w:cs="Arial" w:eastAsia="Arial" w:hAnsi="Arial"/>
                <w:b/>
                <w:bCs/>
                <w:i w:val="false"/>
                <w:iCs w:val="false"/>
                <w:color w:val="2E2E2E"/>
                <w:sz w:val="20"/>
                <w:szCs w:val="20"/>
              </w:rPr>
              <w:t xml:space="preserve">Risk Summary Generated</w:t>
            </w:r>
          </w:p>
        </w:tc>
        <w:tc>
          <w:tcPr>
            <w:tcW w:type="dxa" w:w="6092"/>
            <w:tcBorders>
              <w:top w:val="single" w:color="CCDDEE" w:sz="4"/>
              <w:left w:val="single" w:color="CCDDEE" w:sz="4"/>
              <w:bottom w:val="single" w:color="CCDDEE" w:sz="4"/>
              <w:right w:val="single" w:color="CCDDEE" w:sz="4"/>
            </w:tcBorders>
            <w:shd w:fill="F2F8FF" w:val="clear"/>
            <w:tcMar>
              <w:top w:type="dxa" w:w="100"/>
              <w:left w:type="dxa" w:w="120"/>
              <w:bottom w:type="dxa" w:w="100"/>
              <w:right w:type="dxa" w:w="120"/>
            </w:tcMar>
            <w:vAlign w:val="center"/>
          </w:tcPr>
          <w:p>
            <w:pPr>
              <w:spacing w:after="80" w:before="80" w:line="276"/>
              <w:jc w:val="both"/>
            </w:pPr>
            <w:r>
              <w:rPr>
                <w:rFonts w:ascii="Arial" w:cs="Arial" w:eastAsia="Arial" w:hAnsi="Arial"/>
                <w:b w:val="false"/>
                <w:bCs w:val="false"/>
                <w:i w:val="false"/>
                <w:iCs w:val="false"/>
                <w:color w:val="2E2E2E"/>
                <w:sz w:val="20"/>
                <w:szCs w:val="20"/>
              </w:rPr>
              <w:t xml:space="preserve">The platform generates an overview and suggests next steps.</w:t>
            </w:r>
          </w:p>
        </w:tc>
      </w:tr>
      <w:tr>
        <w:tc>
          <w:tcPr>
            <w:tcW w:type="dxa" w:w="620"/>
            <w:tcBorders>
              <w:top w:val="single" w:color="CCDDEE" w:sz="4"/>
              <w:left w:val="single" w:color="CCDDEE" w:sz="4"/>
              <w:bottom w:val="single" w:color="CCDDEE" w:sz="4"/>
              <w:right w:val="single" w:color="CCDDEE" w:sz="4"/>
            </w:tcBorders>
            <w:shd w:fill="1A6BB5" w:val="clear"/>
            <w:tcMar>
              <w:top w:type="dxa" w:w="100"/>
              <w:left w:type="dxa" w:w="80"/>
              <w:bottom w:type="dxa" w:w="100"/>
              <w:right w:type="dxa" w:w="80"/>
            </w:tcMar>
            <w:vAlign w:val="center"/>
          </w:tcPr>
          <w:p>
            <w:pPr>
              <w:spacing w:after="80" w:before="80" w:line="276"/>
              <w:jc w:val="center"/>
            </w:pPr>
            <w:r>
              <w:rPr>
                <w:rFonts w:ascii="Arial" w:cs="Arial" w:eastAsia="Arial" w:hAnsi="Arial"/>
                <w:b/>
                <w:bCs/>
                <w:i w:val="false"/>
                <w:iCs w:val="false"/>
                <w:color w:val="FFFFFF"/>
                <w:sz w:val="24"/>
                <w:szCs w:val="24"/>
              </w:rPr>
              <w:t xml:space="preserve">5</w:t>
            </w:r>
          </w:p>
        </w:tc>
        <w:tc>
          <w:tcPr>
            <w:tcW w:type="dxa" w:w="2700"/>
            <w:tcBorders>
              <w:top w:val="single" w:color="CCDDEE" w:sz="4"/>
              <w:left w:val="single" w:color="CCDDEE" w:sz="4"/>
              <w:bottom w:val="single" w:color="CCDDEE" w:sz="4"/>
              <w:right w:val="single" w:color="CCDDEE" w:sz="4"/>
            </w:tcBorders>
            <w:shd w:fill="FFFFFF" w:val="clear"/>
            <w:tcMar>
              <w:top w:type="dxa" w:w="100"/>
              <w:left w:type="dxa" w:w="120"/>
              <w:bottom w:type="dxa" w:w="100"/>
              <w:right w:type="dxa" w:w="120"/>
            </w:tcMar>
            <w:vAlign w:val="center"/>
          </w:tcPr>
          <w:p>
            <w:pPr>
              <w:spacing w:after="80" w:before="80" w:line="276"/>
              <w:jc w:val="both"/>
            </w:pPr>
            <w:r>
              <w:rPr>
                <w:rFonts w:ascii="Arial" w:cs="Arial" w:eastAsia="Arial" w:hAnsi="Arial"/>
                <w:b/>
                <w:bCs/>
                <w:i w:val="false"/>
                <w:iCs w:val="false"/>
                <w:color w:val="2E2E2E"/>
                <w:sz w:val="20"/>
                <w:szCs w:val="20"/>
              </w:rPr>
              <w:t xml:space="preserve">Verification</w:t>
            </w:r>
          </w:p>
        </w:tc>
        <w:tc>
          <w:tcPr>
            <w:tcW w:type="dxa" w:w="6092"/>
            <w:tcBorders>
              <w:top w:val="single" w:color="CCDDEE" w:sz="4"/>
              <w:left w:val="single" w:color="CCDDEE" w:sz="4"/>
              <w:bottom w:val="single" w:color="CCDDEE" w:sz="4"/>
              <w:right w:val="single" w:color="CCDDEE" w:sz="4"/>
            </w:tcBorders>
            <w:shd w:fill="FFFFFF" w:val="clear"/>
            <w:tcMar>
              <w:top w:type="dxa" w:w="100"/>
              <w:left w:type="dxa" w:w="120"/>
              <w:bottom w:type="dxa" w:w="100"/>
              <w:right w:type="dxa" w:w="120"/>
            </w:tcMar>
            <w:vAlign w:val="center"/>
          </w:tcPr>
          <w:p>
            <w:pPr>
              <w:spacing w:after="80" w:before="80" w:line="276"/>
              <w:jc w:val="both"/>
            </w:pPr>
            <w:r>
              <w:rPr>
                <w:rFonts w:ascii="Arial" w:cs="Arial" w:eastAsia="Arial" w:hAnsi="Arial"/>
                <w:b w:val="false"/>
                <w:bCs w:val="false"/>
                <w:i w:val="false"/>
                <w:iCs w:val="false"/>
                <w:color w:val="2E2E2E"/>
                <w:sz w:val="20"/>
                <w:szCs w:val="20"/>
              </w:rPr>
              <w:t xml:space="preserve">A human reviews and signs off on the findings.</w:t>
            </w:r>
          </w:p>
        </w:tc>
      </w:tr>
      <w:tr>
        <w:tc>
          <w:tcPr>
            <w:tcW w:type="dxa" w:w="620"/>
            <w:tcBorders>
              <w:top w:val="single" w:color="CCDDEE" w:sz="4"/>
              <w:left w:val="single" w:color="CCDDEE" w:sz="4"/>
              <w:bottom w:val="single" w:color="CCDDEE" w:sz="4"/>
              <w:right w:val="single" w:color="CCDDEE" w:sz="4"/>
            </w:tcBorders>
            <w:shd w:fill="1A6BB5" w:val="clear"/>
            <w:tcMar>
              <w:top w:type="dxa" w:w="100"/>
              <w:left w:type="dxa" w:w="80"/>
              <w:bottom w:type="dxa" w:w="100"/>
              <w:right w:type="dxa" w:w="80"/>
            </w:tcMar>
            <w:vAlign w:val="center"/>
          </w:tcPr>
          <w:p>
            <w:pPr>
              <w:spacing w:after="80" w:before="80" w:line="276"/>
              <w:jc w:val="center"/>
            </w:pPr>
            <w:r>
              <w:rPr>
                <w:rFonts w:ascii="Arial" w:cs="Arial" w:eastAsia="Arial" w:hAnsi="Arial"/>
                <w:b/>
                <w:bCs/>
                <w:i w:val="false"/>
                <w:iCs w:val="false"/>
                <w:color w:val="FFFFFF"/>
                <w:sz w:val="24"/>
                <w:szCs w:val="24"/>
              </w:rPr>
              <w:t xml:space="preserve">6</w:t>
            </w:r>
          </w:p>
        </w:tc>
        <w:tc>
          <w:tcPr>
            <w:tcW w:type="dxa" w:w="2700"/>
            <w:tcBorders>
              <w:top w:val="single" w:color="CCDDEE" w:sz="4"/>
              <w:left w:val="single" w:color="CCDDEE" w:sz="4"/>
              <w:bottom w:val="single" w:color="CCDDEE" w:sz="4"/>
              <w:right w:val="single" w:color="CCDDEE" w:sz="4"/>
            </w:tcBorders>
            <w:shd w:fill="F2F8FF" w:val="clear"/>
            <w:tcMar>
              <w:top w:type="dxa" w:w="100"/>
              <w:left w:type="dxa" w:w="120"/>
              <w:bottom w:type="dxa" w:w="100"/>
              <w:right w:type="dxa" w:w="120"/>
            </w:tcMar>
            <w:vAlign w:val="center"/>
          </w:tcPr>
          <w:p>
            <w:pPr>
              <w:spacing w:after="80" w:before="80" w:line="276"/>
              <w:jc w:val="both"/>
            </w:pPr>
            <w:r>
              <w:rPr>
                <w:rFonts w:ascii="Arial" w:cs="Arial" w:eastAsia="Arial" w:hAnsi="Arial"/>
                <w:b/>
                <w:bCs/>
                <w:i w:val="false"/>
                <w:iCs w:val="false"/>
                <w:color w:val="2E2E2E"/>
                <w:sz w:val="20"/>
                <w:szCs w:val="20"/>
              </w:rPr>
              <w:t xml:space="preserve">Final Result Displayed</w:t>
            </w:r>
          </w:p>
        </w:tc>
        <w:tc>
          <w:tcPr>
            <w:tcW w:type="dxa" w:w="6092"/>
            <w:tcBorders>
              <w:top w:val="single" w:color="CCDDEE" w:sz="4"/>
              <w:left w:val="single" w:color="CCDDEE" w:sz="4"/>
              <w:bottom w:val="single" w:color="CCDDEE" w:sz="4"/>
              <w:right w:val="single" w:color="CCDDEE" w:sz="4"/>
            </w:tcBorders>
            <w:shd w:fill="F2F8FF" w:val="clear"/>
            <w:tcMar>
              <w:top w:type="dxa" w:w="100"/>
              <w:left w:type="dxa" w:w="120"/>
              <w:bottom w:type="dxa" w:w="100"/>
              <w:right w:type="dxa" w:w="120"/>
            </w:tcMar>
            <w:vAlign w:val="center"/>
          </w:tcPr>
          <w:p>
            <w:pPr>
              <w:spacing w:after="80" w:before="80" w:line="276"/>
              <w:jc w:val="both"/>
            </w:pPr>
            <w:r>
              <w:rPr>
                <w:rFonts w:ascii="Arial" w:cs="Arial" w:eastAsia="Arial" w:hAnsi="Arial"/>
                <w:b w:val="false"/>
                <w:bCs w:val="false"/>
                <w:i w:val="false"/>
                <w:iCs w:val="false"/>
                <w:color w:val="2E2E2E"/>
                <w:sz w:val="20"/>
                <w:szCs w:val="20"/>
              </w:rPr>
              <w:t xml:space="preserve">The dashboard shows the final outcome.</w:t>
            </w:r>
          </w:p>
        </w:tc>
      </w:tr>
    </w:tbl>
    <w:p>
      <w:pPr>
        <w:spacing w:after="40" w:before="40" w:line="276"/>
        <w:jc w:val="both"/>
      </w:pPr>
      <w:r>
        <w:rPr>
          <w:rFonts w:ascii="Arial" w:cs="Arial" w:eastAsia="Arial" w:hAnsi="Arial"/>
          <w:b w:val="false"/>
          <w:bCs w:val="false"/>
          <w:i w:val="false"/>
          <w:iCs w:val="false"/>
          <w:color w:val="2E2E2E"/>
          <w:sz w:val="20"/>
          <w:szCs w:val="20"/>
        </w:rPr>
        <w:t xml:space="preserve"/>
      </w:r>
    </w:p>
    <w:p>
      <w:pPr>
        <w:pStyle w:val="Heading1"/>
        <w:pBdr>
          <w:bottom w:val="single" w:color="CCDDEE" w:sz="4" w:space="4"/>
        </w:pBdr>
        <w:spacing w:after="120" w:before="300"/>
      </w:pPr>
      <w:r>
        <w:rPr>
          <w:rFonts w:ascii="Arial" w:cs="Arial" w:eastAsia="Arial" w:hAnsi="Arial"/>
          <w:b/>
          <w:bCs/>
          <w:i w:val="false"/>
          <w:iCs w:val="false"/>
          <w:color w:val="1A6BB5"/>
          <w:sz w:val="28"/>
          <w:szCs w:val="28"/>
        </w:rPr>
        <w:t xml:space="preserve">8.  Expected Business Benefits</w:t>
      </w:r>
    </w:p>
    <w:p>
      <w:pPr>
        <w:pStyle w:val="ListParagraph"/>
        <w:numPr>
          <w:ilvl w:val="0"/>
          <w:numId w:val="2"/>
        </w:numPr>
        <w:spacing w:after="40" w:before="40" w:line="276"/>
      </w:pPr>
      <w:r>
        <w:rPr>
          <w:rFonts w:ascii="Arial" w:cs="Arial" w:eastAsia="Arial" w:hAnsi="Arial"/>
          <w:b/>
          <w:bCs/>
          <w:i w:val="false"/>
          <w:iCs w:val="false"/>
          <w:color w:val="2E2E2E"/>
          <w:sz w:val="20"/>
          <w:szCs w:val="20"/>
        </w:rPr>
        <w:t xml:space="preserve">Build Future Client Pipelines: </w:t>
      </w:r>
      <w:r>
        <w:rPr>
          <w:rFonts w:ascii="Arial" w:cs="Arial" w:eastAsia="Arial" w:hAnsi="Arial"/>
          <w:b w:val="false"/>
          <w:bCs w:val="false"/>
          <w:i w:val="false"/>
          <w:iCs w:val="false"/>
          <w:color w:val="2E2E2E"/>
          <w:sz w:val="20"/>
          <w:szCs w:val="20"/>
        </w:rPr>
        <w:t xml:space="preserve">Instead of permanently losing applicants who are turned away, banks can offer an actionable checklist to fix their credit. This creates loyal future customers.</w:t>
      </w:r>
    </w:p>
    <w:p>
      <w:pPr>
        <w:pStyle w:val="ListParagraph"/>
        <w:numPr>
          <w:ilvl w:val="0"/>
          <w:numId w:val="2"/>
        </w:numPr>
        <w:spacing w:after="40" w:before="40" w:line="276"/>
      </w:pPr>
      <w:r>
        <w:rPr>
          <w:rFonts w:ascii="Arial" w:cs="Arial" w:eastAsia="Arial" w:hAnsi="Arial"/>
          <w:b/>
          <w:bCs/>
          <w:i w:val="false"/>
          <w:iCs w:val="false"/>
          <w:color w:val="2E2E2E"/>
          <w:sz w:val="20"/>
          <w:szCs w:val="20"/>
        </w:rPr>
        <w:t xml:space="preserve">Prevent Loan Drop-Offs: </w:t>
      </w:r>
      <w:r>
        <w:rPr>
          <w:rFonts w:ascii="Arial" w:cs="Arial" w:eastAsia="Arial" w:hAnsi="Arial"/>
          <w:b w:val="false"/>
          <w:bCs w:val="false"/>
          <w:i w:val="false"/>
          <w:iCs w:val="false"/>
          <w:color w:val="2E2E2E"/>
          <w:sz w:val="20"/>
          <w:szCs w:val="20"/>
        </w:rPr>
        <w:t xml:space="preserve">The system instantly suggests a smaller, alternative loan path. This ensures the bank does not lose the client entirely to competing institutions.</w:t>
      </w:r>
    </w:p>
    <w:p>
      <w:pPr>
        <w:pStyle w:val="ListParagraph"/>
        <w:numPr>
          <w:ilvl w:val="0"/>
          <w:numId w:val="2"/>
        </w:numPr>
        <w:spacing w:after="40" w:before="40" w:line="276"/>
      </w:pPr>
      <w:r>
        <w:rPr>
          <w:rFonts w:ascii="Arial" w:cs="Arial" w:eastAsia="Arial" w:hAnsi="Arial"/>
          <w:b/>
          <w:bCs/>
          <w:i w:val="false"/>
          <w:iCs w:val="false"/>
          <w:color w:val="2E2E2E"/>
          <w:sz w:val="20"/>
          <w:szCs w:val="20"/>
        </w:rPr>
        <w:t xml:space="preserve">Optimise Revenue Generation: </w:t>
      </w:r>
      <w:r>
        <w:rPr>
          <w:rFonts w:ascii="Arial" w:cs="Arial" w:eastAsia="Arial" w:hAnsi="Arial"/>
          <w:b w:val="false"/>
          <w:bCs w:val="false"/>
          <w:i w:val="false"/>
          <w:iCs w:val="false"/>
          <w:color w:val="2E2E2E"/>
          <w:sz w:val="20"/>
          <w:szCs w:val="20"/>
        </w:rPr>
        <w:t xml:space="preserve">The platform helps find and prioritise urgent operational applications, such as emergency payroll needs. This allows bank staff to close critical deals much faster.</w:t>
      </w:r>
    </w:p>
    <w:p>
      <w:pPr>
        <w:pStyle w:val="ListParagraph"/>
        <w:numPr>
          <w:ilvl w:val="0"/>
          <w:numId w:val="2"/>
        </w:numPr>
        <w:spacing w:after="40" w:before="40" w:line="276"/>
      </w:pPr>
      <w:r>
        <w:rPr>
          <w:rFonts w:ascii="Arial" w:cs="Arial" w:eastAsia="Arial" w:hAnsi="Arial"/>
          <w:b/>
          <w:bCs/>
          <w:i w:val="false"/>
          <w:iCs w:val="false"/>
          <w:color w:val="2E2E2E"/>
          <w:sz w:val="20"/>
          <w:szCs w:val="20"/>
        </w:rPr>
        <w:t xml:space="preserve">Drastically Lower Processing Cycles: </w:t>
      </w:r>
      <w:r>
        <w:rPr>
          <w:rFonts w:ascii="Arial" w:cs="Arial" w:eastAsia="Arial" w:hAnsi="Arial"/>
          <w:b w:val="false"/>
          <w:bCs w:val="false"/>
          <w:i w:val="false"/>
          <w:iCs w:val="false"/>
          <w:color w:val="2E2E2E"/>
          <w:sz w:val="20"/>
          <w:szCs w:val="20"/>
        </w:rPr>
        <w:t xml:space="preserve">Automating the reading of complex financial documents saves a massive amount of manual verification time for the credit team.</w:t>
      </w:r>
    </w:p>
    <w:p>
      <w:pPr>
        <w:pStyle w:val="ListParagraph"/>
        <w:numPr>
          <w:ilvl w:val="0"/>
          <w:numId w:val="2"/>
        </w:numPr>
        <w:spacing w:after="40" w:before="40" w:line="276"/>
      </w:pPr>
      <w:r>
        <w:rPr>
          <w:rFonts w:ascii="Arial" w:cs="Arial" w:eastAsia="Arial" w:hAnsi="Arial"/>
          <w:b/>
          <w:bCs/>
          <w:i w:val="false"/>
          <w:iCs w:val="false"/>
          <w:color w:val="2E2E2E"/>
          <w:sz w:val="20"/>
          <w:szCs w:val="20"/>
        </w:rPr>
        <w:t xml:space="preserve">Insulate Bank Capital: </w:t>
      </w:r>
      <w:r>
        <w:rPr>
          <w:rFonts w:ascii="Arial" w:cs="Arial" w:eastAsia="Arial" w:hAnsi="Arial"/>
          <w:b w:val="false"/>
          <w:bCs w:val="false"/>
          <w:i w:val="false"/>
          <w:iCs w:val="false"/>
          <w:color w:val="2E2E2E"/>
          <w:sz w:val="20"/>
          <w:szCs w:val="20"/>
        </w:rPr>
        <w:t xml:space="preserve">By testing borrower cash flows against future economic shifts, the system provides an extra safety shield. This keeps the bank's financial investments incredibly secure.</w:t>
      </w:r>
    </w:p>
    <w:p>
      <w:pPr>
        <w:spacing w:after="40" w:before="40" w:line="276"/>
        <w:jc w:val="both"/>
      </w:pPr>
      <w:r>
        <w:rPr>
          <w:rFonts w:ascii="Arial" w:cs="Arial" w:eastAsia="Arial" w:hAnsi="Arial"/>
          <w:b w:val="false"/>
          <w:bCs w:val="false"/>
          <w:i w:val="false"/>
          <w:iCs w:val="false"/>
          <w:color w:val="2E2E2E"/>
          <w:sz w:val="20"/>
          <w:szCs w:val="20"/>
        </w:rPr>
        <w:t xml:space="preserve"/>
      </w:r>
    </w:p>
    <w:p>
      <w:pPr>
        <w:pStyle w:val="Heading1"/>
        <w:pBdr>
          <w:bottom w:val="single" w:color="CCDDEE" w:sz="4" w:space="4"/>
        </w:pBdr>
        <w:spacing w:after="120" w:before="300"/>
      </w:pPr>
      <w:r>
        <w:rPr>
          <w:rFonts w:ascii="Arial" w:cs="Arial" w:eastAsia="Arial" w:hAnsi="Arial"/>
          <w:b/>
          <w:bCs/>
          <w:i w:val="false"/>
          <w:iCs w:val="false"/>
          <w:color w:val="1A6BB5"/>
          <w:sz w:val="28"/>
          <w:szCs w:val="28"/>
        </w:rPr>
        <w:t xml:space="preserve">9.  Design Architecture and Technology Stack</w:t>
      </w:r>
    </w:p>
    <w:p>
      <w:pPr>
        <w:pStyle w:val="Heading2"/>
        <w:spacing w:after="80" w:before="200"/>
      </w:pPr>
      <w:r>
        <w:rPr>
          <w:rFonts w:ascii="Arial" w:cs="Arial" w:eastAsia="Arial" w:hAnsi="Arial"/>
          <w:b/>
          <w:bCs/>
          <w:i w:val="false"/>
          <w:iCs w:val="false"/>
          <w:color w:val="0D1B2A"/>
          <w:sz w:val="24"/>
          <w:szCs w:val="24"/>
        </w:rPr>
        <w:t xml:space="preserve">9.1  Multi-Agent Architecture</w:t>
      </w:r>
    </w:p>
    <w:p>
      <w:pPr>
        <w:spacing w:after="80" w:before="80" w:line="276"/>
        <w:jc w:val="both"/>
      </w:pPr>
      <w:r>
        <w:rPr>
          <w:rFonts w:ascii="Arial" w:cs="Arial" w:eastAsia="Arial" w:hAnsi="Arial"/>
          <w:b w:val="false"/>
          <w:bCs w:val="false"/>
          <w:i w:val="false"/>
          <w:iCs w:val="false"/>
          <w:color w:val="2E2E2E"/>
          <w:sz w:val="20"/>
          <w:szCs w:val="20"/>
        </w:rPr>
        <w:t xml:space="preserve">The platform uses four specialist AI agents, each handling a specific part of the credit risk analysis. All four agents are coordinated by a central Orchestrator that decides which agent to call and in what order.</w:t>
      </w:r>
    </w:p>
    <w:p>
      <w:pPr>
        <w:spacing w:after="40" w:before="40" w:line="276"/>
        <w:jc w:val="both"/>
      </w:pPr>
      <w:r>
        <w:rPr>
          <w:rFonts w:ascii="Arial" w:cs="Arial" w:eastAsia="Arial" w:hAnsi="Arial"/>
          <w:b w:val="false"/>
          <w:bCs w:val="false"/>
          <w:i w:val="false"/>
          <w:iCs w:val="false"/>
          <w:color w:val="2E2E2E"/>
          <w:sz w:val="20"/>
          <w:szCs w:val="20"/>
        </w:rPr>
        <w:t xml:space="preserve"/>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160"/>
        <w:gridCol w:w="7252"/>
      </w:tblGrid>
      <w:tr>
        <w:tc>
          <w:tcPr>
            <w:tcW w:type="dxa" w:w="2160"/>
            <w:tcBorders>
              <w:top w:val="single" w:color="CCDDEE" w:sz="4"/>
              <w:left w:val="single" w:color="CCDDEE" w:sz="4"/>
              <w:bottom w:val="single" w:color="CCDDEE" w:sz="4"/>
              <w:right w:val="single" w:color="CCDDEE" w:sz="4"/>
            </w:tcBorders>
            <w:shd w:fill="0D1B2A"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Orchestrator</w:t>
            </w:r>
          </w:p>
        </w:tc>
        <w:tc>
          <w:tcPr>
            <w:tcW w:type="dxa" w:w="725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The brain of the system. It receives the user's question, retrieves the most relevant document chunks from the vector database, and routes the work to the right agents. It manages the entire workflow, maintains session state and ensures all agents work together smoothly.</w:t>
            </w:r>
          </w:p>
        </w:tc>
      </w:tr>
      <w:tr>
        <w:tc>
          <w:tcPr>
            <w:tcW w:type="dxa" w:w="2160"/>
            <w:tcBorders>
              <w:top w:val="single" w:color="CCDDEE" w:sz="4"/>
              <w:left w:val="single" w:color="CCDDEE" w:sz="4"/>
              <w:bottom w:val="single" w:color="CCDDEE" w:sz="4"/>
              <w:right w:val="single" w:color="CCDDEE" w:sz="4"/>
            </w:tcBorders>
            <w:shd w:fill="0D1B2A"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Retrieval Agent</w:t>
            </w:r>
          </w:p>
        </w:tc>
        <w:tc>
          <w:tcPr>
            <w:tcW w:type="dxa" w:w="725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Fetches the most relevant facts and figures directly from the uploaded financial documents. When a question is asked, this agent searches the vector database by meaning — not just keywords — and pulls back the most accurate and relevant document snippets as evidence for the other agents to work with.</w:t>
            </w:r>
          </w:p>
        </w:tc>
      </w:tr>
      <w:tr>
        <w:tc>
          <w:tcPr>
            <w:tcW w:type="dxa" w:w="2160"/>
            <w:tcBorders>
              <w:top w:val="single" w:color="CCDDEE" w:sz="4"/>
              <w:left w:val="single" w:color="CCDDEE" w:sz="4"/>
              <w:bottom w:val="single" w:color="CCDDEE" w:sz="4"/>
              <w:right w:val="single" w:color="CCDDEE" w:sz="4"/>
            </w:tcBorders>
            <w:shd w:fill="0D1B2A"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Reasoning Agent</w:t>
            </w:r>
          </w:p>
        </w:tc>
        <w:tc>
          <w:tcPr>
            <w:tcW w:type="dxa" w:w="725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Takes the retrieved financial data and analyses it to compute a complete credit risk score from 0 to 100. It identifies strengths in the applicant's financial profile, flags weaknesses, highlights serious red flags like missed payments or high debt, and notes any missing information that the bank should request.</w:t>
            </w:r>
          </w:p>
        </w:tc>
      </w:tr>
      <w:tr>
        <w:tc>
          <w:tcPr>
            <w:tcW w:type="dxa" w:w="2160"/>
            <w:tcBorders>
              <w:top w:val="single" w:color="CCDDEE" w:sz="4"/>
              <w:left w:val="single" w:color="CCDDEE" w:sz="4"/>
              <w:bottom w:val="single" w:color="CCDDEE" w:sz="4"/>
              <w:right w:val="single" w:color="CCDDEE" w:sz="4"/>
            </w:tcBorders>
            <w:shd w:fill="0D1B2A"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Summariser Agent</w:t>
            </w:r>
          </w:p>
        </w:tc>
        <w:tc>
          <w:tcPr>
            <w:tcW w:type="dxa" w:w="725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Reads through all uploaded documents and produces a clean, concise financial overview. Instead of the analyst reading hundreds of pages, this agent condenses everything into a structured summary covering income, expenses, profit trends, assets and liabilities.</w:t>
            </w:r>
          </w:p>
        </w:tc>
      </w:tr>
      <w:tr>
        <w:tc>
          <w:tcPr>
            <w:tcW w:type="dxa" w:w="2160"/>
            <w:tcBorders>
              <w:top w:val="single" w:color="CCDDEE" w:sz="4"/>
              <w:left w:val="single" w:color="CCDDEE" w:sz="4"/>
              <w:bottom w:val="single" w:color="CCDDEE" w:sz="4"/>
              <w:right w:val="single" w:color="CCDDEE" w:sz="4"/>
            </w:tcBorders>
            <w:shd w:fill="0D1B2A" w:val="clear"/>
            <w:tcMar>
              <w:top w:type="dxa" w:w="80"/>
              <w:left w:type="dxa" w:w="120"/>
              <w:bottom w:type="dxa" w:w="80"/>
              <w:right w:type="dxa" w:w="120"/>
            </w:tcMar>
            <w:vAlign w:val="top"/>
          </w:tcPr>
          <w:p>
            <w:pPr>
              <w:spacing w:after="80" w:before="80" w:line="276"/>
              <w:jc w:val="both"/>
            </w:pPr>
            <w:r>
              <w:rPr>
                <w:rFonts w:ascii="Arial" w:cs="Arial" w:eastAsia="Arial" w:hAnsi="Arial"/>
                <w:b/>
                <w:bCs/>
                <w:i w:val="false"/>
                <w:iCs w:val="false"/>
                <w:color w:val="FFFFFF"/>
                <w:sz w:val="18"/>
                <w:szCs w:val="18"/>
              </w:rPr>
              <w:t xml:space="preserve">Recommender Agent</w:t>
            </w:r>
          </w:p>
        </w:tc>
        <w:tc>
          <w:tcPr>
            <w:tcW w:type="dxa" w:w="725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Based on the risk findings, this agent generates personalised guidance. It builds a step-by-step credit improvement checklist, suggests safer alternative options, and provides specific actions the applicant can take to strengthen their financial profile and improve their chances next time.</w:t>
            </w:r>
          </w:p>
        </w:tc>
      </w:tr>
    </w:tbl>
    <w:p>
      <w:pPr>
        <w:spacing w:after="40" w:before="40" w:line="276"/>
        <w:jc w:val="both"/>
      </w:pPr>
      <w:r>
        <w:rPr>
          <w:rFonts w:ascii="Arial" w:cs="Arial" w:eastAsia="Arial" w:hAnsi="Arial"/>
          <w:b w:val="false"/>
          <w:bCs w:val="false"/>
          <w:i w:val="false"/>
          <w:iCs w:val="false"/>
          <w:color w:val="2E2E2E"/>
          <w:sz w:val="20"/>
          <w:szCs w:val="20"/>
        </w:rPr>
        <w:t xml:space="preserve"/>
      </w:r>
    </w:p>
    <w:p>
      <w:pPr>
        <w:pStyle w:val="Heading2"/>
        <w:spacing w:after="80" w:before="200"/>
      </w:pPr>
      <w:r>
        <w:rPr>
          <w:rFonts w:ascii="Arial" w:cs="Arial" w:eastAsia="Arial" w:hAnsi="Arial"/>
          <w:b/>
          <w:bCs/>
          <w:i w:val="false"/>
          <w:iCs w:val="false"/>
          <w:color w:val="0D1B2A"/>
          <w:sz w:val="24"/>
          <w:szCs w:val="24"/>
        </w:rPr>
        <w:t xml:space="preserve">9.2  Technology Stack</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40"/>
        <w:gridCol w:w="2520"/>
        <w:gridCol w:w="4652"/>
      </w:tblGrid>
      <w:tr>
        <w:trPr>
          <w:tblHeader/>
        </w:trPr>
        <w:tc>
          <w:tcPr>
            <w:tcW w:type="dxa" w:w="2240"/>
            <w:tcBorders>
              <w:top w:val="single" w:color="CCDDEE" w:sz="4"/>
              <w:left w:val="single" w:color="CCDDEE" w:sz="4"/>
              <w:bottom w:val="single" w:color="CCDDEE" w:sz="4"/>
              <w:right w:val="single" w:color="CCDDEE" w:sz="4"/>
            </w:tcBorders>
            <w:shd w:fill="1A6BB5" w:val="clear"/>
            <w:tcMar>
              <w:top w:type="dxa" w:w="80"/>
              <w:left w:type="dxa" w:w="120"/>
              <w:bottom w:type="dxa" w:w="80"/>
              <w:right w:type="dxa" w:w="120"/>
            </w:tcMar>
            <w:vAlign w:val="center"/>
          </w:tcPr>
          <w:p>
            <w:pPr>
              <w:spacing w:after="80" w:before="80" w:line="276"/>
              <w:jc w:val="both"/>
            </w:pPr>
            <w:r>
              <w:rPr>
                <w:rFonts w:ascii="Arial" w:cs="Arial" w:eastAsia="Arial" w:hAnsi="Arial"/>
                <w:b/>
                <w:bCs/>
                <w:i w:val="false"/>
                <w:iCs w:val="false"/>
                <w:color w:val="FFFFFF"/>
                <w:sz w:val="18"/>
                <w:szCs w:val="18"/>
              </w:rPr>
              <w:t xml:space="preserve">Platform Component</w:t>
            </w:r>
          </w:p>
        </w:tc>
        <w:tc>
          <w:tcPr>
            <w:tcW w:type="dxa" w:w="2520"/>
            <w:tcBorders>
              <w:top w:val="single" w:color="CCDDEE" w:sz="4"/>
              <w:left w:val="single" w:color="CCDDEE" w:sz="4"/>
              <w:bottom w:val="single" w:color="CCDDEE" w:sz="4"/>
              <w:right w:val="single" w:color="CCDDEE" w:sz="4"/>
            </w:tcBorders>
            <w:shd w:fill="1A6BB5" w:val="clear"/>
            <w:tcMar>
              <w:top w:type="dxa" w:w="80"/>
              <w:left w:type="dxa" w:w="120"/>
              <w:bottom w:type="dxa" w:w="80"/>
              <w:right w:type="dxa" w:w="120"/>
            </w:tcMar>
            <w:vAlign w:val="center"/>
          </w:tcPr>
          <w:p>
            <w:pPr>
              <w:spacing w:after="80" w:before="80" w:line="276"/>
              <w:jc w:val="both"/>
            </w:pPr>
            <w:r>
              <w:rPr>
                <w:rFonts w:ascii="Arial" w:cs="Arial" w:eastAsia="Arial" w:hAnsi="Arial"/>
                <w:b/>
                <w:bCs/>
                <w:i w:val="false"/>
                <w:iCs w:val="false"/>
                <w:color w:val="FFFFFF"/>
                <w:sz w:val="18"/>
                <w:szCs w:val="18"/>
              </w:rPr>
              <w:t xml:space="preserve">Chosen Technology</w:t>
            </w:r>
          </w:p>
        </w:tc>
        <w:tc>
          <w:tcPr>
            <w:tcW w:type="dxa" w:w="4652"/>
            <w:tcBorders>
              <w:top w:val="single" w:color="CCDDEE" w:sz="4"/>
              <w:left w:val="single" w:color="CCDDEE" w:sz="4"/>
              <w:bottom w:val="single" w:color="CCDDEE" w:sz="4"/>
              <w:right w:val="single" w:color="CCDDEE" w:sz="4"/>
            </w:tcBorders>
            <w:shd w:fill="1A6BB5" w:val="clear"/>
            <w:tcMar>
              <w:top w:type="dxa" w:w="80"/>
              <w:left w:type="dxa" w:w="120"/>
              <w:bottom w:type="dxa" w:w="80"/>
              <w:right w:type="dxa" w:w="120"/>
            </w:tcMar>
            <w:vAlign w:val="center"/>
          </w:tcPr>
          <w:p>
            <w:pPr>
              <w:spacing w:after="80" w:before="80" w:line="276"/>
              <w:jc w:val="both"/>
            </w:pPr>
            <w:r>
              <w:rPr>
                <w:rFonts w:ascii="Arial" w:cs="Arial" w:eastAsia="Arial" w:hAnsi="Arial"/>
                <w:b/>
                <w:bCs/>
                <w:i w:val="false"/>
                <w:iCs w:val="false"/>
                <w:color w:val="FFFFFF"/>
                <w:sz w:val="18"/>
                <w:szCs w:val="18"/>
              </w:rPr>
              <w:t xml:space="preserve">Purpose</w:t>
            </w:r>
          </w:p>
        </w:tc>
      </w:tr>
      <w:tr>
        <w:tc>
          <w:tcPr>
            <w:tcW w:type="dxa" w:w="224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User Interface</w:t>
            </w:r>
          </w:p>
        </w:tc>
        <w:tc>
          <w:tcPr>
            <w:tcW w:type="dxa" w:w="252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Streamlit</w:t>
            </w:r>
          </w:p>
        </w:tc>
        <w:tc>
          <w:tcPr>
            <w:tcW w:type="dxa" w:w="465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Builds the interactive web dashboard including upload page, risk analysis, recommendations and chat assistant.</w:t>
            </w:r>
          </w:p>
        </w:tc>
      </w:tr>
      <w:tr>
        <w:tc>
          <w:tcPr>
            <w:tcW w:type="dxa" w:w="224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Agent Orchestration</w:t>
            </w:r>
          </w:p>
        </w:tc>
        <w:tc>
          <w:tcPr>
            <w:tcW w:type="dxa" w:w="252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LangChain + LangGraph</w:t>
            </w:r>
          </w:p>
        </w:tc>
        <w:tc>
          <w:tcPr>
            <w:tcW w:type="dxa" w:w="465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Manages the multi-agent workflow, routes tasks to specialist agents and maintains session state.</w:t>
            </w:r>
          </w:p>
        </w:tc>
      </w:tr>
      <w:tr>
        <w:tc>
          <w:tcPr>
            <w:tcW w:type="dxa" w:w="224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LLM</w:t>
            </w:r>
          </w:p>
        </w:tc>
        <w:tc>
          <w:tcPr>
            <w:tcW w:type="dxa" w:w="252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Gemini 1.5 Pro (Primary) / OpenAI GPT-4o (Fallback)</w:t>
            </w:r>
          </w:p>
        </w:tc>
        <w:tc>
          <w:tcPr>
            <w:tcW w:type="dxa" w:w="465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Powers all AI reasoning — document summarisation, risk scoring and recommendation generation.</w:t>
            </w:r>
          </w:p>
        </w:tc>
      </w:tr>
      <w:tr>
        <w:tc>
          <w:tcPr>
            <w:tcW w:type="dxa" w:w="224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Embedding Model</w:t>
            </w:r>
          </w:p>
        </w:tc>
        <w:tc>
          <w:tcPr>
            <w:tcW w:type="dxa" w:w="252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OpenAI text-embedding-3-small</w:t>
            </w:r>
          </w:p>
        </w:tc>
        <w:tc>
          <w:tcPr>
            <w:tcW w:type="dxa" w:w="465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Converts document chunks into number vectors for semantic search and retrieval.</w:t>
            </w:r>
          </w:p>
        </w:tc>
      </w:tr>
      <w:tr>
        <w:tc>
          <w:tcPr>
            <w:tcW w:type="dxa" w:w="224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Vector Database</w:t>
            </w:r>
          </w:p>
        </w:tc>
        <w:tc>
          <w:tcPr>
            <w:tcW w:type="dxa" w:w="252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FAISS</w:t>
            </w:r>
          </w:p>
        </w:tc>
        <w:tc>
          <w:tcPr>
            <w:tcW w:type="dxa" w:w="465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Stores all embedded vectors locally and enables fast similarity search for the RAG pipeline.</w:t>
            </w:r>
          </w:p>
        </w:tc>
      </w:tr>
      <w:tr>
        <w:tc>
          <w:tcPr>
            <w:tcW w:type="dxa" w:w="224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Document Processing</w:t>
            </w:r>
          </w:p>
        </w:tc>
        <w:tc>
          <w:tcPr>
            <w:tcW w:type="dxa" w:w="252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PyMuPDF + pypdf</w:t>
            </w:r>
          </w:p>
        </w:tc>
        <w:tc>
          <w:tcPr>
            <w:tcW w:type="dxa" w:w="465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Extracts text and numbers from digital PDF documents page by page.</w:t>
            </w:r>
          </w:p>
        </w:tc>
      </w:tr>
      <w:tr>
        <w:tc>
          <w:tcPr>
            <w:tcW w:type="dxa" w:w="224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OCR Engine</w:t>
            </w:r>
          </w:p>
        </w:tc>
        <w:tc>
          <w:tcPr>
            <w:tcW w:type="dxa" w:w="252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Tesseract + pdf2image</w:t>
            </w:r>
          </w:p>
        </w:tc>
        <w:tc>
          <w:tcPr>
            <w:tcW w:type="dxa" w:w="465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Converts scanned and image-based PDFs into readable text before processing.</w:t>
            </w:r>
          </w:p>
        </w:tc>
      </w:tr>
      <w:tr>
        <w:tc>
          <w:tcPr>
            <w:tcW w:type="dxa" w:w="224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Data Chunking</w:t>
            </w:r>
          </w:p>
        </w:tc>
        <w:tc>
          <w:tcPr>
            <w:tcW w:type="dxa" w:w="252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LangChain Text Splitter</w:t>
            </w:r>
          </w:p>
        </w:tc>
        <w:tc>
          <w:tcPr>
            <w:tcW w:type="dxa" w:w="465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Splits extracted document text into 600-character chunks with 250-character overlap.</w:t>
            </w:r>
          </w:p>
        </w:tc>
      </w:tr>
      <w:tr>
        <w:tc>
          <w:tcPr>
            <w:tcW w:type="dxa" w:w="224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Observability &amp; Tracing</w:t>
            </w:r>
          </w:p>
        </w:tc>
        <w:tc>
          <w:tcPr>
            <w:tcW w:type="dxa" w:w="252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LangSmith</w:t>
            </w:r>
          </w:p>
        </w:tc>
        <w:tc>
          <w:tcPr>
            <w:tcW w:type="dxa" w:w="465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Tracks every LLM call, monitors token usage, latency and overall system health.</w:t>
            </w:r>
          </w:p>
        </w:tc>
      </w:tr>
      <w:tr>
        <w:tc>
          <w:tcPr>
            <w:tcW w:type="dxa" w:w="224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Evaluation</w:t>
            </w:r>
          </w:p>
        </w:tc>
        <w:tc>
          <w:tcPr>
            <w:tcW w:type="dxa" w:w="252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RAGAS</w:t>
            </w:r>
          </w:p>
        </w:tc>
        <w:tc>
          <w:tcPr>
            <w:tcW w:type="dxa" w:w="465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Measures AI answer quality — faithfulness, answer relevancy, context precision and context recall.</w:t>
            </w:r>
          </w:p>
        </w:tc>
      </w:tr>
      <w:tr>
        <w:tc>
          <w:tcPr>
            <w:tcW w:type="dxa" w:w="224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Deployment</w:t>
            </w:r>
          </w:p>
        </w:tc>
        <w:tc>
          <w:tcPr>
            <w:tcW w:type="dxa" w:w="252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Azure Container Apps</w:t>
            </w:r>
          </w:p>
        </w:tc>
        <w:tc>
          <w:tcPr>
            <w:tcW w:type="dxa" w:w="465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Hosts and runs the platform in the cloud with automatic scaling.</w:t>
            </w:r>
          </w:p>
        </w:tc>
      </w:tr>
      <w:tr>
        <w:tc>
          <w:tcPr>
            <w:tcW w:type="dxa" w:w="224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Frontend Hosting</w:t>
            </w:r>
          </w:p>
        </w:tc>
        <w:tc>
          <w:tcPr>
            <w:tcW w:type="dxa" w:w="252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Azure App Service</w:t>
            </w:r>
          </w:p>
        </w:tc>
        <w:tc>
          <w:tcPr>
            <w:tcW w:type="dxa" w:w="465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Hosts the Streamlit dashboard and makes it accessible via browser.</w:t>
            </w:r>
          </w:p>
        </w:tc>
      </w:tr>
      <w:tr>
        <w:tc>
          <w:tcPr>
            <w:tcW w:type="dxa" w:w="224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State &amp; Memory</w:t>
            </w:r>
          </w:p>
        </w:tc>
        <w:tc>
          <w:tcPr>
            <w:tcW w:type="dxa" w:w="252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Azure Cosmos DB</w:t>
            </w:r>
          </w:p>
        </w:tc>
        <w:tc>
          <w:tcPr>
            <w:tcW w:type="dxa" w:w="465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Maintains persistent chat history, session variables and borrower metadata.</w:t>
            </w:r>
          </w:p>
        </w:tc>
      </w:tr>
      <w:tr>
        <w:tc>
          <w:tcPr>
            <w:tcW w:type="dxa" w:w="224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Secret Management</w:t>
            </w:r>
          </w:p>
        </w:tc>
        <w:tc>
          <w:tcPr>
            <w:tcW w:type="dxa" w:w="252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Azure Key Vault</w:t>
            </w:r>
          </w:p>
        </w:tc>
        <w:tc>
          <w:tcPr>
            <w:tcW w:type="dxa" w:w="465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Securely stores all API keys and connection strings.</w:t>
            </w:r>
          </w:p>
        </w:tc>
      </w:tr>
      <w:tr>
        <w:tc>
          <w:tcPr>
            <w:tcW w:type="dxa" w:w="224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CI/CD Pipeline</w:t>
            </w:r>
          </w:p>
        </w:tc>
        <w:tc>
          <w:tcPr>
            <w:tcW w:type="dxa" w:w="252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GitHub Actions</w:t>
            </w:r>
          </w:p>
        </w:tc>
        <w:tc>
          <w:tcPr>
            <w:tcW w:type="dxa" w:w="4652"/>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Automatically tests and deploys the application on every code push.</w:t>
            </w:r>
          </w:p>
        </w:tc>
      </w:tr>
      <w:tr>
        <w:tc>
          <w:tcPr>
            <w:tcW w:type="dxa" w:w="224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Version Control</w:t>
            </w:r>
          </w:p>
        </w:tc>
        <w:tc>
          <w:tcPr>
            <w:tcW w:type="dxa" w:w="2520"/>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GitHub</w:t>
            </w:r>
          </w:p>
        </w:tc>
        <w:tc>
          <w:tcPr>
            <w:tcW w:type="dxa" w:w="4652"/>
            <w:tcBorders>
              <w:top w:val="single" w:color="CCDDEE" w:sz="4"/>
              <w:left w:val="single" w:color="CCDDEE" w:sz="4"/>
              <w:bottom w:val="single" w:color="CCDDEE" w:sz="4"/>
              <w:right w:val="single" w:color="CCDDEE" w:sz="4"/>
            </w:tcBorders>
            <w:shd w:fill="F2F8FF" w:val="clear"/>
            <w:tcMar>
              <w:top w:type="dxa" w:w="80"/>
              <w:left w:type="dxa" w:w="120"/>
              <w:bottom w:type="dxa" w:w="80"/>
              <w:right w:type="dxa" w:w="120"/>
            </w:tcMar>
            <w:vAlign w:val="top"/>
          </w:tcPr>
          <w:p>
            <w:pPr>
              <w:spacing w:after="80" w:before="80" w:line="276"/>
              <w:jc w:val="both"/>
            </w:pPr>
            <w:r>
              <w:rPr>
                <w:rFonts w:ascii="Arial" w:cs="Arial" w:eastAsia="Arial" w:hAnsi="Arial"/>
                <w:b w:val="false"/>
                <w:bCs w:val="false"/>
                <w:i w:val="false"/>
                <w:iCs w:val="false"/>
                <w:color w:val="2E2E2E"/>
                <w:sz w:val="18"/>
                <w:szCs w:val="18"/>
              </w:rPr>
              <w:t xml:space="preserve">Manages all source code, branching and team collaboration.</w:t>
            </w:r>
          </w:p>
        </w:tc>
      </w:tr>
    </w:tbl>
    <w:p>
      <w:pPr>
        <w:spacing w:after="40" w:before="40" w:line="276"/>
        <w:jc w:val="both"/>
      </w:pPr>
      <w:r>
        <w:rPr>
          <w:rFonts w:ascii="Arial" w:cs="Arial" w:eastAsia="Arial" w:hAnsi="Arial"/>
          <w:b w:val="false"/>
          <w:bCs w:val="false"/>
          <w:i w:val="false"/>
          <w:iCs w:val="false"/>
          <w:color w:val="2E2E2E"/>
          <w:sz w:val="20"/>
          <w:szCs w:val="20"/>
        </w:rPr>
        <w:t xml:space="preserve"/>
      </w:r>
    </w:p>
    <w:p>
      <w:pPr>
        <w:pStyle w:val="Heading1"/>
        <w:pBdr>
          <w:bottom w:val="single" w:color="CCDDEE" w:sz="4" w:space="4"/>
        </w:pBdr>
        <w:spacing w:after="120" w:before="300"/>
      </w:pPr>
      <w:r>
        <w:rPr>
          <w:rFonts w:ascii="Arial" w:cs="Arial" w:eastAsia="Arial" w:hAnsi="Arial"/>
          <w:b/>
          <w:bCs/>
          <w:i w:val="false"/>
          <w:iCs w:val="false"/>
          <w:color w:val="1A6BB5"/>
          <w:sz w:val="28"/>
          <w:szCs w:val="28"/>
        </w:rPr>
        <w:t xml:space="preserve">10.  Project Administration, Repository and Team Structure</w:t>
      </w:r>
    </w:p>
    <w:p>
      <w:pPr>
        <w:pStyle w:val="Heading2"/>
        <w:spacing w:after="80" w:before="200"/>
      </w:pPr>
      <w:r>
        <w:rPr>
          <w:rFonts w:ascii="Arial" w:cs="Arial" w:eastAsia="Arial" w:hAnsi="Arial"/>
          <w:b/>
          <w:bCs/>
          <w:i w:val="false"/>
          <w:iCs w:val="false"/>
          <w:color w:val="0D1B2A"/>
          <w:sz w:val="24"/>
          <w:szCs w:val="24"/>
        </w:rPr>
        <w:t xml:space="preserve">10.1  GitHub Repository</w:t>
      </w:r>
    </w:p>
    <w:p>
      <w:pPr>
        <w:spacing w:after="80" w:before="80" w:line="276"/>
        <w:jc w:val="both"/>
      </w:pPr>
      <w:r>
        <w:rPr>
          <w:rFonts w:ascii="Arial" w:cs="Arial" w:eastAsia="Arial" w:hAnsi="Arial"/>
          <w:b w:val="false"/>
          <w:bCs w:val="false"/>
          <w:i w:val="false"/>
          <w:iCs w:val="false"/>
          <w:color w:val="2E2E2E"/>
          <w:sz w:val="20"/>
          <w:szCs w:val="20"/>
        </w:rPr>
        <w:t xml:space="preserve">GitHub Repository: </w:t>
      </w:r>
      <w:r>
        <w:rPr>
          <w:rFonts w:ascii="Arial" w:cs="Arial" w:eastAsia="Arial" w:hAnsi="Arial"/>
          <w:b/>
          <w:bCs/>
          <w:i w:val="false"/>
          <w:iCs w:val="false"/>
          <w:color w:val="2E2E2E"/>
          <w:sz w:val="20"/>
          <w:szCs w:val="20"/>
        </w:rPr>
        <w:t xml:space="preserve">github.com/Chaurasiyakash0136/EY-Training-2026</w:t>
      </w:r>
    </w:p>
    <w:p>
      <w:pPr>
        <w:spacing w:after="40" w:before="40" w:line="276"/>
        <w:jc w:val="both"/>
      </w:pPr>
      <w:r>
        <w:rPr>
          <w:rFonts w:ascii="Arial" w:cs="Arial" w:eastAsia="Arial" w:hAnsi="Arial"/>
          <w:b w:val="false"/>
          <w:bCs w:val="false"/>
          <w:i w:val="false"/>
          <w:iCs w:val="false"/>
          <w:color w:val="2E2E2E"/>
          <w:sz w:val="20"/>
          <w:szCs w:val="20"/>
        </w:rPr>
        <w:t xml:space="preserve"/>
      </w:r>
    </w:p>
    <w:p>
      <w:pPr>
        <w:pStyle w:val="Heading2"/>
        <w:spacing w:after="80" w:before="200"/>
      </w:pPr>
      <w:r>
        <w:rPr>
          <w:rFonts w:ascii="Arial" w:cs="Arial" w:eastAsia="Arial" w:hAnsi="Arial"/>
          <w:b/>
          <w:bCs/>
          <w:i w:val="false"/>
          <w:iCs w:val="false"/>
          <w:color w:val="0D1B2A"/>
          <w:sz w:val="24"/>
          <w:szCs w:val="24"/>
        </w:rPr>
        <w:t xml:space="preserve">10.2  Repository Architecture</w:t>
      </w:r>
    </w:p>
    <w:p>
      <w:pPr>
        <w:pStyle w:val="ListParagraph"/>
        <w:numPr>
          <w:ilvl w:val="0"/>
          <w:numId w:val="2"/>
        </w:numPr>
        <w:spacing w:after="40" w:before="40" w:line="276"/>
      </w:pPr>
      <w:r>
        <w:rPr>
          <w:rFonts w:ascii="Arial" w:cs="Arial" w:eastAsia="Arial" w:hAnsi="Arial"/>
          <w:b/>
          <w:bCs/>
          <w:i w:val="false"/>
          <w:iCs w:val="false"/>
          <w:color w:val="2E2E2E"/>
          <w:sz w:val="20"/>
          <w:szCs w:val="20"/>
        </w:rPr>
        <w:t xml:space="preserve">src/agents/ </w:t>
      </w:r>
      <w:r>
        <w:rPr>
          <w:rFonts w:ascii="Arial" w:cs="Arial" w:eastAsia="Arial" w:hAnsi="Arial"/>
          <w:b w:val="false"/>
          <w:bCs w:val="false"/>
          <w:i w:val="false"/>
          <w:iCs w:val="false"/>
          <w:color w:val="2E2E2E"/>
          <w:sz w:val="20"/>
          <w:szCs w:val="20"/>
        </w:rPr>
        <w:t xml:space="preserve">— Houses the distinct core modules for the AI agents, including the logic scripts for Retrieval, Reasoning, Summariser and Recommender agents.</w:t>
      </w:r>
    </w:p>
    <w:p>
      <w:pPr>
        <w:pStyle w:val="ListParagraph"/>
        <w:numPr>
          <w:ilvl w:val="0"/>
          <w:numId w:val="2"/>
        </w:numPr>
        <w:spacing w:after="40" w:before="40" w:line="276"/>
      </w:pPr>
      <w:r>
        <w:rPr>
          <w:rFonts w:ascii="Arial" w:cs="Arial" w:eastAsia="Arial" w:hAnsi="Arial"/>
          <w:b/>
          <w:bCs/>
          <w:i w:val="false"/>
          <w:iCs w:val="false"/>
          <w:color w:val="2E2E2E"/>
          <w:sz w:val="20"/>
          <w:szCs w:val="20"/>
        </w:rPr>
        <w:t xml:space="preserve">src/ui/ and src/api/ </w:t>
      </w:r>
      <w:r>
        <w:rPr>
          <w:rFonts w:ascii="Arial" w:cs="Arial" w:eastAsia="Arial" w:hAnsi="Arial"/>
          <w:b w:val="false"/>
          <w:bCs w:val="false"/>
          <w:i w:val="false"/>
          <w:iCs w:val="false"/>
          <w:color w:val="2E2E2E"/>
          <w:sz w:val="20"/>
          <w:szCs w:val="20"/>
        </w:rPr>
        <w:t xml:space="preserve">— Contains the frontend Streamlit dashboards and the FastAPI backend endpoint routing interfaces.</w:t>
      </w:r>
    </w:p>
    <w:p>
      <w:pPr>
        <w:pStyle w:val="ListParagraph"/>
        <w:numPr>
          <w:ilvl w:val="0"/>
          <w:numId w:val="2"/>
        </w:numPr>
        <w:spacing w:after="40" w:before="40" w:line="276"/>
      </w:pPr>
      <w:r>
        <w:rPr>
          <w:rFonts w:ascii="Arial" w:cs="Arial" w:eastAsia="Arial" w:hAnsi="Arial"/>
          <w:b/>
          <w:bCs/>
          <w:i w:val="false"/>
          <w:iCs w:val="false"/>
          <w:color w:val="2E2E2E"/>
          <w:sz w:val="20"/>
          <w:szCs w:val="20"/>
        </w:rPr>
        <w:t xml:space="preserve">infra/ and .github/workflows/ </w:t>
      </w:r>
      <w:r>
        <w:rPr>
          <w:rFonts w:ascii="Arial" w:cs="Arial" w:eastAsia="Arial" w:hAnsi="Arial"/>
          <w:b w:val="false"/>
          <w:bCs w:val="false"/>
          <w:i w:val="false"/>
          <w:iCs w:val="false"/>
          <w:color w:val="2E2E2E"/>
          <w:sz w:val="20"/>
          <w:szCs w:val="20"/>
        </w:rPr>
        <w:t xml:space="preserve">— Maintains the Azure Infrastructure as Code configurations and holds the automated CI/CD pipelines for linting and testing code.</w:t>
      </w:r>
    </w:p>
    <w:p>
      <w:pPr>
        <w:spacing w:after="40" w:before="40" w:line="276"/>
        <w:jc w:val="both"/>
      </w:pPr>
      <w:r>
        <w:rPr>
          <w:rFonts w:ascii="Arial" w:cs="Arial" w:eastAsia="Arial" w:hAnsi="Arial"/>
          <w:b w:val="false"/>
          <w:bCs w:val="false"/>
          <w:i w:val="false"/>
          <w:iCs w:val="false"/>
          <w:color w:val="2E2E2E"/>
          <w:sz w:val="20"/>
          <w:szCs w:val="20"/>
        </w:rPr>
        <w:t xml:space="preserve"/>
      </w:r>
    </w:p>
    <w:p>
      <w:pPr>
        <w:pStyle w:val="Heading2"/>
        <w:spacing w:after="80" w:before="200"/>
      </w:pPr>
      <w:r>
        <w:rPr>
          <w:rFonts w:ascii="Arial" w:cs="Arial" w:eastAsia="Arial" w:hAnsi="Arial"/>
          <w:b/>
          <w:bCs/>
          <w:i w:val="false"/>
          <w:iCs w:val="false"/>
          <w:color w:val="0D1B2A"/>
          <w:sz w:val="24"/>
          <w:szCs w:val="24"/>
        </w:rPr>
        <w:t xml:space="preserve">10.3  Team Roles and Responsibilities</w:t>
      </w:r>
    </w:p>
    <w:p>
      <w:pPr>
        <w:spacing w:after="80" w:before="80" w:line="276"/>
        <w:jc w:val="both"/>
      </w:pPr>
      <w:r>
        <w:rPr>
          <w:rFonts w:ascii="Arial" w:cs="Arial" w:eastAsia="Arial" w:hAnsi="Arial"/>
          <w:b w:val="false"/>
          <w:bCs w:val="false"/>
          <w:i w:val="false"/>
          <w:iCs w:val="false"/>
          <w:color w:val="2E2E2E"/>
          <w:sz w:val="20"/>
          <w:szCs w:val="20"/>
        </w:rPr>
        <w:t xml:space="preserve">Our team consists of two members — Ashu Sharma and Akash Chaurasiya — both contributing equally across all areas of the project. There was no hard division of work. Every feature, every decision and every document was a collaborative effort from start to finish.</w:t>
      </w:r>
    </w:p>
    <w:p>
      <w:pPr>
        <w:spacing w:after="40" w:before="40" w:line="276"/>
        <w:jc w:val="both"/>
      </w:pPr>
      <w:r>
        <w:rPr>
          <w:rFonts w:ascii="Arial" w:cs="Arial" w:eastAsia="Arial" w:hAnsi="Arial"/>
          <w:b w:val="false"/>
          <w:bCs w:val="false"/>
          <w:i w:val="false"/>
          <w:iCs w:val="false"/>
          <w:color w:val="2E2E2E"/>
          <w:sz w:val="20"/>
          <w:szCs w:val="20"/>
        </w:rPr>
        <w:t xml:space="preserve"/>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CCDDEE" w:sz="4"/>
              <w:left w:val="single" w:color="CCDDEE" w:sz="4"/>
              <w:bottom w:val="single" w:color="CCDDEE" w:sz="4"/>
              <w:right w:val="single" w:color="CCDDEE" w:sz="4"/>
            </w:tcBorders>
            <w:shd w:fill="2E86AB" w:val="clear"/>
            <w:tcMar>
              <w:top w:type="dxa" w:w="80"/>
              <w:left w:type="dxa" w:w="140"/>
              <w:bottom w:type="dxa" w:w="80"/>
              <w:right w:type="dxa" w:w="120"/>
            </w:tcMar>
          </w:tcPr>
          <w:p>
            <w:pPr>
              <w:spacing w:after="80" w:before="80" w:line="276"/>
              <w:jc w:val="both"/>
            </w:pPr>
            <w:r>
              <w:rPr>
                <w:rFonts w:ascii="Arial" w:cs="Arial" w:eastAsia="Arial" w:hAnsi="Arial"/>
                <w:b/>
                <w:bCs/>
                <w:i w:val="false"/>
                <w:iCs w:val="false"/>
                <w:color w:val="FFFFFF"/>
                <w:sz w:val="20"/>
                <w:szCs w:val="20"/>
              </w:rPr>
              <w:t xml:space="preserve">AI &amp; Backend Development</w:t>
            </w:r>
          </w:p>
        </w:tc>
      </w:tr>
    </w:tbl>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Designed and implemented the complete multi-agent architecture including the Orchestrator, Retrieval Agent, Reasoning Agent, Summariser Agent and Recommender Agent.</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Built the LangChain and LangGraph orchestration pipeline with full state management.</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Structured all core prompt schemas for risk scoring, document summarisation and recommendations.</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Integrated Gemini and OpenAI models as the LLM and embedding providers.</w:t>
      </w:r>
    </w:p>
    <w:p>
      <w:pPr>
        <w:spacing w:after="40" w:before="40" w:line="276"/>
        <w:jc w:val="both"/>
      </w:pPr>
      <w:r>
        <w:rPr>
          <w:rFonts w:ascii="Arial" w:cs="Arial" w:eastAsia="Arial" w:hAnsi="Arial"/>
          <w:b w:val="false"/>
          <w:bCs w:val="false"/>
          <w:i w:val="false"/>
          <w:iCs w:val="false"/>
          <w:color w:val="2E2E2E"/>
          <w:sz w:val="20"/>
          <w:szCs w:val="20"/>
        </w:rPr>
        <w:t xml:space="preserve"/>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CCDDEE" w:sz="4"/>
              <w:left w:val="single" w:color="CCDDEE" w:sz="4"/>
              <w:bottom w:val="single" w:color="CCDDEE" w:sz="4"/>
              <w:right w:val="single" w:color="CCDDEE" w:sz="4"/>
            </w:tcBorders>
            <w:shd w:fill="2E86AB" w:val="clear"/>
            <w:tcMar>
              <w:top w:type="dxa" w:w="80"/>
              <w:left w:type="dxa" w:w="140"/>
              <w:bottom w:type="dxa" w:w="80"/>
              <w:right w:type="dxa" w:w="120"/>
            </w:tcMar>
          </w:tcPr>
          <w:p>
            <w:pPr>
              <w:spacing w:after="80" w:before="80" w:line="276"/>
              <w:jc w:val="both"/>
            </w:pPr>
            <w:r>
              <w:rPr>
                <w:rFonts w:ascii="Arial" w:cs="Arial" w:eastAsia="Arial" w:hAnsi="Arial"/>
                <w:b/>
                <w:bCs/>
                <w:i w:val="false"/>
                <w:iCs w:val="false"/>
                <w:color w:val="FFFFFF"/>
                <w:sz w:val="20"/>
                <w:szCs w:val="20"/>
              </w:rPr>
              <w:t xml:space="preserve">Data Pipeline &amp; Vector Store</w:t>
            </w:r>
          </w:p>
        </w:tc>
      </w:tr>
    </w:tbl>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Built the complete document processing pipeline — PDF parsing, OCR, chunking and embedding.</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Configured the FAISS vector store for semantic search and retrieval.</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Implemented the RAG pipeline ensuring all AI answers are grounded in uploaded documents.</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Handled document metadata extraction including year detection and document type classification.</w:t>
      </w:r>
    </w:p>
    <w:p>
      <w:pPr>
        <w:spacing w:after="40" w:before="40" w:line="276"/>
        <w:jc w:val="both"/>
      </w:pPr>
      <w:r>
        <w:rPr>
          <w:rFonts w:ascii="Arial" w:cs="Arial" w:eastAsia="Arial" w:hAnsi="Arial"/>
          <w:b w:val="false"/>
          <w:bCs w:val="false"/>
          <w:i w:val="false"/>
          <w:iCs w:val="false"/>
          <w:color w:val="2E2E2E"/>
          <w:sz w:val="20"/>
          <w:szCs w:val="20"/>
        </w:rPr>
        <w:t xml:space="preserve"/>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CCDDEE" w:sz="4"/>
              <w:left w:val="single" w:color="CCDDEE" w:sz="4"/>
              <w:bottom w:val="single" w:color="CCDDEE" w:sz="4"/>
              <w:right w:val="single" w:color="CCDDEE" w:sz="4"/>
            </w:tcBorders>
            <w:shd w:fill="2E86AB" w:val="clear"/>
            <w:tcMar>
              <w:top w:type="dxa" w:w="80"/>
              <w:left w:type="dxa" w:w="140"/>
              <w:bottom w:type="dxa" w:w="80"/>
              <w:right w:type="dxa" w:w="120"/>
            </w:tcMar>
          </w:tcPr>
          <w:p>
            <w:pPr>
              <w:spacing w:after="80" w:before="80" w:line="276"/>
              <w:jc w:val="both"/>
            </w:pPr>
            <w:r>
              <w:rPr>
                <w:rFonts w:ascii="Arial" w:cs="Arial" w:eastAsia="Arial" w:hAnsi="Arial"/>
                <w:b/>
                <w:bCs/>
                <w:i w:val="false"/>
                <w:iCs w:val="false"/>
                <w:color w:val="FFFFFF"/>
                <w:sz w:val="20"/>
                <w:szCs w:val="20"/>
              </w:rPr>
              <w:t xml:space="preserve">Frontend &amp; User Interface</w:t>
            </w:r>
          </w:p>
        </w:tc>
      </w:tr>
    </w:tbl>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Developed the full Streamlit dashboard including six pages — Upload, Document Summary, Risk Analysis, AI Recommendations, AI Chat and Dashboard.</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Built interactive components including risk score gauge, strengths and weaknesses breakdown, red flag alerts and clickable chat prompts.</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Designed the sidebar navigation and session state management across all pages.</w:t>
      </w:r>
    </w:p>
    <w:p>
      <w:pPr>
        <w:spacing w:after="40" w:before="40" w:line="276"/>
        <w:jc w:val="both"/>
      </w:pPr>
      <w:r>
        <w:rPr>
          <w:rFonts w:ascii="Arial" w:cs="Arial" w:eastAsia="Arial" w:hAnsi="Arial"/>
          <w:b w:val="false"/>
          <w:bCs w:val="false"/>
          <w:i w:val="false"/>
          <w:iCs w:val="false"/>
          <w:color w:val="2E2E2E"/>
          <w:sz w:val="20"/>
          <w:szCs w:val="20"/>
        </w:rPr>
        <w:t xml:space="preserve"/>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CCDDEE" w:sz="4"/>
              <w:left w:val="single" w:color="CCDDEE" w:sz="4"/>
              <w:bottom w:val="single" w:color="CCDDEE" w:sz="4"/>
              <w:right w:val="single" w:color="CCDDEE" w:sz="4"/>
            </w:tcBorders>
            <w:shd w:fill="2E86AB" w:val="clear"/>
            <w:tcMar>
              <w:top w:type="dxa" w:w="80"/>
              <w:left w:type="dxa" w:w="140"/>
              <w:bottom w:type="dxa" w:w="80"/>
              <w:right w:type="dxa" w:w="120"/>
            </w:tcMar>
          </w:tcPr>
          <w:p>
            <w:pPr>
              <w:spacing w:after="80" w:before="80" w:line="276"/>
              <w:jc w:val="both"/>
            </w:pPr>
            <w:r>
              <w:rPr>
                <w:rFonts w:ascii="Arial" w:cs="Arial" w:eastAsia="Arial" w:hAnsi="Arial"/>
                <w:b/>
                <w:bCs/>
                <w:i w:val="false"/>
                <w:iCs w:val="false"/>
                <w:color w:val="FFFFFF"/>
                <w:sz w:val="20"/>
                <w:szCs w:val="20"/>
              </w:rPr>
              <w:t xml:space="preserve">Project Setup &amp; Configuration</w:t>
            </w:r>
          </w:p>
        </w:tc>
      </w:tr>
    </w:tbl>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Set up the GitHub repository structure with proper branching and environment configuration.</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Configured the environment setup, secrets management and all dependency management.</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Maintained clean code organisation across agents, RAG, UI, models and services folders.</w:t>
      </w:r>
    </w:p>
    <w:p>
      <w:pPr>
        <w:spacing w:after="40" w:before="40" w:line="276"/>
        <w:jc w:val="both"/>
      </w:pPr>
      <w:r>
        <w:rPr>
          <w:rFonts w:ascii="Arial" w:cs="Arial" w:eastAsia="Arial" w:hAnsi="Arial"/>
          <w:b w:val="false"/>
          <w:bCs w:val="false"/>
          <w:i w:val="false"/>
          <w:iCs w:val="false"/>
          <w:color w:val="2E2E2E"/>
          <w:sz w:val="20"/>
          <w:szCs w:val="20"/>
        </w:rPr>
        <w:t xml:space="preserve"/>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CCDDEE" w:sz="4"/>
              <w:left w:val="single" w:color="CCDDEE" w:sz="4"/>
              <w:bottom w:val="single" w:color="CCDDEE" w:sz="4"/>
              <w:right w:val="single" w:color="CCDDEE" w:sz="4"/>
            </w:tcBorders>
            <w:shd w:fill="2E86AB" w:val="clear"/>
            <w:tcMar>
              <w:top w:type="dxa" w:w="80"/>
              <w:left w:type="dxa" w:w="140"/>
              <w:bottom w:type="dxa" w:w="80"/>
              <w:right w:type="dxa" w:w="120"/>
            </w:tcMar>
          </w:tcPr>
          <w:p>
            <w:pPr>
              <w:spacing w:after="80" w:before="80" w:line="276"/>
              <w:jc w:val="both"/>
            </w:pPr>
            <w:r>
              <w:rPr>
                <w:rFonts w:ascii="Arial" w:cs="Arial" w:eastAsia="Arial" w:hAnsi="Arial"/>
                <w:b/>
                <w:bCs/>
                <w:i w:val="false"/>
                <w:iCs w:val="false"/>
                <w:color w:val="FFFFFF"/>
                <w:sz w:val="20"/>
                <w:szCs w:val="20"/>
              </w:rPr>
              <w:t xml:space="preserve">Documentation</w:t>
            </w:r>
          </w:p>
        </w:tc>
      </w:tr>
    </w:tbl>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Wrote the complete PRD including Problem Statement, Proposed Solution, Architecture, Technology Stack and Workflow sections.</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Created and maintained the architecture flow diagram and component walkthrough.</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Prepared the README, demo script and final presentation for Day 5.</w:t>
      </w:r>
    </w:p>
    <w:p>
      <w:pPr>
        <w:spacing w:after="40" w:before="40" w:line="276"/>
        <w:jc w:val="both"/>
      </w:pPr>
      <w:r>
        <w:rPr>
          <w:rFonts w:ascii="Arial" w:cs="Arial" w:eastAsia="Arial" w:hAnsi="Arial"/>
          <w:b w:val="false"/>
          <w:bCs w:val="false"/>
          <w:i w:val="false"/>
          <w:iCs w:val="false"/>
          <w:color w:val="2E2E2E"/>
          <w:sz w:val="20"/>
          <w:szCs w:val="20"/>
        </w:rPr>
        <w:t xml:space="preserve"/>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CCDDEE" w:sz="4"/>
              <w:left w:val="single" w:color="CCDDEE" w:sz="4"/>
              <w:bottom w:val="single" w:color="CCDDEE" w:sz="4"/>
              <w:right w:val="single" w:color="CCDDEE" w:sz="4"/>
            </w:tcBorders>
            <w:shd w:fill="2E86AB" w:val="clear"/>
            <w:tcMar>
              <w:top w:type="dxa" w:w="80"/>
              <w:left w:type="dxa" w:w="140"/>
              <w:bottom w:type="dxa" w:w="80"/>
              <w:right w:type="dxa" w:w="120"/>
            </w:tcMar>
          </w:tcPr>
          <w:p>
            <w:pPr>
              <w:spacing w:after="80" w:before="80" w:line="276"/>
              <w:jc w:val="both"/>
            </w:pPr>
            <w:r>
              <w:rPr>
                <w:rFonts w:ascii="Arial" w:cs="Arial" w:eastAsia="Arial" w:hAnsi="Arial"/>
                <w:b/>
                <w:bCs/>
                <w:i w:val="false"/>
                <w:iCs w:val="false"/>
                <w:color w:val="FFFFFF"/>
                <w:sz w:val="20"/>
                <w:szCs w:val="20"/>
              </w:rPr>
              <w:t xml:space="preserve">Daily Collaboration</w:t>
            </w:r>
          </w:p>
        </w:tc>
      </w:tr>
    </w:tbl>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Conducted daily sync meetings to track progress and resolve blockers.</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Performed end-to-end testing using sample HDFC financial documents.</w:t>
      </w:r>
    </w:p>
    <w:p>
      <w:pPr>
        <w:pStyle w:val="ListParagraph"/>
        <w:numPr>
          <w:ilvl w:val="0"/>
          <w:numId w:val="2"/>
        </w:numPr>
        <w:spacing w:after="40" w:before="40" w:line="276"/>
      </w:pPr>
      <w:r>
        <w:rPr>
          <w:rFonts w:ascii="Arial" w:cs="Arial" w:eastAsia="Arial" w:hAnsi="Arial"/>
          <w:b w:val="false"/>
          <w:bCs w:val="false"/>
          <w:i w:val="false"/>
          <w:iCs w:val="false"/>
          <w:color w:val="2E2E2E"/>
          <w:sz w:val="20"/>
          <w:szCs w:val="20"/>
        </w:rPr>
        <w:t xml:space="preserve">Jointly delivered the final capstone presentation and live demo.</w:t>
      </w:r>
    </w:p>
    <w:p>
      <w:pPr>
        <w:spacing w:after="40" w:before="40" w:line="276"/>
        <w:jc w:val="both"/>
      </w:pPr>
      <w:r>
        <w:rPr>
          <w:rFonts w:ascii="Arial" w:cs="Arial" w:eastAsia="Arial" w:hAnsi="Arial"/>
          <w:b w:val="false"/>
          <w:bCs w:val="false"/>
          <w:i w:val="false"/>
          <w:iCs w:val="false"/>
          <w:color w:val="2E2E2E"/>
          <w:sz w:val="20"/>
          <w:szCs w:val="20"/>
        </w:rPr>
        <w:t xml:space="preserve"/>
      </w:r>
    </w:p>
    <w:p>
      <w:r>
        <w:br w:type="page"/>
      </w:r>
    </w:p>
    <w:p>
      <w:pPr>
        <w:pStyle w:val="Heading1"/>
        <w:pBdr>
          <w:bottom w:val="single" w:color="CCDDEE" w:sz="4" w:space="4"/>
        </w:pBdr>
        <w:spacing w:after="120" w:before="300"/>
      </w:pPr>
      <w:r>
        <w:rPr>
          <w:rFonts w:ascii="Arial" w:cs="Arial" w:eastAsia="Arial" w:hAnsi="Arial"/>
          <w:b/>
          <w:bCs/>
          <w:i w:val="false"/>
          <w:iCs w:val="false"/>
          <w:color w:val="1A6BB5"/>
          <w:sz w:val="28"/>
          <w:szCs w:val="28"/>
        </w:rPr>
        <w:t xml:space="preserve">11.  Design Architecture Diagram</w:t>
      </w:r>
    </w:p>
    <w:p>
      <w:pPr>
        <w:spacing w:after="80" w:before="80" w:line="276"/>
        <w:jc w:val="both"/>
      </w:pPr>
      <w:r>
        <w:rPr>
          <w:rFonts w:ascii="Arial" w:cs="Arial" w:eastAsia="Arial" w:hAnsi="Arial"/>
          <w:b w:val="false"/>
          <w:bCs w:val="false"/>
          <w:i w:val="false"/>
          <w:iCs w:val="false"/>
          <w:color w:val="2E2E2E"/>
          <w:sz w:val="20"/>
          <w:szCs w:val="20"/>
        </w:rPr>
        <w:t xml:space="preserve">The diagram below illustrates the complete end-to-end data flow of the Credit Risk Intelligence Platform — from document upload through AI processing, multi-agent analysis, and split outputs by user type, to the final output dashboard.</w:t>
      </w:r>
    </w:p>
    <w:p>
      <w:pPr>
        <w:spacing w:after="40" w:before="40" w:line="276"/>
        <w:jc w:val="both"/>
      </w:pPr>
      <w:r>
        <w:rPr>
          <w:rFonts w:ascii="Arial" w:cs="Arial" w:eastAsia="Arial" w:hAnsi="Arial"/>
          <w:b w:val="false"/>
          <w:bCs w:val="false"/>
          <w:i w:val="false"/>
          <w:iCs w:val="false"/>
          <w:color w:val="2E2E2E"/>
          <w:sz w:val="20"/>
          <w:szCs w:val="20"/>
        </w:rPr>
        <w:t xml:space="preserve"/>
      </w:r>
    </w:p>
    <w:p>
      <w:pPr>
        <w:jc w:val="center"/>
      </w:pPr>
      <w:r>
        <w:drawing>
          <wp:inline distT="0" distB="0" distL="0" distR="0">
            <wp:extent cx="5905500" cy="8572500"/>
            <wp:effectExtent t="0" r="0" b="0" l="0"/>
            <wp:docPr id="1" name="diagram" descr="End-to-end data flow"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8572500"/>
                    </a:xfrm>
                    <a:prstGeom prst="rect">
                      <a:avLst/>
                    </a:prstGeom>
                  </pic:spPr>
                </pic:pic>
              </a:graphicData>
            </a:graphic>
          </wp:inline>
        </w:drawing>
      </w: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EE" w:sz="4" w:space="6"/>
      </w:pBdr>
      <w:spacing w:after="0" w:before="0"/>
      <w:jc w:val="center"/>
    </w:pPr>
    <w:r>
      <w:rPr>
        <w:rFonts w:ascii="Arial" w:cs="Arial" w:eastAsia="Arial" w:hAnsi="Arial"/>
        <w:color w:val="888888"/>
        <w:sz w:val="16"/>
        <w:szCs w:val="16"/>
      </w:rPr>
      <w:t xml:space="preserve">Ashu Sharma &amp; Akash Chaurasiya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before="80" w:line="276"/>
      <w:jc w:val="center"/>
    </w:pPr>
    <w:r>
      <w:rPr>
        <w:rFonts w:ascii="Arial" w:cs="Arial" w:eastAsia="Arial" w:hAnsi="Arial"/>
        <w:b w:val="false"/>
        <w:bCs w:val="false"/>
        <w:i w:val="false"/>
        <w:iCs w:val="false"/>
        <w:color w:val="888888"/>
        <w:sz w:val="16"/>
        <w:szCs w:val="16"/>
      </w:rPr>
      <w:t xml:space="preserve">Credit Risk Intelligence Platform  —  Design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6BB5"/>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D1B2A"/>
      <w:sz w:val="24"/>
      <w:szCs w:val="24"/>
    </w:rPr>
  </w:style>
  <w:style w:type="paragraph" w:styleId="Heading3">
    <w:name w:val="Heading 3"/>
    <w:basedOn w:val="Normal"/>
    <w:next w:val="Normal"/>
    <w:qFormat/>
    <w:pPr>
      <w:spacing w:after="60" w:before="160"/>
      <w:outlineLvl w:val="2"/>
    </w:pPr>
    <w:rPr>
      <w:rFonts w:ascii="Arial" w:cs="Arial" w:eastAsia="Arial" w:hAnsi="Arial"/>
      <w:b/>
      <w:bCs/>
      <w:color w:val="2E86A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047a7db6511f140d6ff4cdde63f0cf6adccabe.jpe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2026-06-29T12:38:10.815Z</dcterms:created>
  <dcterms:modified xsi:type="dcterms:W3CDTF">2026-06-29T12:38:10.815Z</dcterms:modified>
</cp:coreProperties>
</file>

<file path=docProps/custom.xml><?xml version="1.0" encoding="utf-8"?>
<Properties xmlns="http://schemas.openxmlformats.org/officeDocument/2006/custom-properties" xmlns:vt="http://schemas.openxmlformats.org/officeDocument/2006/docPropsVTypes"/>
</file>