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p6z15azdwd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Sensitivity Analysis on NPV – Varun Beverages Perspective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Team Members (Group 3):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Tejas Gupta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Lakshmi Kumari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Piyush Prashant Wagh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Ashutosh Singh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Sakshi Kalledevar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62qrlpv18o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Context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Varun Beverages (VBL)</w:t>
      </w:r>
      <w:r w:rsidDel="00000000" w:rsidR="00000000" w:rsidRPr="00000000">
        <w:rPr>
          <w:rtl w:val="0"/>
        </w:rPr>
        <w:t xml:space="preserve">, one of PepsiCo’s largest global bottlers, evaluates capacity expansion and new bottling lines with long asset lives and volume-driven economics.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Management must assess how key drivers—</w:t>
      </w:r>
      <w:r w:rsidDel="00000000" w:rsidR="00000000" w:rsidRPr="00000000">
        <w:rPr>
          <w:b w:val="1"/>
          <w:bCs w:val="1"/>
          <w:rtl w:val="0"/>
        </w:rPr>
        <w:t xml:space="preserve">price, quantity, capex, COGS, OPEX, Tax rate, DSO, DIO, DPO, WACC(i.e. discount rate)</w:t>
      </w:r>
      <w:r w:rsidDel="00000000" w:rsidR="00000000" w:rsidRPr="00000000">
        <w:rPr>
          <w:rtl w:val="0"/>
        </w:rPr>
        <w:t xml:space="preserve">—affect NPV.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Sensitivity analysis isolates each driver’s impact on free cash flow and valuation to guide pricing, procurement, and financing decisions.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da4c3zhgvl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Setup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Planning horizon:</w:t>
      </w:r>
      <w:r w:rsidDel="00000000" w:rsidR="00000000" w:rsidRPr="00000000">
        <w:rPr>
          <w:rtl w:val="0"/>
        </w:rPr>
        <w:t xml:space="preserve"> 11 years.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₹ Crore; unit price in ₹; quantity in Crore units.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Discount rate:</w:t>
      </w:r>
      <w:r w:rsidDel="00000000" w:rsidR="00000000" w:rsidRPr="00000000">
        <w:rPr>
          <w:rtl w:val="0"/>
        </w:rPr>
        <w:t xml:space="preserve"> WACC derived from the industry standard.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zt7mfhkdm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Sensitivity Design and Interpretation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Vary one input </w:t>
      </w:r>
      <w:r w:rsidDel="00000000" w:rsidR="00000000" w:rsidRPr="00000000">
        <w:rPr>
          <w:b w:val="1"/>
          <w:bCs w:val="1"/>
          <w:rtl w:val="0"/>
        </w:rPr>
        <w:t xml:space="preserve">(Price, Quantity, Capex, COGS, OPEX, Tax rate, DSO, DIO, DPO, WACC(i.e. discount rate)) </w:t>
      </w:r>
      <w:r w:rsidDel="00000000" w:rsidR="00000000" w:rsidRPr="00000000">
        <w:rPr>
          <w:rtl w:val="0"/>
        </w:rPr>
        <w:t xml:space="preserve">while holding others constant (Ceteris Paribus).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/>
      </w:pPr>
      <w:bookmarkStart w:colFirst="0" w:colLast="0" w:name="_heading=h.jtv8suiasg1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Glossary of Terms and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salrplekt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per Unit (₹)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Assumption per unit in ₹; can grow by an annual percentage.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Realised selling price per beverage unit/net price after trade schemes; a primary NPV driver due to operating leverage.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r4zwrp66eg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Volume / Quantity Sold (# in Crore)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Assumed units sold per year; includes ramp-up curves and capacity constraints.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Demand and distribution execution; interacts with price to determine revenue scale.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x9ft0mdwu1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= Price × Quantity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Revenue (₹) = Price per Unit × Units Sold; Revenue (₹ Cr) = Revenue (₹) ÷ 1 Crore.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Top line of the model; base for margins, working capital, and depreciation allocation methods.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k8x81xetvq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(₹ Cr)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See above (expressed in ₹ Crore).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Used to drive DSO-based AR and revenue-linked metrics.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4kjtxq4tl1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Variable Cost (₹ Cr)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Typically % of revenue or unit cost × quantity.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Direct, volume-linked costs (ingredients, packaging, utilities, per-case logistics).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9erwbcizq9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Fixed Cost (₹ Cr)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Base fixed costs with an annual growth rate; can increase with expansions.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Factory overheads not tied to monthly volume (plant supervision, rent, maintenance).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0vzcruxq9e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COGS = Variable Cost + Fixed Cost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Total of variable and fixed production costs.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Captures direct manufacturing economics to derive Gross Profit.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zs0mre9pxy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of Goods Sold {COGS} (₹ Cr)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As above.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Used as the driver for inventory and payables when DIO/DPO are defined on COGS.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7jka0m9xk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DSO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DSO=Total Credit Sales / Accounts Receivable​×Number of Days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Measures the average days it takes for a company to collect payment after a sale.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jxwuinunt2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DIO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DIO=Cost of Goods Sold (COGS)Average Inventory​×Number of Days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Measures the average days a company holds inventory before selling it.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cwjnevq1we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Expenses {OPEX} (₹ Cr)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Indirect overheads (admin, marketing, distribution).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Below gross profit; impacts EBITDA directly.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9ltjft60i30" w:id="16"/>
      <w:bookmarkEnd w:id="16"/>
      <w:sdt>
        <w:sdtPr>
          <w:id w:val="-7769097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EBITDA = Revenue − COGS − OPEX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sdt>
        <w:sdtPr>
          <w:id w:val="-20999379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EBITDA (₹ Cr) = Revenue − COGS − OPEX.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Cash-like operating profit before non-cash charges; central for margin and leverage analysis.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flh32jlar1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Depreciation &amp; Amortization (₹ Cr)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Straight-line or schedule-based on historical and planned capex.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Non-cash expense reflecting asset consumption.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kjsb3g1ev2d" w:id="18"/>
      <w:bookmarkEnd w:id="18"/>
      <w:sdt>
        <w:sdtPr>
          <w:id w:val="18260301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EBIT = EBITDA − D&amp;A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sdt>
        <w:sdtPr>
          <w:id w:val="-6895453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EBIT (₹ Cr) = EBITDA − Depreciation &amp; Amortization.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Operating profit post non-cash charges; input to taxes.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cjheprm68y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Rate (%)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Statutory or effective tax assumption.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Applied to EBIT to compute NOPAT.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aip8g8wwrr2" w:id="20"/>
      <w:bookmarkEnd w:id="20"/>
      <w:sdt>
        <w:sdtPr>
          <w:id w:val="-21355144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NOPAT = EBIT × (1 − Tax)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sdt>
        <w:sdtPr>
          <w:id w:val="-128666336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NOPAT (₹ Cr) = EBIT × (1 − Tax Rate).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After-tax operating profit independent of capital structure.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ek1pkuke5k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CF = NOPAT + D&amp;A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Operating Cash Flow (₹ Cr) = NOPAT + Depreciation &amp; Amortization.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Adds back non-cash charges to derive cash generated before working capital and capex.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jnv5wspbez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Receivable Days {DSO} (No. of Days)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Accounts Receivable = Revenue × DSO / 365.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Credit terms and collections efficiency; higher DSO ties up cash.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y6xu2xa8h4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Days {DIO} (No. of Days)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Inventory = COGS × DIO / 365.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Stockholding efficiency; higher DIO increases inventory.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7nujmkxrzl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Payable Days {DPO} (No. of Days)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Accounts Payable = COGS × DPO / 365.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Supplier credit; higher DPO provides cash.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muxzad6nbp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Working Capital (NWC)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sdt>
        <w:sdtPr>
          <w:id w:val="145754243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NWC (₹ Cr) = AR + Inventory − AP.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Operating cash tied in the business.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j3dr3u29cd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ΔNWC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sdt>
        <w:sdtPr>
          <w:id w:val="-12732789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ΔNWC = NWC(t) − NWC(t−1).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Cash outflow if positive (more cash tied in), inflow if negative (cash released).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9pnsg7w8wp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Capital Expenditure {CAPEX} (₹ Cr)</w:t>
      </w:r>
    </w:p>
    <w:p w:rsidR="00000000" w:rsidDel="00000000" w:rsidP="00000000" w:rsidRDefault="00000000" w:rsidRPr="00000000" w14:paraId="0000006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Growth capex + maintenance capex.</w:t>
      </w:r>
    </w:p>
    <w:p w:rsidR="00000000" w:rsidDel="00000000" w:rsidP="00000000" w:rsidRDefault="00000000" w:rsidRPr="00000000" w14:paraId="0000006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Cash investment in PP&amp;E; reduces FCFF in spend year.</w:t>
      </w:r>
    </w:p>
    <w:p w:rsidR="00000000" w:rsidDel="00000000" w:rsidP="00000000" w:rsidRDefault="00000000" w:rsidRPr="00000000" w14:paraId="00000067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tt37fkugp82" w:id="28"/>
      <w:bookmarkEnd w:id="28"/>
      <w:sdt>
        <w:sdtPr>
          <w:id w:val="-98298227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FCFF = Operating CF − CAPEX − ΔNWC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Free Cash Flow to Firm (₹ Cr).</w:t>
      </w:r>
    </w:p>
    <w:p w:rsidR="00000000" w:rsidDel="00000000" w:rsidP="00000000" w:rsidRDefault="00000000" w:rsidRPr="00000000" w14:paraId="0000006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Cash available to all capital providers; basis for valuation.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kjd378al1gg" w:id="29"/>
      <w:bookmarkEnd w:id="29"/>
      <w:sdt>
        <w:sdtPr>
          <w:id w:val="-166994060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WACC = Re × We + Rd × Wd × (1 − Tax)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Weighted average of equity and after-tax debt cost.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Discount rate for FCFF; key NPV sensitivity lever.</w:t>
      </w:r>
    </w:p>
    <w:p w:rsidR="00000000" w:rsidDel="00000000" w:rsidP="00000000" w:rsidRDefault="00000000" w:rsidRPr="00000000" w14:paraId="0000006E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t3awb9hzpl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PV of FCFF (₹ Cr)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Present value of each year’s FCFF discounted at WACC.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Reflects the time value of money.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nbj4wfgmjo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NPV of FCFF (₹ Cr)</w:t>
      </w:r>
    </w:p>
    <w:p w:rsidR="00000000" w:rsidDel="00000000" w:rsidP="00000000" w:rsidRDefault="00000000" w:rsidRPr="00000000" w14:paraId="0000007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Calculation:</w:t>
      </w:r>
      <w:sdt>
        <w:sdtPr>
          <w:id w:val="3565122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Sum of PV of FCFF − Initial Investment.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Decision metric; positive NPV indicates value creation.</w:t>
      </w:r>
    </w:p>
    <w:p w:rsidR="00000000" w:rsidDel="00000000" w:rsidP="00000000" w:rsidRDefault="00000000" w:rsidRPr="00000000" w14:paraId="00000075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35258" cy="428148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258" cy="428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0s191svpwa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7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Understand how each operating and financial driver causes the respective changes in FCFF and NPV.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sensitivity analysis to see the impact of each driver on NPV.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By extension, learn to make an informed choice regarding investments and the impact sensitivity analyses may have on them.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a167cq1ns9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Sensitivity of NPV (Net Present Value) w.r.t. different parameters in Decreasing order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424738" cy="3143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4738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+ signifies that NPV increases as the respective parameter increases, and similarly - signifies that NPV decreases as the respective parameter increases.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Sensitivity of NPV varies greatly in parameters:- </w:t>
      </w:r>
      <w:r w:rsidDel="00000000" w:rsidR="00000000" w:rsidRPr="00000000">
        <w:rPr>
          <w:b w:val="1"/>
          <w:bCs w:val="1"/>
          <w:rtl w:val="0"/>
        </w:rPr>
        <w:t xml:space="preserve">PRICE, QUANTITY, COGS, WACC, CAPEX, TAX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NPV is not much sensitive to parameters such as </w:t>
      </w:r>
      <w:r w:rsidDel="00000000" w:rsidR="00000000" w:rsidRPr="00000000">
        <w:rPr>
          <w:b w:val="1"/>
          <w:bCs w:val="1"/>
          <w:rtl w:val="0"/>
        </w:rPr>
        <w:t xml:space="preserve">OPEX, DIO, DSO, DPO.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fz64f2xcy5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 Prompts</w:t>
      </w:r>
    </w:p>
    <w:p w:rsidR="00000000" w:rsidDel="00000000" w:rsidP="00000000" w:rsidRDefault="00000000" w:rsidRPr="00000000" w14:paraId="0000008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Which two variables drive most of the NPV volatility in the base case?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What switching values (price decline, cost increase, WACC rise) would erase the project NPV?</w:t>
      </w:r>
    </w:p>
    <w:p w:rsidR="00000000" w:rsidDel="00000000" w:rsidP="00000000" w:rsidRDefault="00000000" w:rsidRPr="00000000" w14:paraId="0000008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What trade-offs exist between lower capex today and higher maintenance costs tomorrow?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How can sensitivity insights guide board-level investment decisions?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p33uw2i67k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Bibliography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240" w:lineRule="auto"/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https://www.researchgate.net/publication/343165155_Sensitivity_Analysis_of_Net_Present_Value_due_to_Optimal_Pit_Limit_in_PT_Ceria_Nugraha_Indotama_Kolaka_Regency_Southeast_Sulawesi_Province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before="0" w:lineRule="auto"/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https://en.wikipedia.org/wiki/Sensitivity_analysis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lineRule="auto"/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https://www.varunbeverages.com/annual-reports/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22" Type="http://schemas.openxmlformats.org/officeDocument/2006/relationships/hyperlink" Target="https://en.wikipedia.org/wiki/Sensitivity_analysis" TargetMode="External"/><Relationship Id="rId10" Type="http://schemas.openxmlformats.org/officeDocument/2006/relationships/image" Target="media/image9.png"/><Relationship Id="rId21" Type="http://schemas.openxmlformats.org/officeDocument/2006/relationships/hyperlink" Target="https://www.researchgate.net/publication/343165155_Sensitivity_Analysis_of_Net_Present_Value_due_to_Optimal_Pit_Limit_in_PT_Ceria_Nugraha_Indotama_Kolaka_Regency_Southeast_Sulawesi_Province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23" Type="http://schemas.openxmlformats.org/officeDocument/2006/relationships/hyperlink" Target="https://www.varunbeverages.com/annual-repor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KeKFe5cWodqOS6j4CiaV4oI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53cDZ6MTVhemR3ZG0yDmguNDYycXJscHYxOG8yMg5oLnhkYTRjM3poZ3ZsZzIOaC55enQ3bWZoa2RtNXgyDmguanR2OHN1aWFzZzFzMg5oLnFzYWxycGxla3RyNDIOaC4xcjR6d3JwNjZlZzQyDmguY3g5ZnQwbWR3dTF2Mg5oLmFrOHg4MXhldHZxcTIOaC50NGtqdHhxNHRsMXAyDmguaDllcndiY2l6cTl3Mg5oLncwdnpjcnV4cTllcjIOaC55enMwbXJlOXB4eXIyDWguazdqa2EwbTl4a3YyDmguYWp4d3VpbnVudDIyMg5oLjFjd2puZXZxMXdlcDIOaC44OWx0amZ0NjBpMzAyDmgubWZsaDMyamxhcjFtMg5oLnBranNiM2cxZXYyZDIOaC4yY2poZXBybTY4eWMyDmgucmFpcDhnOHd3cnIyMg5oLnNlazFwa3VrZTVrazIOaC41am52NXdzcGJlemsyDmguZXk2eHUyeGE4aDQ5Mg5oLmM3bnVqbWt4cnpsZDIOaC50bXV4emFkNm5icHAyDmgueWozZHIzdTI5Y2RiMg5oLjY5cG5zZzd3OHdwOTIOaC4xdHQzN2ZrdWdwODIyDmgueWtqZDM3OGFsMWdnMg5oLmx0M2F3YjloenBsZzIOaC4xbmJqNHdmZ21qb28yDmguNjBzMTkxc3Zwd2F4Mg5oLjJhMTY3Y3ExbnM5ZDIOaC5yZno2NGYyeGN5NWoyDmguZnAzM3V3Mmk2N2syOAByITFHUWZDczUzelN6Ry10dnVGaEhzNUdRb1htWU9LREVR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