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3A5F"/>
          <w:sz w:val="52"/>
          <w:szCs w:val="52"/>
        </w:rPr>
        <w:t xml:space="preserve">BANK LOAN / CREDIT RISK ANALYSIS</w:t>
      </w:r>
    </w:p>
    <w:p>
      <w:pPr>
        <w:spacing w:after="400"/>
        <w:jc w:val="center"/>
      </w:pPr>
      <w:r>
        <w:rPr>
          <w:rFonts w:ascii="Calibri" w:cs="Calibri" w:eastAsia="Calibri" w:hAnsi="Calibri"/>
          <w:color w:val="555555"/>
          <w:sz w:val="28"/>
          <w:szCs w:val="28"/>
        </w:rPr>
        <w:t xml:space="preserve">Understanding Default Patterns and the Factors that Drive Credit Risk</w:t>
      </w:r>
    </w:p>
    <w:p>
      <w:pPr>
        <w:spacing w:after="80"/>
        <w:jc w:val="center"/>
      </w:pPr>
      <w:r>
        <w:rPr>
          <w:rFonts w:ascii="Calibri" w:cs="Calibri" w:eastAsia="Calibri" w:hAnsi="Calibri"/>
          <w:b/>
          <w:bCs/>
          <w:sz w:val="26"/>
          <w:szCs w:val="26"/>
        </w:rPr>
        <w:t xml:space="preserve">Data Analytics Project Report</w:t>
      </w:r>
    </w:p>
    <w:p>
      <w:pPr>
        <w:spacing w:after="60" w:before="1200"/>
        <w:jc w:val="center"/>
      </w:pPr>
      <w:r>
        <w:rPr>
          <w:rFonts w:ascii="Calibri" w:cs="Calibri" w:eastAsia="Calibri" w:hAnsi="Calibri"/>
          <w:sz w:val="24"/>
          <w:szCs w:val="24"/>
        </w:rPr>
        <w:t xml:space="preserve">Prepared by: Ashutosh Kumar Singh</w:t>
      </w:r>
    </w:p>
    <w:p>
      <w:pPr>
        <w:spacing w:after="60"/>
        <w:jc w:val="center"/>
      </w:pPr>
      <w:r>
        <w:rPr>
          <w:rFonts w:ascii="Calibri" w:cs="Calibri" w:eastAsia="Calibri" w:hAnsi="Calibri"/>
          <w:color w:val="555555"/>
          <w:sz w:val="22"/>
          <w:szCs w:val="22"/>
        </w:rPr>
        <w:t xml:space="preserve">B.Tech CSE (Data Science)  |  Delhi, India</w:t>
      </w:r>
    </w:p>
    <w:p>
      <w:pPr>
        <w:spacing w:after="60"/>
        <w:jc w:val="center"/>
      </w:pPr>
      <w:r>
        <w:rPr>
          <w:rFonts w:ascii="Calibri" w:cs="Calibri" w:eastAsia="Calibri" w:hAnsi="Calibri"/>
          <w:color w:val="555555"/>
          <w:sz w:val="22"/>
          <w:szCs w:val="22"/>
        </w:rPr>
        <w:t xml:space="preserve">Tools: Python (Pandas, NumPy, Matplotlib, Seaborn, Scikit-learn), Jupyter</w:t>
      </w:r>
    </w:p>
    <w:p>
      <w:pPr>
        <w:spacing w:after="60"/>
        <w:jc w:val="center"/>
      </w:pPr>
      <w:r>
        <w:rPr>
          <w:rFonts w:ascii="Calibri" w:cs="Calibri" w:eastAsia="Calibri" w:hAnsi="Calibri"/>
          <w:color w:val="555555"/>
          <w:sz w:val="22"/>
          <w:szCs w:val="22"/>
        </w:rPr>
        <w:t xml:space="preserve">Dataset: Kaggle - Credit Risk Dataset (32,580 loans)</w:t>
      </w:r>
    </w:p>
    <w:p>
      <w:r>
        <w:br w:type="page"/>
      </w:r>
    </w:p>
    <w:p>
      <w:pPr>
        <w:pStyle w:val="Heading1"/>
      </w:pPr>
      <w:r>
        <w:rPr>
          <w:rFonts w:ascii="Calibri" w:cs="Calibri" w:eastAsia="Calibri" w:hAnsi="Calibri"/>
        </w:rPr>
        <w:t xml:space="preserve">Table of Contents</w:t>
      </w:r>
    </w:p>
    <w:p>
      <w:pPr>
        <w:spacing w:after="140"/>
      </w:pPr>
      <w:r>
        <w:rPr>
          <w:rFonts w:ascii="Calibri" w:cs="Calibri" w:eastAsia="Calibri" w:hAnsi="Calibri"/>
          <w:sz w:val="24"/>
          <w:szCs w:val="24"/>
        </w:rPr>
        <w:t xml:space="preserve">1. Executive Summary</w:t>
      </w:r>
    </w:p>
    <w:p>
      <w:pPr>
        <w:spacing w:after="140"/>
      </w:pPr>
      <w:r>
        <w:rPr>
          <w:rFonts w:ascii="Calibri" w:cs="Calibri" w:eastAsia="Calibri" w:hAnsi="Calibri"/>
          <w:sz w:val="24"/>
          <w:szCs w:val="24"/>
        </w:rPr>
        <w:t xml:space="preserve">2. Introduction &amp; Objectives</w:t>
      </w:r>
    </w:p>
    <w:p>
      <w:pPr>
        <w:spacing w:after="140"/>
      </w:pPr>
      <w:r>
        <w:rPr>
          <w:rFonts w:ascii="Calibri" w:cs="Calibri" w:eastAsia="Calibri" w:hAnsi="Calibri"/>
          <w:sz w:val="24"/>
          <w:szCs w:val="24"/>
        </w:rPr>
        <w:t xml:space="preserve">3. Dataset Description</w:t>
      </w:r>
    </w:p>
    <w:p>
      <w:pPr>
        <w:spacing w:after="140"/>
      </w:pPr>
      <w:r>
        <w:rPr>
          <w:rFonts w:ascii="Calibri" w:cs="Calibri" w:eastAsia="Calibri" w:hAnsi="Calibri"/>
          <w:sz w:val="24"/>
          <w:szCs w:val="24"/>
        </w:rPr>
        <w:t xml:space="preserve">4. Data Quality &amp; Cleaning</w:t>
      </w:r>
    </w:p>
    <w:p>
      <w:pPr>
        <w:spacing w:after="140"/>
      </w:pPr>
      <w:r>
        <w:rPr>
          <w:rFonts w:ascii="Calibri" w:cs="Calibri" w:eastAsia="Calibri" w:hAnsi="Calibri"/>
          <w:sz w:val="24"/>
          <w:szCs w:val="24"/>
        </w:rPr>
        <w:t xml:space="preserve">5. Portfolio Overview</w:t>
      </w:r>
    </w:p>
    <w:p>
      <w:pPr>
        <w:spacing w:after="140"/>
      </w:pPr>
      <w:r>
        <w:rPr>
          <w:rFonts w:ascii="Calibri" w:cs="Calibri" w:eastAsia="Calibri" w:hAnsi="Calibri"/>
          <w:sz w:val="24"/>
          <w:szCs w:val="24"/>
        </w:rPr>
        <w:t xml:space="preserve">6. Default Patterns by Category</w:t>
      </w:r>
    </w:p>
    <w:p>
      <w:pPr>
        <w:spacing w:after="140"/>
      </w:pPr>
      <w:r>
        <w:rPr>
          <w:rFonts w:ascii="Calibri" w:cs="Calibri" w:eastAsia="Calibri" w:hAnsi="Calibri"/>
          <w:sz w:val="24"/>
          <w:szCs w:val="24"/>
        </w:rPr>
        <w:t xml:space="preserve">7. Default Patterns by Numeric Factors</w:t>
      </w:r>
    </w:p>
    <w:p>
      <w:pPr>
        <w:spacing w:after="140"/>
      </w:pPr>
      <w:r>
        <w:rPr>
          <w:rFonts w:ascii="Calibri" w:cs="Calibri" w:eastAsia="Calibri" w:hAnsi="Calibri"/>
          <w:sz w:val="24"/>
          <w:szCs w:val="24"/>
        </w:rPr>
        <w:t xml:space="preserve">8. Correlation &amp; Combined Effects</w:t>
      </w:r>
    </w:p>
    <w:p>
      <w:pPr>
        <w:spacing w:after="140"/>
      </w:pPr>
      <w:r>
        <w:rPr>
          <w:rFonts w:ascii="Calibri" w:cs="Calibri" w:eastAsia="Calibri" w:hAnsi="Calibri"/>
          <w:sz w:val="24"/>
          <w:szCs w:val="24"/>
        </w:rPr>
        <w:t xml:space="preserve">9. Risk Scorecard</w:t>
      </w:r>
    </w:p>
    <w:p>
      <w:pPr>
        <w:spacing w:after="140"/>
      </w:pPr>
      <w:r>
        <w:rPr>
          <w:rFonts w:ascii="Calibri" w:cs="Calibri" w:eastAsia="Calibri" w:hAnsi="Calibri"/>
          <w:sz w:val="24"/>
          <w:szCs w:val="24"/>
        </w:rPr>
        <w:t xml:space="preserve">10. Predictive Modelling</w:t>
      </w:r>
    </w:p>
    <w:p>
      <w:pPr>
        <w:spacing w:after="140"/>
      </w:pPr>
      <w:r>
        <w:rPr>
          <w:rFonts w:ascii="Calibri" w:cs="Calibri" w:eastAsia="Calibri" w:hAnsi="Calibri"/>
          <w:sz w:val="24"/>
          <w:szCs w:val="24"/>
        </w:rPr>
        <w:t xml:space="preserve">11. Recommendations</w:t>
      </w:r>
    </w:p>
    <w:p>
      <w:pPr>
        <w:spacing w:after="140"/>
      </w:pPr>
      <w:r>
        <w:rPr>
          <w:rFonts w:ascii="Calibri" w:cs="Calibri" w:eastAsia="Calibri" w:hAnsi="Calibri"/>
          <w:sz w:val="24"/>
          <w:szCs w:val="24"/>
        </w:rPr>
        <w:t xml:space="preserve">12. Limitations &amp; Future Work</w:t>
      </w:r>
    </w:p>
    <w:p>
      <w:pPr>
        <w:spacing w:after="140"/>
      </w:pPr>
      <w:r>
        <w:rPr>
          <w:rFonts w:ascii="Calibri" w:cs="Calibri" w:eastAsia="Calibri" w:hAnsi="Calibri"/>
          <w:sz w:val="24"/>
          <w:szCs w:val="24"/>
        </w:rPr>
        <w:t xml:space="preserve">13. Conclusion</w:t>
      </w:r>
    </w:p>
    <w:p>
      <w:pPr>
        <w:pStyle w:val="Heading1"/>
        <w:pageBreakBefore/>
      </w:pPr>
      <w:r>
        <w:rPr>
          <w:rFonts w:ascii="Calibri" w:cs="Calibri" w:eastAsia="Calibri" w:hAnsi="Calibri"/>
        </w:rPr>
        <w:t xml:space="preserve">1. Executive Summary</w:t>
      </w:r>
    </w:p>
    <w:p>
      <w:pPr>
        <w:spacing w:after="120" w:line="300"/>
      </w:pPr>
      <w:r>
        <w:rPr>
          <w:rFonts w:ascii="Calibri" w:cs="Calibri" w:eastAsia="Calibri" w:hAnsi="Calibri"/>
          <w:sz w:val="22"/>
          <w:szCs w:val="22"/>
        </w:rPr>
        <w:t xml:space="preserve">This project analyses a public credit-risk dataset of 32,580 personal loans to understand which borrower and loan characteristics are associated with default. After cleaning, 32,411 loans were analysed. Of these, 21.9% (7,089 loans) defaulted, and defaulted loans represent about 24.8% of the total amount lent.</w:t>
      </w:r>
    </w:p>
    <w:p>
      <w:pPr>
        <w:spacing w:after="120" w:line="300"/>
      </w:pPr>
      <w:r>
        <w:rPr>
          <w:rFonts w:ascii="Calibri" w:cs="Calibri" w:eastAsia="Calibri" w:hAnsi="Calibri"/>
          <w:b/>
          <w:bCs/>
          <w:sz w:val="22"/>
          <w:szCs w:val="22"/>
        </w:rPr>
        <w:t xml:space="preserve">Key findings:</w:t>
      </w:r>
    </w:p>
    <w:p>
      <w:pPr>
        <w:pStyle w:val="ListParagraph"/>
        <w:numPr>
          <w:ilvl w:val="0"/>
          <w:numId w:val="2"/>
        </w:numPr>
        <w:spacing w:after="80" w:line="290"/>
      </w:pPr>
      <w:r>
        <w:rPr>
          <w:rFonts w:ascii="Calibri" w:cs="Calibri" w:eastAsia="Calibri" w:hAnsi="Calibri"/>
          <w:b/>
          <w:bCs/>
          <w:sz w:val="22"/>
          <w:szCs w:val="22"/>
        </w:rPr>
        <w:t xml:space="preserve">Loan-to-income ratio is the sharpest warning sign. </w:t>
      </w:r>
      <w:r>
        <w:rPr>
          <w:rFonts w:ascii="Calibri" w:cs="Calibri" w:eastAsia="Calibri" w:hAnsi="Calibri"/>
          <w:sz w:val="22"/>
          <w:szCs w:val="22"/>
        </w:rPr>
        <w:t xml:space="preserve">Default jumps from 22% to 69% once a loan exceeds 30% of the borrower's income.</w:t>
      </w:r>
    </w:p>
    <w:p>
      <w:pPr>
        <w:pStyle w:val="ListParagraph"/>
        <w:numPr>
          <w:ilvl w:val="0"/>
          <w:numId w:val="2"/>
        </w:numPr>
        <w:spacing w:after="80" w:line="290"/>
      </w:pPr>
      <w:r>
        <w:rPr>
          <w:rFonts w:ascii="Calibri" w:cs="Calibri" w:eastAsia="Calibri" w:hAnsi="Calibri"/>
          <w:b/>
          <w:bCs/>
          <w:sz w:val="22"/>
          <w:szCs w:val="22"/>
        </w:rPr>
        <w:t xml:space="preserve">Loan grade and interest rate behave as expected. </w:t>
      </w:r>
      <w:r>
        <w:rPr>
          <w:rFonts w:ascii="Calibri" w:cs="Calibri" w:eastAsia="Calibri" w:hAnsi="Calibri"/>
          <w:sz w:val="22"/>
          <w:szCs w:val="22"/>
        </w:rPr>
        <w:t xml:space="preserve">Default rises from 10% (grade A) to 59% (grade D) and 98% (grade G); rates above 14% are linked to 50-68% default.</w:t>
      </w:r>
    </w:p>
    <w:p>
      <w:pPr>
        <w:pStyle w:val="ListParagraph"/>
        <w:numPr>
          <w:ilvl w:val="0"/>
          <w:numId w:val="2"/>
        </w:numPr>
        <w:spacing w:after="80" w:line="290"/>
      </w:pPr>
      <w:r>
        <w:rPr>
          <w:rFonts w:ascii="Calibri" w:cs="Calibri" w:eastAsia="Calibri" w:hAnsi="Calibri"/>
          <w:b/>
          <w:bCs/>
          <w:sz w:val="22"/>
          <w:szCs w:val="22"/>
        </w:rPr>
        <w:t xml:space="preserve">Income and housing matter. </w:t>
      </w:r>
      <w:r>
        <w:rPr>
          <w:rFonts w:ascii="Calibri" w:cs="Calibri" w:eastAsia="Calibri" w:hAnsi="Calibri"/>
          <w:sz w:val="22"/>
          <w:szCs w:val="22"/>
        </w:rPr>
        <w:t xml:space="preserve">The lowest income quintile defaults at 43% versus 9% for the highest; renters default at 31.6% versus 7.5% for home-owners.</w:t>
      </w:r>
    </w:p>
    <w:p>
      <w:pPr>
        <w:pStyle w:val="ListParagraph"/>
        <w:numPr>
          <w:ilvl w:val="0"/>
          <w:numId w:val="2"/>
        </w:numPr>
        <w:spacing w:after="80" w:line="290"/>
      </w:pPr>
      <w:r>
        <w:rPr>
          <w:rFonts w:ascii="Calibri" w:cs="Calibri" w:eastAsia="Calibri" w:hAnsi="Calibri"/>
          <w:b/>
          <w:bCs/>
          <w:sz w:val="22"/>
          <w:szCs w:val="22"/>
        </w:rPr>
        <w:t xml:space="preserve">Loan purpose matters. </w:t>
      </w:r>
      <w:r>
        <w:rPr>
          <w:rFonts w:ascii="Calibri" w:cs="Calibri" w:eastAsia="Calibri" w:hAnsi="Calibri"/>
          <w:sz w:val="22"/>
          <w:szCs w:val="22"/>
        </w:rPr>
        <w:t xml:space="preserve">Debt consolidation (28.7%), medical (26.8%) and home improvement (26.2%) loans are riskiest; venture (14.9%) and education (17.3%) are the safest.</w:t>
      </w:r>
    </w:p>
    <w:p>
      <w:pPr>
        <w:pStyle w:val="ListParagraph"/>
        <w:numPr>
          <w:ilvl w:val="0"/>
          <w:numId w:val="2"/>
        </w:numPr>
        <w:spacing w:after="80" w:line="290"/>
      </w:pPr>
      <w:r>
        <w:rPr>
          <w:rFonts w:ascii="Calibri" w:cs="Calibri" w:eastAsia="Calibri" w:hAnsi="Calibri"/>
          <w:b/>
          <w:bCs/>
          <w:sz w:val="22"/>
          <w:szCs w:val="22"/>
        </w:rPr>
        <w:t xml:space="preserve">Prior default on file </w:t>
      </w:r>
      <w:r>
        <w:rPr>
          <w:rFonts w:ascii="Calibri" w:cs="Calibri" w:eastAsia="Calibri" w:hAnsi="Calibri"/>
          <w:sz w:val="22"/>
          <w:szCs w:val="22"/>
        </w:rPr>
        <w:t xml:space="preserve">doubles the risk (37.9% vs 18.4%). Age and credit-history length add almost no signal.</w:t>
      </w:r>
    </w:p>
    <w:p>
      <w:pPr>
        <w:pStyle w:val="ListParagraph"/>
        <w:numPr>
          <w:ilvl w:val="0"/>
          <w:numId w:val="2"/>
        </w:numPr>
        <w:spacing w:after="80" w:line="290"/>
      </w:pPr>
      <w:r>
        <w:rPr>
          <w:rFonts w:ascii="Calibri" w:cs="Calibri" w:eastAsia="Calibri" w:hAnsi="Calibri"/>
          <w:b/>
          <w:bCs/>
          <w:sz w:val="22"/>
          <w:szCs w:val="22"/>
        </w:rPr>
        <w:t xml:space="preserve">A simple 6-flag scorecard </w:t>
      </w:r>
      <w:r>
        <w:rPr>
          <w:rFonts w:ascii="Calibri" w:cs="Calibri" w:eastAsia="Calibri" w:hAnsi="Calibri"/>
          <w:sz w:val="22"/>
          <w:szCs w:val="22"/>
        </w:rPr>
        <w:t xml:space="preserve">separates borrowers cleanly: 4.4% default with zero flags, 99.1% with all six.</w:t>
      </w:r>
    </w:p>
    <w:p>
      <w:pPr>
        <w:pStyle w:val="ListParagraph"/>
        <w:numPr>
          <w:ilvl w:val="0"/>
          <w:numId w:val="2"/>
        </w:numPr>
        <w:spacing w:after="80" w:line="290"/>
      </w:pPr>
      <w:r>
        <w:rPr>
          <w:rFonts w:ascii="Calibri" w:cs="Calibri" w:eastAsia="Calibri" w:hAnsi="Calibri"/>
          <w:b/>
          <w:bCs/>
          <w:sz w:val="22"/>
          <w:szCs w:val="22"/>
        </w:rPr>
        <w:t xml:space="preserve">Predictive models </w:t>
      </w:r>
      <w:r>
        <w:rPr>
          <w:rFonts w:ascii="Calibri" w:cs="Calibri" w:eastAsia="Calibri" w:hAnsi="Calibri"/>
          <w:sz w:val="22"/>
          <w:szCs w:val="22"/>
        </w:rPr>
        <w:t xml:space="preserve">reach AUC of 0.93 (Random Forest) and 0.92 (Gradient Boosting), versus 0.87 for Logistic Regression.</w:t>
      </w:r>
    </w:p>
    <w:p>
      <w:pPr>
        <w:pStyle w:val="Heading1"/>
        <w:pageBreakBefore/>
      </w:pPr>
      <w:r>
        <w:rPr>
          <w:rFonts w:ascii="Calibri" w:cs="Calibri" w:eastAsia="Calibri" w:hAnsi="Calibri"/>
        </w:rPr>
        <w:t xml:space="preserve">2. Introduction &amp; Objectives</w:t>
      </w:r>
    </w:p>
    <w:p>
      <w:pPr>
        <w:spacing w:after="120" w:line="300"/>
      </w:pPr>
      <w:r>
        <w:rPr>
          <w:rFonts w:ascii="Calibri" w:cs="Calibri" w:eastAsia="Calibri" w:hAnsi="Calibri"/>
          <w:sz w:val="22"/>
          <w:szCs w:val="22"/>
        </w:rPr>
        <w:t xml:space="preserve">Lending is a risk business. Every loan approved carries the possibility that the borrower will not repay, and the cost of that default is borne by the lender. Credit risk analysis helps a bank decide who to lend to, how much, and at what price. Analysts in banks, NBFCs and fintech companies routinely study historical loan performance to find the patterns that separate good borrowers from bad ones.</w:t>
      </w:r>
    </w:p>
    <w:p>
      <w:pPr>
        <w:spacing w:after="120" w:line="300"/>
      </w:pPr>
      <w:r>
        <w:rPr>
          <w:rFonts w:ascii="Calibri" w:cs="Calibri" w:eastAsia="Calibri" w:hAnsi="Calibri"/>
          <w:sz w:val="22"/>
          <w:szCs w:val="22"/>
        </w:rPr>
        <w:t xml:space="preserve">This project applies the data analyst workflow - data quality checks, cleaning, exploratory analysis, segmentation, simple scorecard design and predictive modelling - to a finance-domain dataset.</w:t>
      </w:r>
    </w:p>
    <w:p>
      <w:pPr>
        <w:pStyle w:val="Heading2"/>
      </w:pPr>
      <w:r>
        <w:rPr>
          <w:rFonts w:ascii="Calibri" w:cs="Calibri" w:eastAsia="Calibri" w:hAnsi="Calibri"/>
        </w:rPr>
        <w:t xml:space="preserve">2.1 Business questions</w:t>
      </w:r>
    </w:p>
    <w:p>
      <w:pPr>
        <w:pStyle w:val="ListParagraph"/>
        <w:numPr>
          <w:ilvl w:val="0"/>
          <w:numId w:val="2"/>
        </w:numPr>
        <w:spacing w:after="80" w:line="290"/>
      </w:pPr>
      <w:r>
        <w:rPr>
          <w:rFonts w:ascii="Calibri" w:cs="Calibri" w:eastAsia="Calibri" w:hAnsi="Calibri"/>
          <w:sz w:val="22"/>
          <w:szCs w:val="22"/>
        </w:rPr>
        <w:t xml:space="preserve">What share of loans default and how much money is exposed?</w:t>
      </w:r>
    </w:p>
    <w:p>
      <w:pPr>
        <w:pStyle w:val="ListParagraph"/>
        <w:numPr>
          <w:ilvl w:val="0"/>
          <w:numId w:val="2"/>
        </w:numPr>
        <w:spacing w:after="80" w:line="290"/>
      </w:pPr>
      <w:r>
        <w:rPr>
          <w:rFonts w:ascii="Calibri" w:cs="Calibri" w:eastAsia="Calibri" w:hAnsi="Calibri"/>
          <w:sz w:val="22"/>
          <w:szCs w:val="22"/>
        </w:rPr>
        <w:t xml:space="preserve">Which borrower and loan attributes are most strongly related to default?</w:t>
      </w:r>
    </w:p>
    <w:p>
      <w:pPr>
        <w:pStyle w:val="ListParagraph"/>
        <w:numPr>
          <w:ilvl w:val="0"/>
          <w:numId w:val="2"/>
        </w:numPr>
        <w:spacing w:after="80" w:line="290"/>
      </w:pPr>
      <w:r>
        <w:rPr>
          <w:rFonts w:ascii="Calibri" w:cs="Calibri" w:eastAsia="Calibri" w:hAnsi="Calibri"/>
          <w:sz w:val="22"/>
          <w:szCs w:val="22"/>
        </w:rPr>
        <w:t xml:space="preserve">Do risk factors compound when they appear together?</w:t>
      </w:r>
    </w:p>
    <w:p>
      <w:pPr>
        <w:pStyle w:val="ListParagraph"/>
        <w:numPr>
          <w:ilvl w:val="0"/>
          <w:numId w:val="2"/>
        </w:numPr>
        <w:spacing w:after="80" w:line="290"/>
      </w:pPr>
      <w:r>
        <w:rPr>
          <w:rFonts w:ascii="Calibri" w:cs="Calibri" w:eastAsia="Calibri" w:hAnsi="Calibri"/>
          <w:sz w:val="22"/>
          <w:szCs w:val="22"/>
        </w:rPr>
        <w:t xml:space="preserve">How accurately can default be predicted using these attributes?</w:t>
      </w:r>
    </w:p>
    <w:p>
      <w:pPr>
        <w:pStyle w:val="ListParagraph"/>
        <w:numPr>
          <w:ilvl w:val="0"/>
          <w:numId w:val="2"/>
        </w:numPr>
        <w:spacing w:after="80" w:line="290"/>
      </w:pPr>
      <w:r>
        <w:rPr>
          <w:rFonts w:ascii="Calibri" w:cs="Calibri" w:eastAsia="Calibri" w:hAnsi="Calibri"/>
          <w:sz w:val="22"/>
          <w:szCs w:val="22"/>
        </w:rPr>
        <w:t xml:space="preserve">What practical lending recommendations follow from the evidence?</w:t>
      </w:r>
    </w:p>
    <w:p>
      <w:pPr>
        <w:pStyle w:val="Heading2"/>
      </w:pPr>
      <w:r>
        <w:rPr>
          <w:rFonts w:ascii="Calibri" w:cs="Calibri" w:eastAsia="Calibri" w:hAnsi="Calibri"/>
        </w:rPr>
        <w:t xml:space="preserve">2.2 Scope</w:t>
      </w:r>
    </w:p>
    <w:p>
      <w:pPr>
        <w:spacing w:after="120" w:line="300"/>
      </w:pPr>
      <w:r>
        <w:rPr>
          <w:rFonts w:ascii="Calibri" w:cs="Calibri" w:eastAsia="Calibri" w:hAnsi="Calibri"/>
          <w:sz w:val="22"/>
          <w:szCs w:val="22"/>
        </w:rPr>
        <w:t xml:space="preserve">The analysis is descriptive and diagnostic: it shows where defaults concentrate and which variables are associated with them. Associations are not proof of cause; for example, low income and default move together, but this analysis does not prove that low income causes default.</w:t>
      </w:r>
    </w:p>
    <w:p>
      <w:pPr>
        <w:pStyle w:val="Heading1"/>
        <w:pageBreakBefore/>
      </w:pPr>
      <w:r>
        <w:rPr>
          <w:rFonts w:ascii="Calibri" w:cs="Calibri" w:eastAsia="Calibri" w:hAnsi="Calibri"/>
        </w:rPr>
        <w:t xml:space="preserve">3. Dataset Description</w:t>
      </w:r>
    </w:p>
    <w:p>
      <w:pPr>
        <w:spacing w:after="120" w:line="300"/>
      </w:pPr>
      <w:r>
        <w:rPr>
          <w:rFonts w:ascii="Calibri" w:cs="Calibri" w:eastAsia="Calibri" w:hAnsi="Calibri"/>
          <w:sz w:val="22"/>
          <w:szCs w:val="22"/>
        </w:rPr>
        <w:t xml:space="preserve">The data is the "Credit Risk Dataset" published on Kaggle, a table of personal loans with borrower demographics, loan terms and the final loan outcome. Each row is one loan. The file used here is stored in the project folder under data/credit_risk_dataset.csv.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9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person_age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Borrower age in years</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person_income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Annual income</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person_home_ownership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RENT, MORTGAGE, OWN, OTHER</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person_emp_length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Employment length in years</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loan_intent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Purpose: education, medical, venture, personal, home improvement, debt consolidation</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loan_grade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Lender-assigned grade A (best) to G (worst)</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loan_amnt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 amount</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loan_int_rate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Interest rate (%)</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loan_status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Binary target</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 default, 0 = repaid</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loan_percent_income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 amount divided by income</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cb_person_default_on_file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Prior default on credit bureau record (Y/N)</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cb_person_cred_hist_length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Credit history length in years</w:t>
            </w:r>
          </w:p>
        </w:tc>
      </w:tr>
    </w:tbl>
    <w:p>
      <w:pPr>
        <w:spacing w:after="120"/>
      </w:pPr>
    </w:p>
    <w:p>
      <w:pPr>
        <w:pStyle w:val="Heading2"/>
      </w:pPr>
      <w:r>
        <w:rPr>
          <w:rFonts w:ascii="Calibri" w:cs="Calibri" w:eastAsia="Calibri" w:hAnsi="Calibri"/>
        </w:rPr>
        <w:t xml:space="preserve">3.1 Important note on the data</w:t>
      </w:r>
    </w:p>
    <w:p>
      <w:pPr>
        <w:spacing w:after="120" w:line="300"/>
      </w:pPr>
      <w:r>
        <w:rPr>
          <w:rFonts w:ascii="Calibri" w:cs="Calibri" w:eastAsia="Calibri" w:hAnsi="Calibri"/>
          <w:sz w:val="22"/>
          <w:szCs w:val="22"/>
        </w:rPr>
        <w:t xml:space="preserve">This dataset is a cleaned public sample that is widely understood to be simulated rather than taken from a specific bank's books. Patterns here are therefore useful for demonstrating analytical method, but should not be presented as real-world lending statistics for any institution. Also, loan_grade and loan_int_rate are decisions made by the lender itself, so they partly reflect risk that the lender had already identified.</w:t>
      </w:r>
    </w:p>
    <w:p>
      <w:pPr>
        <w:pStyle w:val="Heading1"/>
        <w:pageBreakBefore/>
      </w:pPr>
      <w:r>
        <w:rPr>
          <w:rFonts w:ascii="Calibri" w:cs="Calibri" w:eastAsia="Calibri" w:hAnsi="Calibri"/>
        </w:rPr>
        <w:t xml:space="preserve">4. Data Quality &amp; Cleaning</w:t>
      </w:r>
    </w:p>
    <w:p>
      <w:pPr>
        <w:pStyle w:val="Heading2"/>
      </w:pPr>
      <w:r>
        <w:rPr>
          <w:rFonts w:ascii="Calibri" w:cs="Calibri" w:eastAsia="Calibri" w:hAnsi="Calibri"/>
        </w:rPr>
        <w:t xml:space="preserve">4.1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48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Action taken</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Missing person_emp_length</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895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Filled with median; flag column emp_length_missing added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Missing loan_int_rate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3,116</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Filled with median of the same loan grade (rate depends on grade); flag int_rate_missing added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Duplicate rows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Removed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Impossible ages (123, 144)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Rows removed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Employment length of 123 years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Set to missing, then median-filled</w:t>
            </w:r>
          </w:p>
        </w:tc>
      </w:tr>
    </w:tbl>
    <w:p>
      <w:pPr>
        <w:spacing w:after="120"/>
      </w:pPr>
    </w:p>
    <w:p>
      <w:pPr>
        <w:spacing w:after="120" w:line="300"/>
      </w:pPr>
      <w:r>
        <w:rPr>
          <w:rFonts w:ascii="Calibri" w:cs="Calibri" w:eastAsia="Calibri" w:hAnsi="Calibri"/>
          <w:sz w:val="22"/>
          <w:szCs w:val="22"/>
        </w:rPr>
        <w:t xml:space="preserve">After cleaning, 32,411 rows remained. The cleaned file is saved as data/credit_risk_cleaned.csv.</w:t>
      </w:r>
    </w:p>
    <w:p>
      <w:pPr>
        <w:pStyle w:val="Heading2"/>
      </w:pPr>
      <w:r>
        <w:rPr>
          <w:rFonts w:ascii="Calibri" w:cs="Calibri" w:eastAsia="Calibri" w:hAnsi="Calibri"/>
        </w:rPr>
        <w:t xml:space="preserve">4.2 Why these choices</w:t>
      </w:r>
    </w:p>
    <w:p>
      <w:pPr>
        <w:spacing w:after="120" w:line="300"/>
      </w:pPr>
      <w:r>
        <w:rPr>
          <w:rFonts w:ascii="Calibri" w:cs="Calibri" w:eastAsia="Calibri" w:hAnsi="Calibri"/>
          <w:sz w:val="22"/>
          <w:szCs w:val="22"/>
        </w:rPr>
        <w:t xml:space="preserve">Interest rate is strongly tied to loan grade, so a grade-level median is a more faithful fill than a single overall median. Missing-value flags were kept as features because the fact that a value was missing can itself carry information. Income outliers (up to about 2 million) were retained in the data because they are plausible and the analysis uses quintiles and medians that are robust to them.</w:t>
      </w:r>
    </w:p>
    <w:p>
      <w:pPr>
        <w:spacing w:after="60" w:before="120"/>
        <w:jc w:val="center"/>
      </w:pPr>
      <w:r>
        <w:drawing>
          <wp:inline distT="0" distB="0" distL="0" distR="0">
            <wp:extent cx="5334000" cy="2476500"/>
            <wp:effectExtent t="0" r="0" b="0" l="0"/>
            <wp:docPr id="1" name="02_distributions.png" descr="Figure 1: Distribution of numeric variables after cleaning" title="Figure 1: Distribution of numeric variables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Distribution of numeric variables after cleaning</w:t>
      </w:r>
    </w:p>
    <w:p>
      <w:pPr>
        <w:pStyle w:val="Heading1"/>
        <w:pageBreakBefore/>
      </w:pPr>
      <w:r>
        <w:rPr>
          <w:rFonts w:ascii="Calibri" w:cs="Calibri" w:eastAsia="Calibri" w:hAnsi="Calibri"/>
        </w:rPr>
        <w:t xml:space="preserve">5. Portfolio Overview</w:t>
      </w:r>
    </w:p>
    <w:p>
      <w:pPr>
        <w:spacing w:after="120" w:line="300"/>
      </w:pPr>
      <w:r>
        <w:rPr>
          <w:rFonts w:ascii="Calibri" w:cs="Calibri" w:eastAsia="Calibri" w:hAnsi="Calibri"/>
          <w:sz w:val="22"/>
          <w:szCs w:val="22"/>
        </w:rPr>
        <w:t xml:space="preserve">Out of 32,411 loans, 7,089 defaulted - a default rate of 21.9%. The classes are imbalanced (roughly 4 repaid loans for every 1 default), which matters later when judging models: a model that predicts "repaid" for everyone would be about 78% accurate yet useless.</w:t>
      </w:r>
    </w:p>
    <w:p>
      <w:pPr>
        <w:spacing w:after="60" w:before="120"/>
        <w:jc w:val="center"/>
      </w:pPr>
      <w:r>
        <w:drawing>
          <wp:inline distT="0" distB="0" distL="0" distR="0">
            <wp:extent cx="2857500" cy="2286000"/>
            <wp:effectExtent t="0" r="0" b="0" l="0"/>
            <wp:docPr id="1" name="01_target_split.png" descr="Figure 2: Loan outcome split" title="Figure 2: Loan outcom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Loan outcome split</w:t>
      </w:r>
    </w:p>
    <w:p>
      <w:pPr>
        <w:spacing w:after="120" w:line="300"/>
      </w:pPr>
      <w:r>
        <w:rPr>
          <w:rFonts w:ascii="Calibri" w:cs="Calibri" w:eastAsia="Calibri" w:hAnsi="Calibri"/>
          <w:sz w:val="22"/>
          <w:szCs w:val="22"/>
        </w:rPr>
        <w:t xml:space="preserve">The total value of loans in the dataset is about 311 million, of which about 77 million (24.8%) was lent to borrowers who later defaulted. Defaulters tend to take slightly larger loans, so the share of money at risk is higher than the share of loans.</w:t>
      </w:r>
    </w:p>
    <w:p>
      <w:pPr>
        <w:pStyle w:val="Heading2"/>
      </w:pPr>
      <w:r>
        <w:rPr>
          <w:rFonts w:ascii="Calibri" w:cs="Calibri" w:eastAsia="Calibri" w:hAnsi="Calibri"/>
        </w:rPr>
        <w:t xml:space="preserve">5.1 Defaulters versus repaying borrowers (medians)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c>
          <w:tcPr>
            <w:tcW w:type="dxa" w:w="26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Repaid</w:t>
            </w:r>
          </w:p>
        </w:tc>
        <w:tc>
          <w:tcPr>
            <w:tcW w:type="dxa" w:w="26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Defaulted</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Annual income</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60,000</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41,682</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 as % of income</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Interest rate</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10.65%</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13.48%</w:t>
            </w:r>
          </w:p>
        </w:tc>
      </w:tr>
    </w:tbl>
    <w:p>
      <w:pPr>
        <w:spacing w:after="120"/>
      </w:pPr>
    </w:p>
    <w:p>
      <w:pPr>
        <w:spacing w:after="60" w:before="120"/>
        <w:jc w:val="center"/>
      </w:pPr>
      <w:r>
        <w:drawing>
          <wp:inline distT="0" distB="0" distL="0" distR="0">
            <wp:extent cx="4953000" cy="1647825"/>
            <wp:effectExtent t="0" r="0" b="0" l="0"/>
            <wp:docPr id="1" name="11_boxplots.png" descr="Figure 3: Interest rate, loan-to-income and income by outcome" title="Figure 3: Interest rate, loan-to-income and income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Interest rate, loan-to-income and income by outcome</w:t>
      </w:r>
    </w:p>
    <w:p>
      <w:pPr>
        <w:spacing w:after="120" w:line="300"/>
      </w:pPr>
      <w:r>
        <w:rPr>
          <w:rFonts w:ascii="Calibri" w:cs="Calibri" w:eastAsia="Calibri" w:hAnsi="Calibri"/>
          <w:sz w:val="22"/>
          <w:szCs w:val="22"/>
        </w:rPr>
        <w:t xml:space="preserve">The typical defaulter earns about 30% less, borrows nearly twice as much relative to income, and pays about 2.8 percentage points more in interest.</w:t>
      </w:r>
    </w:p>
    <w:p>
      <w:pPr>
        <w:pStyle w:val="Heading1"/>
        <w:pageBreakBefore/>
      </w:pPr>
      <w:r>
        <w:rPr>
          <w:rFonts w:ascii="Calibri" w:cs="Calibri" w:eastAsia="Calibri" w:hAnsi="Calibri"/>
        </w:rPr>
        <w:t xml:space="preserve">6. Default Patterns by Category</w:t>
      </w:r>
    </w:p>
    <w:p>
      <w:pPr>
        <w:pStyle w:val="Heading2"/>
      </w:pPr>
      <w:r>
        <w:rPr>
          <w:rFonts w:ascii="Calibri" w:cs="Calibri" w:eastAsia="Calibri" w:hAnsi="Calibri"/>
        </w:rPr>
        <w:t xml:space="preserve">6.1 Loan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Grade</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10,703</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10,384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6,436</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3,620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59.1%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963</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241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70.5%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G</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98.4%</w:t>
            </w:r>
          </w:p>
        </w:tc>
      </w:tr>
    </w:tbl>
    <w:p>
      <w:pPr>
        <w:spacing w:after="60" w:before="120"/>
        <w:jc w:val="center"/>
      </w:pPr>
      <w:r>
        <w:drawing>
          <wp:inline distT="0" distB="0" distL="0" distR="0">
            <wp:extent cx="4381500" cy="2505075"/>
            <wp:effectExtent t="0" r="0" b="0" l="0"/>
            <wp:docPr id="1" name="03_default_by_grade.png" descr="Figure 4: Default rate by loan grade" title="Figure 4: Default rate by loan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Default rate by loan grade</w:t>
      </w:r>
    </w:p>
    <w:p>
      <w:pPr>
        <w:spacing w:after="120" w:line="300"/>
      </w:pPr>
      <w:r>
        <w:rPr>
          <w:rFonts w:ascii="Calibri" w:cs="Calibri" w:eastAsia="Calibri" w:hAnsi="Calibri"/>
          <w:sz w:val="22"/>
          <w:szCs w:val="22"/>
        </w:rPr>
        <w:t xml:space="preserve">Grades A to C sit between 10% and 21%, then default more than doubles at grade D (59%). Grades D to G hold only about 15% of loans but a disproportionate share of defaults. Grade G is almost a guaranteed default, although with only 64 loans this should be read cautiously.</w:t>
      </w:r>
    </w:p>
    <w:p>
      <w:pPr>
        <w:pStyle w:val="Heading2"/>
      </w:pPr>
      <w:r>
        <w:rPr>
          <w:rFonts w:ascii="Calibri" w:cs="Calibri" w:eastAsia="Calibri" w:hAnsi="Calibri"/>
        </w:rPr>
        <w:t xml:space="preserve">6.2 Home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Home ownership</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MORTGAGE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13,367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OWN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2,563</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RENT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16,375</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31.6%</w:t>
            </w:r>
          </w:p>
        </w:tc>
      </w:tr>
    </w:tbl>
    <w:p>
      <w:pPr>
        <w:spacing w:after="60" w:before="120"/>
        <w:jc w:val="center"/>
      </w:pPr>
      <w:r>
        <w:drawing>
          <wp:inline distT="0" distB="0" distL="0" distR="0">
            <wp:extent cx="4381500" cy="2505075"/>
            <wp:effectExtent t="0" r="0" b="0" l="0"/>
            <wp:docPr id="1" name="04_default_by_home.png" descr="Figure 5: Default rate by home ownership" title="Figure 5: Default rate by home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Default rate by home ownership</w:t>
      </w:r>
    </w:p>
    <w:p>
      <w:pPr>
        <w:spacing w:after="120" w:line="300"/>
      </w:pPr>
      <w:r>
        <w:rPr>
          <w:rFonts w:ascii="Calibri" w:cs="Calibri" w:eastAsia="Calibri" w:hAnsi="Calibri"/>
          <w:sz w:val="22"/>
          <w:szCs w:val="22"/>
        </w:rPr>
        <w:t xml:space="preserve">Renters are four times more likely to default than owners. Mortgage holders sit in between. A plausible reading is that housing status acts as a proxy for financial stability and assets, though the dataset cannot confirm the mechanism.</w:t>
      </w:r>
    </w:p>
    <w:p>
      <w:pPr>
        <w:pStyle w:val="Heading2"/>
      </w:pPr>
      <w:r>
        <w:rPr>
          <w:rFonts w:ascii="Calibri" w:cs="Calibri" w:eastAsia="Calibri" w:hAnsi="Calibri"/>
        </w:rPr>
        <w:t xml:space="preserve">6.3 Loan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 purpose</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DEBTCONSOLIDATION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5,189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28.7%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EDUCATION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6,409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HOMEIMPROVEMENT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3,594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26.2%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MEDICAL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6,042</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26.8%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PERSONAL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5,497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VENTURE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5,680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14.9%</w:t>
            </w:r>
          </w:p>
        </w:tc>
      </w:tr>
    </w:tbl>
    <w:p>
      <w:pPr>
        <w:spacing w:after="60" w:before="120"/>
        <w:jc w:val="center"/>
      </w:pPr>
      <w:r>
        <w:drawing>
          <wp:inline distT="0" distB="0" distL="0" distR="0">
            <wp:extent cx="4381500" cy="2505075"/>
            <wp:effectExtent t="0" r="0" b="0" l="0"/>
            <wp:docPr id="1" name="05_default_by_intent.png" descr="Figure 6: Default rate by loan purpose" title="Figure 6: Default rate by loa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Default rate by loan purpose</w:t>
      </w:r>
    </w:p>
    <w:p>
      <w:pPr>
        <w:spacing w:after="120" w:line="300"/>
      </w:pPr>
      <w:r>
        <w:rPr>
          <w:rFonts w:ascii="Calibri" w:cs="Calibri" w:eastAsia="Calibri" w:hAnsi="Calibri"/>
          <w:sz w:val="22"/>
          <w:szCs w:val="22"/>
        </w:rPr>
        <w:t xml:space="preserve">Loans taken to consolidate debt, or for medical and home-improvement needs, default more often than loans for education or ventures. Debt consolidation and medical loans are often taken under financial pressure, which is consistent with their higher risk.</w:t>
      </w:r>
    </w:p>
    <w:p>
      <w:pPr>
        <w:pStyle w:val="Heading2"/>
      </w:pPr>
      <w:r>
        <w:rPr>
          <w:rFonts w:ascii="Calibri" w:cs="Calibri" w:eastAsia="Calibri" w:hAnsi="Calibri"/>
        </w:rPr>
        <w:t xml:space="preserve">6.4 Prior default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Prior default</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26,681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5,730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37.9%</w:t>
            </w:r>
          </w:p>
        </w:tc>
      </w:tr>
    </w:tbl>
    <w:p>
      <w:pPr>
        <w:spacing w:after="60" w:before="120"/>
        <w:jc w:val="center"/>
      </w:pPr>
      <w:r>
        <w:drawing>
          <wp:inline distT="0" distB="0" distL="0" distR="0">
            <wp:extent cx="3810000" cy="2181225"/>
            <wp:effectExtent t="0" r="0" b="0" l="0"/>
            <wp:docPr id="1" name="06_default_by_prior.png" descr="Figure 7: Default rate by prior default record" title="Figure 7: Default rate by prior defaul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181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Default rate by prior default record</w:t>
      </w:r>
    </w:p>
    <w:p>
      <w:pPr>
        <w:spacing w:after="120" w:line="300"/>
      </w:pPr>
      <w:r>
        <w:rPr>
          <w:rFonts w:ascii="Calibri" w:cs="Calibri" w:eastAsia="Calibri" w:hAnsi="Calibri"/>
          <w:sz w:val="22"/>
          <w:szCs w:val="22"/>
        </w:rPr>
        <w:t xml:space="preserve">A borrower with a previous default is about twice as likely to default again. This is a cheap, reliable flag for underwriting teams.</w:t>
      </w:r>
    </w:p>
    <w:p>
      <w:pPr>
        <w:pStyle w:val="Heading1"/>
        <w:pageBreakBefore/>
      </w:pPr>
      <w:r>
        <w:rPr>
          <w:rFonts w:ascii="Calibri" w:cs="Calibri" w:eastAsia="Calibri" w:hAnsi="Calibri"/>
        </w:rPr>
        <w:t xml:space="preserve">7. Default Patterns by Numeric Factors</w:t>
      </w:r>
    </w:p>
    <w:p>
      <w:pPr>
        <w:pStyle w:val="Heading2"/>
      </w:pPr>
      <w:r>
        <w:rPr>
          <w:rFonts w:ascii="Calibri" w:cs="Calibri" w:eastAsia="Calibri" w:hAnsi="Calibri"/>
        </w:rPr>
        <w:t xml:space="preserve">7.1 Loan-to-income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 as % of income</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10,427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10-20%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11,999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20-30%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6,166</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22.0%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30-40%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2,700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68.9%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1,119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74.2%</w:t>
            </w:r>
          </w:p>
        </w:tc>
      </w:tr>
    </w:tbl>
    <w:p>
      <w:pPr>
        <w:spacing w:after="60" w:before="120"/>
        <w:jc w:val="center"/>
      </w:pPr>
      <w:r>
        <w:drawing>
          <wp:inline distT="0" distB="0" distL="0" distR="0">
            <wp:extent cx="4381500" cy="2505075"/>
            <wp:effectExtent t="0" r="0" b="0" l="0"/>
            <wp:docPr id="1" name="07_default_by_lti.png" descr="Figure 8: Default rate by loan-to-income ratio" title="Figure 8: Default rate by loan-to-incom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Default rate by loan-to-income ratio</w:t>
      </w:r>
    </w:p>
    <w:p>
      <w:pPr>
        <w:spacing w:after="120" w:line="300"/>
      </w:pPr>
      <w:r>
        <w:rPr>
          <w:rFonts w:ascii="Calibri" w:cs="Calibri" w:eastAsia="Calibri" w:hAnsi="Calibri"/>
          <w:sz w:val="22"/>
          <w:szCs w:val="22"/>
        </w:rPr>
        <w:t xml:space="preserve">This is the clearest threshold in the data. Up to 30% of income, default rises gradually from 12% to 22%. Beyond 30% it leaps to 69% and 74%. It is an affordability measure: a borrower asked to repay more than three-tenths of a year's income struggles to do so.</w:t>
      </w:r>
    </w:p>
    <w:p>
      <w:pPr>
        <w:pStyle w:val="Heading2"/>
      </w:pPr>
      <w:r>
        <w:rPr>
          <w:rFonts w:ascii="Calibri" w:cs="Calibri" w:eastAsia="Calibri" w:hAnsi="Calibri"/>
        </w:rPr>
        <w:t xml:space="preserve">7.2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Income quintile</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Q1 (lowest)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6,591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43.3%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6,508</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6,367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6,484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Q5 (highest)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6,461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9.2%</w:t>
            </w:r>
          </w:p>
        </w:tc>
      </w:tr>
    </w:tbl>
    <w:p>
      <w:pPr>
        <w:spacing w:after="60" w:before="120"/>
        <w:jc w:val="center"/>
      </w:pPr>
      <w:r>
        <w:drawing>
          <wp:inline distT="0" distB="0" distL="0" distR="0">
            <wp:extent cx="4381500" cy="2505075"/>
            <wp:effectExtent t="0" r="0" b="0" l="0"/>
            <wp:docPr id="1" name="08_default_by_income.png" descr="Figure 9: Default rate by income quintile" title="Figure 9: Default rate by income quin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Default rate by income quintile</w:t>
      </w:r>
    </w:p>
    <w:p>
      <w:pPr>
        <w:spacing w:after="120" w:line="300"/>
      </w:pPr>
      <w:r>
        <w:rPr>
          <w:rFonts w:ascii="Calibri" w:cs="Calibri" w:eastAsia="Calibri" w:hAnsi="Calibri"/>
          <w:sz w:val="22"/>
          <w:szCs w:val="22"/>
        </w:rPr>
        <w:t xml:space="preserve">Risk falls steadily as income rises, from 43% in the lowest fifth to 9% in the highest.</w:t>
      </w:r>
    </w:p>
    <w:p>
      <w:pPr>
        <w:pStyle w:val="Heading2"/>
      </w:pPr>
      <w:r>
        <w:rPr>
          <w:rFonts w:ascii="Calibri" w:cs="Calibri" w:eastAsia="Calibri" w:hAnsi="Calibri"/>
        </w:rPr>
        <w:t xml:space="preserve">7.3 Interest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Interest rate</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&lt;8%</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8,896</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8-11%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7,967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11-14%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9,564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14-17%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5,111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49.8%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873</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68.3%</w:t>
            </w:r>
          </w:p>
        </w:tc>
      </w:tr>
    </w:tbl>
    <w:p>
      <w:pPr>
        <w:spacing w:after="60" w:before="120"/>
        <w:jc w:val="center"/>
      </w:pPr>
      <w:r>
        <w:drawing>
          <wp:inline distT="0" distB="0" distL="0" distR="0">
            <wp:extent cx="4381500" cy="2505075"/>
            <wp:effectExtent t="0" r="0" b="0" l="0"/>
            <wp:docPr id="1" name="09_default_by_rate.png" descr="Figure 10: Default rate by interest-rate band" title="Figure 10: Default rate by interest-rat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Default rate by interest-rate band</w:t>
      </w:r>
    </w:p>
    <w:p>
      <w:pPr>
        <w:spacing w:after="120" w:line="300"/>
      </w:pPr>
      <w:r>
        <w:rPr>
          <w:rFonts w:ascii="Calibri" w:cs="Calibri" w:eastAsia="Calibri" w:hAnsi="Calibri"/>
          <w:sz w:val="22"/>
          <w:szCs w:val="22"/>
        </w:rPr>
        <w:t xml:space="preserve">Higher rates go with higher default. This follows partly from pricing: the lender already charges more to borrowers it judges risky. Raising rates does not cause default here; it reflects risk already seen.</w:t>
      </w:r>
    </w:p>
    <w:p>
      <w:pPr>
        <w:pStyle w:val="Heading2"/>
      </w:pPr>
      <w:r>
        <w:rPr>
          <w:rFonts w:ascii="Calibri" w:cs="Calibri" w:eastAsia="Calibri" w:hAnsi="Calibri"/>
        </w:rPr>
        <w:t xml:space="preserve">7.4 Age and employment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Age band</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20-24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12,222</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25-29</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11,142</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21.4%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30-34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4,973</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35-44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3,320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754</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22.7%</w:t>
            </w:r>
          </w:p>
        </w:tc>
      </w:tr>
    </w:tbl>
    <w:p>
      <w:pPr>
        <w:spacing w:after="60" w:before="120"/>
        <w:jc w:val="center"/>
      </w:pPr>
      <w:r>
        <w:drawing>
          <wp:inline distT="0" distB="0" distL="0" distR="0">
            <wp:extent cx="4381500" cy="2505075"/>
            <wp:effectExtent t="0" r="0" b="0" l="0"/>
            <wp:docPr id="1" name="10_default_by_age.png" descr="Figure 11: Default rate by age band" title="Figure 11: Default rate by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Default rate by age band</w:t>
      </w:r>
    </w:p>
    <w:p>
      <w:pPr>
        <w:spacing w:after="120" w:line="300"/>
      </w:pPr>
      <w:r>
        <w:rPr>
          <w:rFonts w:ascii="Calibri" w:cs="Calibri" w:eastAsia="Calibri" w:hAnsi="Calibri"/>
          <w:sz w:val="22"/>
          <w:szCs w:val="22"/>
        </w:rPr>
        <w:t xml:space="preserve">Age is nearly flat (20% to 23%), so it is a weak risk factor in this data. Employment length shows a mild downward trend: borrowers with 0-1 years of employment default at 27.9%, versus 16.2% for those with more than 10 years.</w:t>
      </w:r>
    </w:p>
    <w:p>
      <w:pPr>
        <w:pStyle w:val="Heading1"/>
        <w:pageBreakBefore/>
      </w:pPr>
      <w:r>
        <w:rPr>
          <w:rFonts w:ascii="Calibri" w:cs="Calibri" w:eastAsia="Calibri" w:hAnsi="Calibri"/>
        </w:rPr>
        <w:t xml:space="preserve">8. Correlation &amp; Combined Effects</w:t>
      </w:r>
    </w:p>
    <w:p>
      <w:pPr>
        <w:spacing w:after="60" w:before="120"/>
        <w:jc w:val="center"/>
      </w:pPr>
      <w:r>
        <w:drawing>
          <wp:inline distT="0" distB="0" distL="0" distR="0">
            <wp:extent cx="4095750" cy="3305175"/>
            <wp:effectExtent t="0" r="0" b="0" l="0"/>
            <wp:docPr id="1" name="12_correlation.png" descr="Figure 12: Correlation matrix (grade and prior default encoded numerically)" title="Figure 12: Correlation matrix (grade and prior default encoded numer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Correlation matrix (grade and prior default encoded numerically)</w:t>
      </w:r>
    </w:p>
    <w:p>
      <w:pPr>
        <w:spacing w:after="120" w:line="300"/>
      </w:pPr>
      <w:r>
        <w:rPr>
          <w:rFonts w:ascii="Calibri" w:cs="Calibri" w:eastAsia="Calibri" w:hAnsi="Calibri"/>
          <w:b/>
          <w:bCs/>
          <w:sz w:val="22"/>
          <w:szCs w:val="22"/>
        </w:rPr>
        <w:t xml:space="preserve">Correlation with default (Pearson):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4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Correlation with default</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loan_percent_income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0.380</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grade_num</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0.373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loan_int_rate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0.334</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prior_num</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0.179</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loan_amnt</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0.106</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cb_person_cred_hist_length</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-0.016</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person_age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-0.022</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person_emp_length</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-0.086</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person_income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-0.169</w:t>
            </w:r>
          </w:p>
        </w:tc>
      </w:tr>
    </w:tbl>
    <w:p>
      <w:pPr>
        <w:spacing w:after="120"/>
      </w:pPr>
    </w:p>
    <w:p>
      <w:pPr>
        <w:spacing w:after="120" w:line="300"/>
      </w:pPr>
      <w:r>
        <w:rPr>
          <w:rFonts w:ascii="Calibri" w:cs="Calibri" w:eastAsia="Calibri" w:hAnsi="Calibri"/>
          <w:sz w:val="22"/>
          <w:szCs w:val="22"/>
        </w:rPr>
        <w:t xml:space="preserve">Loan-to-income (0.38), loan grade (0.37) and interest rate (0.33) lead, followed by prior default (0.18) and income (-0.17). Grade and interest rate are themselves highly correlated, so they overlap in what they tell us.</w:t>
      </w:r>
    </w:p>
    <w:p>
      <w:pPr>
        <w:pStyle w:val="Heading2"/>
      </w:pPr>
      <w:r>
        <w:rPr>
          <w:rFonts w:ascii="Calibri" w:cs="Calibri" w:eastAsia="Calibri" w:hAnsi="Calibri"/>
        </w:rPr>
        <w:t xml:space="preserve">8.1 Where risks combine</w:t>
      </w:r>
    </w:p>
    <w:p>
      <w:pPr>
        <w:spacing w:after="60" w:before="120"/>
        <w:jc w:val="center"/>
      </w:pPr>
      <w:r>
        <w:drawing>
          <wp:inline distT="0" distB="0" distL="0" distR="0">
            <wp:extent cx="4000500" cy="2571750"/>
            <wp:effectExtent t="0" r="0" b="0" l="0"/>
            <wp:docPr id="1" name="13_heat_grade_lti.png" descr="Figure 13: Default rate by loan grade and loan-to-income band" title="Figure 13: Default rate by loan grade and loan-to-incom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Default rate by loan grade and loan-to-income band</w:t>
      </w:r>
    </w:p>
    <w:p>
      <w:pPr>
        <w:spacing w:after="120" w:line="300"/>
      </w:pPr>
      <w:r>
        <w:rPr>
          <w:rFonts w:ascii="Calibri" w:cs="Calibri" w:eastAsia="Calibri" w:hAnsi="Calibri"/>
          <w:sz w:val="22"/>
          <w:szCs w:val="22"/>
        </w:rPr>
        <w:t xml:space="preserve">The heatmap shows the compounding effect: a grade A borrower with a small loan has a low default rate, while a weaker grade combined with a high loan-to-income ratio pushes default close to certainty.</w:t>
      </w:r>
    </w:p>
    <w:p>
      <w:pPr>
        <w:spacing w:after="60" w:before="120"/>
        <w:jc w:val="center"/>
      </w:pPr>
      <w:r>
        <w:drawing>
          <wp:inline distT="0" distB="0" distL="0" distR="0">
            <wp:extent cx="4762500" cy="2019300"/>
            <wp:effectExtent t="0" r="0" b="0" l="0"/>
            <wp:docPr id="1" name="14_heat_home_intent.png" descr="Figure 14: Default rate by home ownership and loan purpose" title="Figure 14: Default rate by home ownership and loa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19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Default rate by home ownership and loan purpose</w:t>
      </w:r>
    </w:p>
    <w:p>
      <w:pPr>
        <w:spacing w:after="120" w:line="300"/>
      </w:pPr>
      <w:r>
        <w:rPr>
          <w:rFonts w:ascii="Calibri" w:cs="Calibri" w:eastAsia="Calibri" w:hAnsi="Calibri"/>
          <w:sz w:val="22"/>
          <w:szCs w:val="22"/>
        </w:rPr>
        <w:t xml:space="preserve">Renters borrowing for debt consolidation, medical or home-improvement purposes are the most exposed segment; home-owners are consistently safe across all purposes.</w:t>
      </w:r>
    </w:p>
    <w:p>
      <w:pPr>
        <w:pStyle w:val="Heading1"/>
        <w:pageBreakBefore/>
      </w:pPr>
      <w:r>
        <w:rPr>
          <w:rFonts w:ascii="Calibri" w:cs="Calibri" w:eastAsia="Calibri" w:hAnsi="Calibri"/>
        </w:rPr>
        <w:t xml:space="preserve">9. Risk Scorecard</w:t>
      </w:r>
    </w:p>
    <w:p>
      <w:pPr>
        <w:spacing w:after="120" w:line="300"/>
      </w:pPr>
      <w:r>
        <w:rPr>
          <w:rFonts w:ascii="Calibri" w:cs="Calibri" w:eastAsia="Calibri" w:hAnsi="Calibri"/>
          <w:sz w:val="22"/>
          <w:szCs w:val="22"/>
        </w:rPr>
        <w:t xml:space="preserve">To turn the findings into something a credit officer could use, a simple additive scorecard was built. One point is added for each of six risk flags:</w:t>
      </w:r>
    </w:p>
    <w:p>
      <w:pPr>
        <w:pStyle w:val="ListParagraph"/>
        <w:numPr>
          <w:ilvl w:val="0"/>
          <w:numId w:val="2"/>
        </w:numPr>
        <w:spacing w:after="80" w:line="290"/>
      </w:pPr>
      <w:r>
        <w:rPr>
          <w:rFonts w:ascii="Calibri" w:cs="Calibri" w:eastAsia="Calibri" w:hAnsi="Calibri"/>
          <w:sz w:val="22"/>
          <w:szCs w:val="22"/>
        </w:rPr>
        <w:t xml:space="preserve">Loan grade D to G</w:t>
      </w:r>
    </w:p>
    <w:p>
      <w:pPr>
        <w:pStyle w:val="ListParagraph"/>
        <w:numPr>
          <w:ilvl w:val="0"/>
          <w:numId w:val="2"/>
        </w:numPr>
        <w:spacing w:after="80" w:line="290"/>
      </w:pPr>
      <w:r>
        <w:rPr>
          <w:rFonts w:ascii="Calibri" w:cs="Calibri" w:eastAsia="Calibri" w:hAnsi="Calibri"/>
          <w:sz w:val="22"/>
          <w:szCs w:val="22"/>
        </w:rPr>
        <w:t xml:space="preserve">Loan amount at least 30% of income</w:t>
      </w:r>
    </w:p>
    <w:p>
      <w:pPr>
        <w:pStyle w:val="ListParagraph"/>
        <w:numPr>
          <w:ilvl w:val="0"/>
          <w:numId w:val="2"/>
        </w:numPr>
        <w:spacing w:after="80" w:line="290"/>
      </w:pPr>
      <w:r>
        <w:rPr>
          <w:rFonts w:ascii="Calibri" w:cs="Calibri" w:eastAsia="Calibri" w:hAnsi="Calibri"/>
          <w:sz w:val="22"/>
          <w:szCs w:val="22"/>
        </w:rPr>
        <w:t xml:space="preserve">Renter or "other" housing</w:t>
      </w:r>
    </w:p>
    <w:p>
      <w:pPr>
        <w:pStyle w:val="ListParagraph"/>
        <w:numPr>
          <w:ilvl w:val="0"/>
          <w:numId w:val="2"/>
        </w:numPr>
        <w:spacing w:after="80" w:line="290"/>
      </w:pPr>
      <w:r>
        <w:rPr>
          <w:rFonts w:ascii="Calibri" w:cs="Calibri" w:eastAsia="Calibri" w:hAnsi="Calibri"/>
          <w:sz w:val="22"/>
          <w:szCs w:val="22"/>
        </w:rPr>
        <w:t xml:space="preserve">Prior default on file</w:t>
      </w:r>
    </w:p>
    <w:p>
      <w:pPr>
        <w:pStyle w:val="ListParagraph"/>
        <w:numPr>
          <w:ilvl w:val="0"/>
          <w:numId w:val="2"/>
        </w:numPr>
        <w:spacing w:after="80" w:line="290"/>
      </w:pPr>
      <w:r>
        <w:rPr>
          <w:rFonts w:ascii="Calibri" w:cs="Calibri" w:eastAsia="Calibri" w:hAnsi="Calibri"/>
          <w:sz w:val="22"/>
          <w:szCs w:val="22"/>
        </w:rPr>
        <w:t xml:space="preserve">Interest rate of 14% or more</w:t>
      </w:r>
    </w:p>
    <w:p>
      <w:pPr>
        <w:pStyle w:val="ListParagraph"/>
        <w:numPr>
          <w:ilvl w:val="0"/>
          <w:numId w:val="2"/>
        </w:numPr>
        <w:spacing w:after="80" w:line="290"/>
      </w:pPr>
      <w:r>
        <w:rPr>
          <w:rFonts w:ascii="Calibri" w:cs="Calibri" w:eastAsia="Calibri" w:hAnsi="Calibri"/>
          <w:sz w:val="22"/>
          <w:szCs w:val="22"/>
        </w:rPr>
        <w:t xml:space="preserve">Income in the bottom quartile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Flags</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Loans</w:t>
            </w:r>
          </w:p>
        </w:tc>
        <w:tc>
          <w:tcPr>
            <w:tcW w:type="dxa" w:w="3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9,629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10,131</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6,322</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28.9%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3,615</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57.6%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1,872</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66.9%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725</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87.6%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117</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99.1%</w:t>
            </w:r>
          </w:p>
        </w:tc>
      </w:tr>
    </w:tbl>
    <w:p>
      <w:pPr>
        <w:spacing w:after="60" w:before="120"/>
        <w:jc w:val="center"/>
      </w:pPr>
      <w:r>
        <w:drawing>
          <wp:inline distT="0" distB="0" distL="0" distR="0">
            <wp:extent cx="4381500" cy="2505075"/>
            <wp:effectExtent t="0" r="0" b="0" l="0"/>
            <wp:docPr id="1" name="15_risk_flags.png" descr="Figure 15: Default rate by number of risk flags" title="Figure 15: Default rate by number of risk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Default rate by number of risk flags</w:t>
      </w:r>
    </w:p>
    <w:p>
      <w:pPr>
        <w:spacing w:after="120" w:line="300"/>
      </w:pPr>
      <w:r>
        <w:rPr>
          <w:rFonts w:ascii="Calibri" w:cs="Calibri" w:eastAsia="Calibri" w:hAnsi="Calibri"/>
          <w:sz w:val="22"/>
          <w:szCs w:val="22"/>
        </w:rPr>
        <w:t xml:space="preserve">Risk climbs quickly: borrowers with 0 or 1 flag default at 4-7%, while those with 3 flags default at 58% and those with 5 or more flags at nearly 90% or above. The two lowest tiers contain about 61% of all loans, meaning most of the portfolio is low risk and risk is concentrated in a minority with several flags.</w:t>
      </w:r>
    </w:p>
    <w:p>
      <w:pPr>
        <w:spacing w:after="120" w:line="300"/>
      </w:pPr>
      <w:r>
        <w:rPr>
          <w:rFonts w:ascii="Calibri" w:cs="Calibri" w:eastAsia="Calibri" w:hAnsi="Calibri"/>
          <w:i/>
          <w:iCs/>
          <w:sz w:val="22"/>
          <w:szCs w:val="22"/>
        </w:rPr>
        <w:t xml:space="preserve">Limitation: the flags use thresholds chosen from the exploratory analysis on the same data, so the scorecard is descriptive. A production scorecard would be validated on separate data.</w:t>
      </w:r>
    </w:p>
    <w:p>
      <w:pPr>
        <w:pStyle w:val="Heading1"/>
        <w:pageBreakBefore/>
      </w:pPr>
      <w:r>
        <w:rPr>
          <w:rFonts w:ascii="Calibri" w:cs="Calibri" w:eastAsia="Calibri" w:hAnsi="Calibri"/>
        </w:rPr>
        <w:t xml:space="preserve">10. Predictive Modelling</w:t>
      </w:r>
    </w:p>
    <w:p>
      <w:pPr>
        <w:pStyle w:val="Heading2"/>
      </w:pPr>
      <w:r>
        <w:rPr>
          <w:rFonts w:ascii="Calibri" w:cs="Calibri" w:eastAsia="Calibri" w:hAnsi="Calibri"/>
        </w:rPr>
        <w:t xml:space="preserve">10.1 Approach</w:t>
      </w:r>
    </w:p>
    <w:p>
      <w:pPr>
        <w:spacing w:after="120" w:line="300"/>
      </w:pPr>
      <w:r>
        <w:rPr>
          <w:rFonts w:ascii="Calibri" w:cs="Calibri" w:eastAsia="Calibri" w:hAnsi="Calibri"/>
          <w:sz w:val="22"/>
          <w:szCs w:val="22"/>
        </w:rPr>
        <w:t xml:space="preserve">Default was framed as a binary classification problem. Categorical variables were one-hot encoded, numeric variables were standardised for Logistic Regression, and the data was split 80/20 into training and test sets with stratification so both sets keep the same default rate. Three models were compared: Logistic Regression (a transparent baseline), Random Forest and Gradient Boosting.</w:t>
      </w:r>
    </w:p>
    <w:p>
      <w:pPr>
        <w:pStyle w:val="Heading2"/>
      </w:pPr>
      <w:r>
        <w:rPr>
          <w:rFonts w:ascii="Calibri" w:cs="Calibri" w:eastAsia="Calibri" w:hAnsi="Calibri"/>
        </w:rPr>
        <w:t xml:space="preserve">10.2 Results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60"/>
        <w:gridCol w:w="1300"/>
        <w:gridCol w:w="1300"/>
        <w:gridCol w:w="1300"/>
        <w:gridCol w:w="1300"/>
      </w:tblGrid>
      <w:tr>
        <w:trPr>
          <w:tblHeader/>
        </w:trPr>
        <w:tc>
          <w:tcPr>
            <w:tcW w:type="dxa" w:w="29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2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AUC</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Accuracy</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Precision</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Recall</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F1</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Logistic Regression</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0.869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0.814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0.553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0.778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0.647</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Random Forest</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0.929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0.888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0.748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0.812</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Gradient Boosting</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0.922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0.925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0.934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0.707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0.804</w:t>
            </w:r>
          </w:p>
        </w:tc>
      </w:tr>
    </w:tbl>
    <w:p>
      <w:pPr>
        <w:spacing w:after="120"/>
      </w:pPr>
    </w:p>
    <w:p>
      <w:pPr>
        <w:spacing w:after="60" w:before="120"/>
        <w:jc w:val="center"/>
      </w:pPr>
      <w:r>
        <w:drawing>
          <wp:inline distT="0" distB="0" distL="0" distR="0">
            <wp:extent cx="3619500" cy="3019425"/>
            <wp:effectExtent t="0" r="0" b="0" l="0"/>
            <wp:docPr id="1" name="16_roc.png" descr="Figure 16: ROC curves for the three models" title="Figure 16: ROC curves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16: ROC curves for the three models</w:t>
      </w:r>
    </w:p>
    <w:p>
      <w:pPr>
        <w:spacing w:after="120" w:line="300"/>
      </w:pPr>
      <w:r>
        <w:rPr>
          <w:rFonts w:ascii="Calibri" w:cs="Calibri" w:eastAsia="Calibri" w:hAnsi="Calibri"/>
          <w:sz w:val="22"/>
          <w:szCs w:val="22"/>
        </w:rPr>
        <w:t xml:space="preserve">Random Forest has the best AUC (0.929) and F1, Gradient Boosting has the highest precision (0.934), and Logistic Regression is clearly weaker (AUC 0.869) because it cannot capture the sharp thresholds seen in the data, such as the 30% loan-to-income jump.</w:t>
      </w:r>
    </w:p>
    <w:p>
      <w:pPr>
        <w:pStyle w:val="Heading2"/>
      </w:pPr>
      <w:r>
        <w:rPr>
          <w:rFonts w:ascii="Calibri" w:cs="Calibri" w:eastAsia="Calibri" w:hAnsi="Calibri"/>
        </w:rPr>
        <w:t xml:space="preserve">10.3 Understanding the errors</w:t>
      </w:r>
    </w:p>
    <w:p>
      <w:pPr>
        <w:spacing w:after="60" w:before="120"/>
        <w:jc w:val="center"/>
      </w:pPr>
      <w:r>
        <w:drawing>
          <wp:inline distT="0" distB="0" distL="0" distR="0">
            <wp:extent cx="3143250" cy="2657475"/>
            <wp:effectExtent t="0" r="0" b="0" l="0"/>
            <wp:docPr id="1" name="17_confusion.png" descr="Figure 17: Gradient Boosting confusion matrix" title="Figure 17: Gradient Boosting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6574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17: Gradient Boosting confusion matrix</w:t>
      </w:r>
    </w:p>
    <w:p>
      <w:pPr>
        <w:spacing w:after="120" w:line="300"/>
      </w:pPr>
      <w:r>
        <w:rPr>
          <w:rFonts w:ascii="Calibri" w:cs="Calibri" w:eastAsia="Calibri" w:hAnsi="Calibri"/>
          <w:sz w:val="22"/>
          <w:szCs w:val="22"/>
        </w:rPr>
        <w:t xml:space="preserve">Of 1418 actual defaults in the test set, Gradient Boosting caught 1002 and missed 416 (recall about 71%). It wrongly flagged only 71 of 5065 good loans. In lending, missing a default usually costs more than rejecting a good borrower, so a lender may lower the decision threshold to raise recall, accepting more false alarms. Logistic Regression with class weighting is an example of this trade-off: recall of 0.78 but precision of only 0.55.</w:t>
      </w:r>
    </w:p>
    <w:p>
      <w:pPr>
        <w:pStyle w:val="Heading2"/>
      </w:pPr>
      <w:r>
        <w:rPr>
          <w:rFonts w:ascii="Calibri" w:cs="Calibri" w:eastAsia="Calibri" w:hAnsi="Calibri"/>
        </w:rPr>
        <w:t xml:space="preserve">10.4 Feature importance</w:t>
      </w:r>
    </w:p>
    <w:p>
      <w:pPr>
        <w:spacing w:after="60" w:before="120"/>
        <w:jc w:val="center"/>
      </w:pPr>
      <w:r>
        <w:drawing>
          <wp:inline distT="0" distB="0" distL="0" distR="0">
            <wp:extent cx="4381500" cy="2819400"/>
            <wp:effectExtent t="0" r="0" b="0" l="0"/>
            <wp:docPr id="1" name="18_importance.png" descr="Figure 18: Permutation importance (Gradient Boosting)" title="Figure 18: Permutation importance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819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18: Permutation importance (Gradient Boosting)</w:t>
      </w:r>
    </w:p>
    <w:p>
      <w:pPr>
        <w:spacing w:after="120" w:line="300"/>
      </w:pPr>
      <w:r>
        <w:rPr>
          <w:rFonts w:ascii="Calibri" w:cs="Calibri" w:eastAsia="Calibri" w:hAnsi="Calibri"/>
          <w:sz w:val="22"/>
          <w:szCs w:val="22"/>
        </w:rPr>
        <w:t xml:space="preserve">Permutation importance measures how much the AUC drops when a feature is shuffled. Loan-to-income ratio, income, interest rate and home ownership matter most; age, employment length and loan amount alone contribute almost nothing. Loan grade scores lower than its category analysis suggests because its information overlaps with interest rate.</w:t>
      </w:r>
    </w:p>
    <w:p>
      <w:pPr>
        <w:pStyle w:val="Heading1"/>
        <w:pageBreakBefore/>
      </w:pPr>
      <w:r>
        <w:rPr>
          <w:rFonts w:ascii="Calibri" w:cs="Calibri" w:eastAsia="Calibri" w:hAnsi="Calibri"/>
        </w:rPr>
        <w:t xml:space="preserve">11. Recommendations</w:t>
      </w:r>
    </w:p>
    <w:p>
      <w:pPr>
        <w:pStyle w:val="ListParagraph"/>
        <w:numPr>
          <w:ilvl w:val="0"/>
          <w:numId w:val="2"/>
        </w:numPr>
        <w:spacing w:after="80" w:line="290"/>
      </w:pPr>
      <w:r>
        <w:rPr>
          <w:rFonts w:ascii="Calibri" w:cs="Calibri" w:eastAsia="Calibri" w:hAnsi="Calibri"/>
          <w:b/>
          <w:bCs/>
          <w:sz w:val="22"/>
          <w:szCs w:val="22"/>
        </w:rPr>
        <w:t xml:space="preserve">Use loan-to-income as a hard guardrail. </w:t>
      </w:r>
      <w:r>
        <w:rPr>
          <w:rFonts w:ascii="Calibri" w:cs="Calibri" w:eastAsia="Calibri" w:hAnsi="Calibri"/>
          <w:sz w:val="22"/>
          <w:szCs w:val="22"/>
        </w:rPr>
        <w:t xml:space="preserve">Loans above about 30% of income show default rates near 70%. Cap the ratio or require extra security above it.</w:t>
      </w:r>
    </w:p>
    <w:p>
      <w:pPr>
        <w:pStyle w:val="ListParagraph"/>
        <w:numPr>
          <w:ilvl w:val="0"/>
          <w:numId w:val="2"/>
        </w:numPr>
        <w:spacing w:after="80" w:line="290"/>
      </w:pPr>
      <w:r>
        <w:rPr>
          <w:rFonts w:ascii="Calibri" w:cs="Calibri" w:eastAsia="Calibri" w:hAnsi="Calibri"/>
          <w:b/>
          <w:bCs/>
          <w:sz w:val="22"/>
          <w:szCs w:val="22"/>
        </w:rPr>
        <w:t xml:space="preserve">Tighten underwriting for grades D and below. </w:t>
      </w:r>
      <w:r>
        <w:rPr>
          <w:rFonts w:ascii="Calibri" w:cs="Calibri" w:eastAsia="Calibri" w:hAnsi="Calibri"/>
          <w:sz w:val="22"/>
          <w:szCs w:val="22"/>
        </w:rPr>
        <w:t xml:space="preserve">These grades have 59-98% default rates; they warrant stronger collateral, lower limits or decline.</w:t>
      </w:r>
    </w:p>
    <w:p>
      <w:pPr>
        <w:pStyle w:val="ListParagraph"/>
        <w:numPr>
          <w:ilvl w:val="0"/>
          <w:numId w:val="2"/>
        </w:numPr>
        <w:spacing w:after="80" w:line="290"/>
      </w:pPr>
      <w:r>
        <w:rPr>
          <w:rFonts w:ascii="Calibri" w:cs="Calibri" w:eastAsia="Calibri" w:hAnsi="Calibri"/>
          <w:b/>
          <w:bCs/>
          <w:sz w:val="22"/>
          <w:szCs w:val="22"/>
        </w:rPr>
        <w:t xml:space="preserve">Treat prior default as a mandatory review trigger. </w:t>
      </w:r>
      <w:r>
        <w:rPr>
          <w:rFonts w:ascii="Calibri" w:cs="Calibri" w:eastAsia="Calibri" w:hAnsi="Calibri"/>
          <w:sz w:val="22"/>
          <w:szCs w:val="22"/>
        </w:rPr>
        <w:t xml:space="preserve">It doubles risk and is simple to check.</w:t>
      </w:r>
    </w:p>
    <w:p>
      <w:pPr>
        <w:pStyle w:val="ListParagraph"/>
        <w:numPr>
          <w:ilvl w:val="0"/>
          <w:numId w:val="2"/>
        </w:numPr>
        <w:spacing w:after="80" w:line="290"/>
      </w:pPr>
      <w:r>
        <w:rPr>
          <w:rFonts w:ascii="Calibri" w:cs="Calibri" w:eastAsia="Calibri" w:hAnsi="Calibri"/>
          <w:b/>
          <w:bCs/>
          <w:sz w:val="22"/>
          <w:szCs w:val="22"/>
        </w:rPr>
        <w:t xml:space="preserve">Segment by purpose and housing. </w:t>
      </w:r>
      <w:r>
        <w:rPr>
          <w:rFonts w:ascii="Calibri" w:cs="Calibri" w:eastAsia="Calibri" w:hAnsi="Calibri"/>
          <w:sz w:val="22"/>
          <w:szCs w:val="22"/>
        </w:rPr>
        <w:t xml:space="preserve">Renters seeking debt-consolidation or medical loans are the highest-risk segment and deserve closer income verification.</w:t>
      </w:r>
    </w:p>
    <w:p>
      <w:pPr>
        <w:pStyle w:val="ListParagraph"/>
        <w:numPr>
          <w:ilvl w:val="0"/>
          <w:numId w:val="2"/>
        </w:numPr>
        <w:spacing w:after="80" w:line="290"/>
      </w:pPr>
      <w:r>
        <w:rPr>
          <w:rFonts w:ascii="Calibri" w:cs="Calibri" w:eastAsia="Calibri" w:hAnsi="Calibri"/>
          <w:b/>
          <w:bCs/>
          <w:sz w:val="22"/>
          <w:szCs w:val="22"/>
        </w:rPr>
        <w:t xml:space="preserve">Adopt a multi-flag scorecard for triage. </w:t>
      </w:r>
      <w:r>
        <w:rPr>
          <w:rFonts w:ascii="Calibri" w:cs="Calibri" w:eastAsia="Calibri" w:hAnsi="Calibri"/>
          <w:sz w:val="22"/>
          <w:szCs w:val="22"/>
        </w:rPr>
        <w:t xml:space="preserve">Auto-approve 0-1 flag applications, send 2-3 flags to manual review, and decline or restructure 4+ flags.</w:t>
      </w:r>
    </w:p>
    <w:p>
      <w:pPr>
        <w:pStyle w:val="ListParagraph"/>
        <w:numPr>
          <w:ilvl w:val="0"/>
          <w:numId w:val="2"/>
        </w:numPr>
        <w:spacing w:after="80" w:line="290"/>
      </w:pPr>
      <w:r>
        <w:rPr>
          <w:rFonts w:ascii="Calibri" w:cs="Calibri" w:eastAsia="Calibri" w:hAnsi="Calibri"/>
          <w:b/>
          <w:bCs/>
          <w:sz w:val="22"/>
          <w:szCs w:val="22"/>
        </w:rPr>
        <w:t xml:space="preserve">Tune model thresholds to business cost. </w:t>
      </w:r>
      <w:r>
        <w:rPr>
          <w:rFonts w:ascii="Calibri" w:cs="Calibri" w:eastAsia="Calibri" w:hAnsi="Calibri"/>
          <w:sz w:val="22"/>
          <w:szCs w:val="22"/>
        </w:rPr>
        <w:t xml:space="preserve">Choose the cut-off by weighing the cost of a missed default against the cost of a rejected good borrower, rather than defaulting to 0.5.</w:t>
      </w:r>
    </w:p>
    <w:p>
      <w:pPr>
        <w:pStyle w:val="Heading1"/>
        <w:pageBreakBefore/>
      </w:pPr>
      <w:r>
        <w:rPr>
          <w:rFonts w:ascii="Calibri" w:cs="Calibri" w:eastAsia="Calibri" w:hAnsi="Calibri"/>
        </w:rPr>
        <w:t xml:space="preserve">12. Limitations &amp; Future Work</w:t>
      </w:r>
    </w:p>
    <w:p>
      <w:pPr>
        <w:pStyle w:val="ListParagraph"/>
        <w:numPr>
          <w:ilvl w:val="0"/>
          <w:numId w:val="2"/>
        </w:numPr>
        <w:spacing w:after="80" w:line="290"/>
      </w:pPr>
      <w:r>
        <w:rPr>
          <w:rFonts w:ascii="Calibri" w:cs="Calibri" w:eastAsia="Calibri" w:hAnsi="Calibri"/>
          <w:sz w:val="22"/>
          <w:szCs w:val="22"/>
        </w:rPr>
        <w:t xml:space="preserve">The dataset is a public, simulated-style sample; findings demonstrate method rather than describing any real bank.</w:t>
      </w:r>
    </w:p>
    <w:p>
      <w:pPr>
        <w:pStyle w:val="ListParagraph"/>
        <w:numPr>
          <w:ilvl w:val="0"/>
          <w:numId w:val="2"/>
        </w:numPr>
        <w:spacing w:after="80" w:line="290"/>
      </w:pPr>
      <w:r>
        <w:rPr>
          <w:rFonts w:ascii="Calibri" w:cs="Calibri" w:eastAsia="Calibri" w:hAnsi="Calibri"/>
          <w:sz w:val="22"/>
          <w:szCs w:val="22"/>
        </w:rPr>
        <w:t xml:space="preserve">Grade and interest rate are set by the lender, so using them as predictors partly reuses the lender's own risk view. A model that must assess brand-new applicants before pricing should be tested without them.</w:t>
      </w:r>
    </w:p>
    <w:p>
      <w:pPr>
        <w:pStyle w:val="ListParagraph"/>
        <w:numPr>
          <w:ilvl w:val="0"/>
          <w:numId w:val="2"/>
        </w:numPr>
        <w:spacing w:after="80" w:line="290"/>
      </w:pPr>
      <w:r>
        <w:rPr>
          <w:rFonts w:ascii="Calibri" w:cs="Calibri" w:eastAsia="Calibri" w:hAnsi="Calibri"/>
          <w:sz w:val="22"/>
          <w:szCs w:val="22"/>
        </w:rPr>
        <w:t xml:space="preserve">The analysis shows association, not causation.</w:t>
      </w:r>
    </w:p>
    <w:p>
      <w:pPr>
        <w:pStyle w:val="ListParagraph"/>
        <w:numPr>
          <w:ilvl w:val="0"/>
          <w:numId w:val="2"/>
        </w:numPr>
        <w:spacing w:after="80" w:line="290"/>
      </w:pPr>
      <w:r>
        <w:rPr>
          <w:rFonts w:ascii="Calibri" w:cs="Calibri" w:eastAsia="Calibri" w:hAnsi="Calibri"/>
          <w:sz w:val="22"/>
          <w:szCs w:val="22"/>
        </w:rPr>
        <w:t xml:space="preserve">Loan amounts have no currency or date information, so time trends and loss-given-default could not be studied.</w:t>
      </w:r>
    </w:p>
    <w:p>
      <w:pPr>
        <w:pStyle w:val="ListParagraph"/>
        <w:numPr>
          <w:ilvl w:val="0"/>
          <w:numId w:val="2"/>
        </w:numPr>
        <w:spacing w:after="80" w:line="290"/>
      </w:pPr>
      <w:r>
        <w:rPr>
          <w:rFonts w:ascii="Calibri" w:cs="Calibri" w:eastAsia="Calibri" w:hAnsi="Calibri"/>
          <w:sz w:val="22"/>
          <w:szCs w:val="22"/>
        </w:rPr>
        <w:t xml:space="preserve">Future work: hyperparameter tuning, SHAP explanations, probability calibration, threshold optimisation with a cost matrix, and a Power BI or Tableau dashboard on the cleaned file.</w:t>
      </w:r>
    </w:p>
    <w:p>
      <w:pPr>
        <w:pStyle w:val="Heading1"/>
        <w:pageBreakBefore/>
      </w:pPr>
      <w:r>
        <w:rPr>
          <w:rFonts w:ascii="Calibri" w:cs="Calibri" w:eastAsia="Calibri" w:hAnsi="Calibri"/>
        </w:rPr>
        <w:t xml:space="preserve">13. Conclusion</w:t>
      </w:r>
    </w:p>
    <w:p>
      <w:pPr>
        <w:spacing w:after="120" w:line="300"/>
      </w:pPr>
      <w:r>
        <w:rPr>
          <w:rFonts w:ascii="Calibri" w:cs="Calibri" w:eastAsia="Calibri" w:hAnsi="Calibri"/>
          <w:sz w:val="22"/>
          <w:szCs w:val="22"/>
        </w:rPr>
        <w:t xml:space="preserve">Default in this portfolio is not random. It concentrates among borrowers who borrow a large share of their income, hold weaker grades, pay higher rates, earn less, rent their homes and have a prior default. When these flags stack up, default becomes close to certain; when none are present it is rare (4.4%). Machine learning models confirm the same story and predict default well (AUC about 0.93), but the simple scorecard achieves much of the separation with rules that a credit officer can read and explain.</w:t>
      </w:r>
    </w:p>
    <w:p>
      <w:pPr>
        <w:spacing w:after="120" w:line="300"/>
      </w:pPr>
      <w:r>
        <w:rPr>
          <w:rFonts w:ascii="Calibri" w:cs="Calibri" w:eastAsia="Calibri" w:hAnsi="Calibri"/>
          <w:sz w:val="22"/>
          <w:szCs w:val="22"/>
        </w:rPr>
        <w:t xml:space="preserve">The project demonstrates an end-to-end analyst workflow on finance data: data cleaning, exploratory analysis, segmentation, scorecard design, modelling and business recommendations.</w:t>
      </w:r>
    </w:p>
    <w:p>
      <w:pPr>
        <w:pStyle w:val="Heading2"/>
      </w:pPr>
      <w:r>
        <w:rPr>
          <w:rFonts w:ascii="Calibri" w:cs="Calibri" w:eastAsia="Calibri" w:hAnsi="Calibri"/>
        </w:rPr>
        <w:t xml:space="preserve">Appendix: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51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data/credit_risk_dataset.csv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Original Kaggle data</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data/credit_risk_cleaned.csv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Cleaned data</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data/credit_risk_featured.csv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Cleaned data with bands and risk flags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notebooks/Credit_Risk_Analysis.ipynb</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Full executed analysis notebook</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analysis.py</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Script that regenerates all charts and results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charts/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All 18 charts used in this report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Project summary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Bank Loan / Credit Risk Analysis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b86e0c5517dda098b19539df6ebf6d1eab2d87.png"/><Relationship Id="rId9" Type="http://schemas.openxmlformats.org/officeDocument/2006/relationships/image" Target="media/137785ce3b87b90a2c3444994a9cdbe3df3203b2.png"/><Relationship Id="rId10" Type="http://schemas.openxmlformats.org/officeDocument/2006/relationships/image" Target="media/a11ab9469129df318a6626a8b8dff0145d235cef.png"/><Relationship Id="rId11" Type="http://schemas.openxmlformats.org/officeDocument/2006/relationships/image" Target="media/5a710456a63e3470bb03fde385b27cd06698b483.png"/><Relationship Id="rId12" Type="http://schemas.openxmlformats.org/officeDocument/2006/relationships/image" Target="media/43beb2dda74b49a957daae504c841cd92f4a4eff.png"/><Relationship Id="rId13" Type="http://schemas.openxmlformats.org/officeDocument/2006/relationships/image" Target="media/0d171b2787d8e67b0766aff5591856bd3c023414.png"/><Relationship Id="rId14" Type="http://schemas.openxmlformats.org/officeDocument/2006/relationships/image" Target="media/54a22c10cc1aa7c0ab3b18ca6ad2e72a7359e640.png"/><Relationship Id="rId15" Type="http://schemas.openxmlformats.org/officeDocument/2006/relationships/image" Target="media/99187218f610e3e3f269ced05c47cd6ce17a7d1b.png"/><Relationship Id="rId16" Type="http://schemas.openxmlformats.org/officeDocument/2006/relationships/image" Target="media/a5890173be56ea4c401b13bc9157ced4e0b7c14b.png"/><Relationship Id="rId17" Type="http://schemas.openxmlformats.org/officeDocument/2006/relationships/image" Target="media/bceeeb12c2c2ad1a7f26d4ac29f24e8130bdb0c5.png"/><Relationship Id="rId18" Type="http://schemas.openxmlformats.org/officeDocument/2006/relationships/image" Target="media/96f5f4e23f3b91c1bd8a91c0ca37fabf3ba4442b.png"/><Relationship Id="rId19" Type="http://schemas.openxmlformats.org/officeDocument/2006/relationships/image" Target="media/bd1ce8763222754ca763bdd0934935aa409b6706.png"/><Relationship Id="rId20" Type="http://schemas.openxmlformats.org/officeDocument/2006/relationships/image" Target="media/ea64eb0de7e434f1768dbf6ca2efc56539fcaafb.png"/><Relationship Id="rId21" Type="http://schemas.openxmlformats.org/officeDocument/2006/relationships/image" Target="media/2c09a7993942354e3931de1f7ee7f5cc032b01a8.png"/><Relationship Id="rId22" Type="http://schemas.openxmlformats.org/officeDocument/2006/relationships/image" Target="media/405748e028a2f0bc03b4e112af43629a2830f14b.png"/><Relationship Id="rId23" Type="http://schemas.openxmlformats.org/officeDocument/2006/relationships/image" Target="media/e6dcaa09c1ed61e0b22f87a551d37026bf8e6612.png"/><Relationship Id="rId24" Type="http://schemas.openxmlformats.org/officeDocument/2006/relationships/image" Target="media/8e33953f52c46a10a64835a7521499c55d946e37.png"/><Relationship Id="rId25" Type="http://schemas.openxmlformats.org/officeDocument/2006/relationships/image" Target="media/c8197a16478da1b32dcacd6c07ad52088ba1eec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 Credit Risk Analysis</dc:title>
  <dc:creator>Ashutosh Kumar Singh</dc:creator>
  <cp:lastModifiedBy>Un-named</cp:lastModifiedBy>
  <cp:revision>1</cp:revision>
  <dcterms:created xsi:type="dcterms:W3CDTF">2026-10-17T04:56:16.761Z</dcterms:created>
  <dcterms:modified xsi:type="dcterms:W3CDTF">2026-10-17T04:56:16.761Z</dcterms:modified>
</cp:coreProperties>
</file>

<file path=docProps/custom.xml><?xml version="1.0" encoding="utf-8"?>
<Properties xmlns="http://schemas.openxmlformats.org/officeDocument/2006/custom-properties" xmlns:vt="http://schemas.openxmlformats.org/officeDocument/2006/docPropsVTypes"/>
</file>