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80" w:before="0"/>
        <w:jc w:val="center"/>
      </w:pPr>
      <w:r>
        <w:rPr>
          <w:rFonts w:ascii="Arial" w:cs="Arial" w:eastAsia="Arial" w:hAnsi="Arial"/>
          <w:b/>
          <w:bCs/>
          <w:color w:val="1F3864"/>
          <w:sz w:val="48"/>
          <w:szCs w:val="48"/>
        </w:rPr>
        <w:t xml:space="preserve">PROPERTY BUREAU</w:t>
      </w:r>
    </w:p>
    <w:p>
      <w:pPr>
        <w:spacing w:after="60" w:before="0"/>
        <w:jc w:val="center"/>
      </w:pPr>
      <w:r>
        <w:rPr>
          <w:rFonts w:ascii="Arial" w:cs="Arial" w:eastAsia="Arial" w:hAnsi="Arial"/>
          <w:b/>
          <w:bCs/>
          <w:color w:val="2E75B6"/>
          <w:sz w:val="34"/>
          <w:szCs w:val="34"/>
        </w:rPr>
        <w:t xml:space="preserve">MEMBER DATA SUBMISSION STANDARD V1.0</w:t>
      </w:r>
    </w:p>
    <w:p>
      <w:pPr>
        <w:spacing w:after="200" w:before="0"/>
        <w:jc w:val="center"/>
      </w:pPr>
      <w:r>
        <w:rPr>
          <w:rFonts w:ascii="Arial" w:cs="Arial" w:eastAsia="Arial" w:hAnsi="Arial"/>
          <w:i/>
          <w:iCs/>
          <w:color w:val="595959"/>
          <w:sz w:val="22"/>
          <w:szCs w:val="22"/>
        </w:rPr>
        <w:t xml:space="preserve">CRITICAL EVALUATION REPORT — FUNCTIONAL, TECHNICAL &amp; OPTIMISATION REVIEW</w:t>
      </w:r>
    </w:p>
    <w:p>
      <w:pPr>
        <w:pBdr>
          <w:bottom w:val="single" w:color="2E75B6" w:sz="6"/>
        </w:pBdr>
        <w:spacing w:after="240" w:before="0"/>
        <w:jc w:val="center"/>
      </w:pPr>
      <w:r>
        <w:rPr>
          <w:rFonts w:ascii="Arial" w:cs="Arial" w:eastAsia="Arial" w:hAnsi="Arial"/>
          <w:color w:val="595959"/>
          <w:sz w:val="18"/>
          <w:szCs w:val="18"/>
        </w:rPr>
        <w:t xml:space="preserve">Prepared by: Senior Solution Architect / Data Architect / Enterprise Integration Expert  |  June 2026</w:t>
      </w:r>
    </w:p>
    <w:p>
      <w:pPr>
        <w:spacing w:after="0" w:before="100"/>
      </w:pPr>
      <w:r>
        <w:t xml:space="preserve"/>
      </w:r>
    </w:p>
    <w:p>
      <w:pPr>
        <w:pStyle w:val="Heading1"/>
        <w:spacing w:after="18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b w:val="false"/>
          <w:bCs w:val="false"/>
          <w:i w:val="false"/>
          <w:iCs w:val="false"/>
          <w:color w:val="333333"/>
          <w:sz w:val="20"/>
          <w:szCs w:val="20"/>
        </w:rPr>
        <w:t xml:space="preserve">The Property Bureau Member Data Submission Standard V1.0 defines a flat-file, multi-record-type CSV submission framework for reporting property collateral, mortgage accounts, ownership, borrower, valuation, and document status data. The specification spans 4 functional sheets (Submission Header, Field Specification, Validation Rules, Mandatory Matrix) and an Enum Master reference, encompassing approximately 108 fields across 9 logical record types — all collapsed into a single wide CSV file via a RECORD_TYPE discriminator column.</w:t>
      </w:r>
    </w:p>
    <w:p>
      <w:pPr>
        <w:spacing w:after="0" w:before="60"/>
      </w:pPr>
      <w:r>
        <w:t xml:space="preserve"/>
      </w:r>
    </w:p>
    <w:p>
      <w:pPr>
        <w:spacing w:after="60" w:before="60"/>
      </w:pPr>
      <w:r>
        <w:rPr>
          <w:rFonts w:ascii="Arial" w:cs="Arial" w:eastAsia="Arial" w:hAnsi="Arial"/>
          <w:b w:val="false"/>
          <w:bCs w:val="false"/>
          <w:i w:val="false"/>
          <w:iCs w:val="false"/>
          <w:color w:val="333333"/>
          <w:sz w:val="20"/>
          <w:szCs w:val="20"/>
        </w:rPr>
        <w:t xml:space="preserve">The specification demonstrates sound domain coverage and aligns with property bureau and credit bureau practices. However, as currently designed, it imposes significant implementation burden on member institutions, contains structural and architectural decisions that increase data quality risk, and includes numerous redundant, derivable, or low-value fields. The overall complexity and client development effort ratings are both HIGH.</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1.1 Current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c>
          <w:tcPr>
            <w:tcW w:type="dxa" w:w="22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Assessment Dimension</w:t>
            </w:r>
          </w:p>
        </w:tc>
        <w:tc>
          <w:tcPr>
            <w:tcW w:type="dxa" w:w="72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Finding</w:t>
            </w:r>
          </w:p>
        </w:tc>
      </w:tr>
      <w:tr>
        <w:tc>
          <w:tcPr>
            <w:tcW w:type="dxa" w:w="2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Architecture</w:t>
            </w:r>
          </w:p>
        </w:tc>
        <w:tc>
          <w:tcPr>
            <w:tcW w:type="dxa" w:w="7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Single wide CSV with RECORD_TYPE discriminator creates a highly sparse file. Each row type uses &lt;30% of available columns. All 9 entity types share the same column namespace.</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Field Count</w:t>
            </w:r>
          </w:p>
        </w:tc>
        <w:tc>
          <w:tcPr>
            <w:tcW w:type="dxa" w:w="7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~108 fields across all sections. ~42 are mandatory or conditionally mandatory. At least 21 fields are derivable, constant, or system-generated.</w:t>
            </w:r>
          </w:p>
        </w:tc>
      </w:tr>
      <w:tr>
        <w:tc>
          <w:tcPr>
            <w:tcW w:type="dxa" w:w="2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Client Complexity</w:t>
            </w:r>
          </w:p>
        </w:tc>
        <w:tc>
          <w:tcPr>
            <w:tcW w:type="dxa" w:w="7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Clients must: (a) implement a multi-entity row-type dispatcher, (b) handle 20+ conditional mandatory rules, (c) pre-compute derived values (PROPERTY_AGE_YEARS, EMI_AMOUNT, NPA_CLASSIFICATION), (d) manage two address blocks.</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Validation Design</w:t>
            </w:r>
          </w:p>
        </w:tc>
        <w:tc>
          <w:tcPr>
            <w:tcW w:type="dxa" w:w="7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50+ validation rules with significant duplication (5+ rules appear twice with slightly different wording). Blocking validations that could be warnings (TOTAL_RECORD_COUNT, ownership sum tolerance) cause excessive rejection rates.</w:t>
            </w:r>
          </w:p>
        </w:tc>
      </w:tr>
      <w:tr>
        <w:tc>
          <w:tcPr>
            <w:tcW w:type="dxa" w:w="2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Enum Quality</w:t>
            </w:r>
          </w:p>
        </w:tc>
        <w:tc>
          <w:tcPr>
            <w:tcW w:type="dxa" w:w="7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Enums are well-designed and correctly normalised. Minor issue: OCCUPANCY_STATUS duplicates CONSTRUCTION_STATUS=UNDER_CONSTRUCTION for the same physical state.</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Backward Compatibility</w:t>
            </w:r>
          </w:p>
        </w:tc>
        <w:tc>
          <w:tcPr>
            <w:tcW w:type="dxa" w:w="7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V1.0 is the initial version. No backward compatibility constraints exist. This is the optimal moment for restructuring before client onboarding begins at scale.</w:t>
            </w:r>
          </w:p>
        </w:tc>
      </w:tr>
      <w:tr>
        <w:tc>
          <w:tcPr>
            <w:tcW w:type="dxa" w:w="2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Regulatory Alignment</w:t>
            </w:r>
          </w:p>
        </w:tc>
        <w:tc>
          <w:tcPr>
            <w:tcW w:type="dxa" w:w="7200"/>
            <w:gridSpan w:val="1"/>
            <w:tcBorders>
              <w:top w:val="single" w:color="BBBBBB" w:sz="1"/>
              <w:left w:val="single" w:color="BBBBBB" w:sz="1"/>
              <w:bottom w:val="single" w:color="BBBBBB" w:sz="1"/>
              <w:right w:val="single" w:color="BBBBBB" w:sz="1"/>
            </w:tcBorders>
            <w:shd w:fill="EFF5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Core mandatory fields cover all standard regulatory reporting requirements. No mandatory field removals are proposed. All removals target operational/technical overhead, not regulatory content.</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1.2 Key Risks (Current Specification)</w:t>
      </w:r>
    </w:p>
    <w:p>
      <w:pPr>
        <w:pStyle w:val="ListParagraph"/>
        <w:numPr>
          <w:ilvl w:val="0"/>
          <w:numId w:val="2"/>
        </w:numPr>
        <w:spacing w:after="40" w:before="40"/>
      </w:pPr>
      <w:r>
        <w:rPr>
          <w:rFonts w:ascii="Arial" w:cs="Arial" w:eastAsia="Arial" w:hAnsi="Arial"/>
          <w:b w:val="false"/>
          <w:bCs w:val="false"/>
          <w:color w:val="333333"/>
          <w:sz w:val="20"/>
          <w:szCs w:val="20"/>
        </w:rPr>
        <w:t xml:space="preserve">HIGH: Single-file flat design with sparse rows will result in 60–80% empty columns per record type row. This wastes storage, complicates ETL, and confuses client developers.</w:t>
      </w:r>
    </w:p>
    <w:p>
      <w:pPr>
        <w:pStyle w:val="ListParagraph"/>
        <w:numPr>
          <w:ilvl w:val="0"/>
          <w:numId w:val="2"/>
        </w:numPr>
        <w:spacing w:after="40" w:before="40"/>
      </w:pPr>
      <w:r>
        <w:rPr>
          <w:rFonts w:ascii="Arial" w:cs="Arial" w:eastAsia="Arial" w:hAnsi="Arial"/>
          <w:b w:val="false"/>
          <w:bCs w:val="false"/>
          <w:color w:val="333333"/>
          <w:sz w:val="20"/>
          <w:szCs w:val="20"/>
        </w:rPr>
        <w:t xml:space="preserve">HIGH: 21+ derivable/constant fields as mandatory inputs create unnecessary client development overhead and introduce multiple sources of data inconsistency (e.g. DPD=45 but NPA=STANDARD).</w:t>
      </w:r>
    </w:p>
    <w:p>
      <w:pPr>
        <w:pStyle w:val="ListParagraph"/>
        <w:numPr>
          <w:ilvl w:val="0"/>
          <w:numId w:val="2"/>
        </w:numPr>
        <w:spacing w:after="40" w:before="40"/>
      </w:pPr>
      <w:r>
        <w:rPr>
          <w:rFonts w:ascii="Arial" w:cs="Arial" w:eastAsia="Arial" w:hAnsi="Arial"/>
          <w:b w:val="false"/>
          <w:bCs w:val="false"/>
          <w:color w:val="333333"/>
          <w:sz w:val="20"/>
          <w:szCs w:val="20"/>
        </w:rPr>
        <w:t xml:space="preserve">HIGH: TOTAL_RECORD_COUNT as a mandatory blocking field is the single most common cause of first-submission failures. Clients frequently submit files before the exact row count is known.</w:t>
      </w:r>
    </w:p>
    <w:p>
      <w:pPr>
        <w:pStyle w:val="ListParagraph"/>
        <w:numPr>
          <w:ilvl w:val="0"/>
          <w:numId w:val="2"/>
        </w:numPr>
        <w:spacing w:after="40" w:before="40"/>
      </w:pPr>
      <w:r>
        <w:rPr>
          <w:rFonts w:ascii="Arial" w:cs="Arial" w:eastAsia="Arial" w:hAnsi="Arial"/>
          <w:b w:val="false"/>
          <w:bCs w:val="false"/>
          <w:color w:val="333333"/>
          <w:sz w:val="20"/>
          <w:szCs w:val="20"/>
        </w:rPr>
        <w:t xml:space="preserve">HIGH: Duplicate validation rule entries (VR-008, VR-015, VR-016, VR-017, VR-005 each appear twice with different wording) will cause client developers to implement conflicting logic.</w:t>
      </w:r>
    </w:p>
    <w:p>
      <w:pPr>
        <w:pStyle w:val="ListParagraph"/>
        <w:numPr>
          <w:ilvl w:val="0"/>
          <w:numId w:val="2"/>
        </w:numPr>
        <w:spacing w:after="40" w:before="40"/>
      </w:pPr>
      <w:r>
        <w:rPr>
          <w:rFonts w:ascii="Arial" w:cs="Arial" w:eastAsia="Arial" w:hAnsi="Arial"/>
          <w:b w:val="false"/>
          <w:bCs w:val="false"/>
          <w:color w:val="333333"/>
          <w:sz w:val="20"/>
          <w:szCs w:val="20"/>
        </w:rPr>
        <w:t xml:space="preserve">MEDIUM: Borrower address block (12 fields) mirrors property address (10 fields). When SAME_AS_PROPERTY=Y, clients must still understand and suppress 12 fields. When N, they map two full address blocks.</w:t>
      </w:r>
    </w:p>
    <w:p>
      <w:pPr>
        <w:pStyle w:val="ListParagraph"/>
        <w:numPr>
          <w:ilvl w:val="0"/>
          <w:numId w:val="2"/>
        </w:numPr>
        <w:spacing w:after="40" w:before="40"/>
      </w:pPr>
      <w:r>
        <w:rPr>
          <w:rFonts w:ascii="Arial" w:cs="Arial" w:eastAsia="Arial" w:hAnsi="Arial"/>
          <w:b w:val="false"/>
          <w:bCs w:val="false"/>
          <w:color w:val="333333"/>
          <w:sz w:val="20"/>
          <w:szCs w:val="20"/>
        </w:rPr>
        <w:t xml:space="preserve">MEDIUM: NPA_CLASSIFICATION submitted by client creates authoritative conflict with RBI-mandated bureau computation. Client-submitted NPA may not align with bureau's independent DPD-based classification.</w:t>
      </w:r>
    </w:p>
    <w:p>
      <w:pPr>
        <w:pStyle w:val="ListParagraph"/>
        <w:numPr>
          <w:ilvl w:val="0"/>
          <w:numId w:val="2"/>
        </w:numPr>
        <w:spacing w:after="40" w:before="40"/>
      </w:pPr>
      <w:r>
        <w:rPr>
          <w:rFonts w:ascii="Arial" w:cs="Arial" w:eastAsia="Arial" w:hAnsi="Arial"/>
          <w:b w:val="false"/>
          <w:bCs w:val="false"/>
          <w:color w:val="333333"/>
          <w:sz w:val="20"/>
          <w:szCs w:val="20"/>
        </w:rPr>
        <w:t xml:space="preserve">LOW: COUNTRY and BORROWER_COUNTRY are mandatory fields with a single valid value (IN). These add implementation burden for zero data value in V1.</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1.3 Overall Ratings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tblGrid>
      <w:tr>
        <w:tc>
          <w:tcPr>
            <w:tcW w:type="dxa" w:w="2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Dimension</w:t>
            </w:r>
          </w:p>
        </w:tc>
        <w:tc>
          <w:tcPr>
            <w:tcW w:type="dxa" w:w="11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Current</w:t>
            </w:r>
          </w:p>
        </w:tc>
        <w:tc>
          <w:tcPr>
            <w:tcW w:type="dxa" w:w="11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Post-Optimisation</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Overall Complexity</w:t>
            </w:r>
          </w:p>
        </w:tc>
        <w:tc>
          <w:tcPr>
            <w:tcW w:type="dxa" w:w="11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8"/>
                <w:szCs w:val="18"/>
              </w:rPr>
              <w:t xml:space="preserve">7.5 / 10</w:t>
            </w:r>
          </w:p>
        </w:tc>
        <w:tc>
          <w:tcPr>
            <w:tcW w:type="dxa" w:w="11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8"/>
                <w:szCs w:val="18"/>
              </w:rPr>
              <w:t xml:space="preserve">4.5 / 10</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Client Development Effort</w:t>
            </w:r>
          </w:p>
        </w:tc>
        <w:tc>
          <w:tcPr>
            <w:tcW w:type="dxa" w:w="11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8"/>
                <w:szCs w:val="18"/>
              </w:rPr>
              <w:t xml:space="preserve">8.0 / 10</w:t>
            </w:r>
          </w:p>
        </w:tc>
        <w:tc>
          <w:tcPr>
            <w:tcW w:type="dxa" w:w="11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8"/>
                <w:szCs w:val="18"/>
              </w:rPr>
              <w:t xml:space="preserve">5.0 / 10</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Estimated Onboarding Timeline</w:t>
            </w:r>
          </w:p>
        </w:tc>
        <w:tc>
          <w:tcPr>
            <w:tcW w:type="dxa" w:w="11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8"/>
                <w:szCs w:val="18"/>
              </w:rPr>
              <w:t xml:space="preserve">12–16 wks</w:t>
            </w:r>
          </w:p>
        </w:tc>
        <w:tc>
          <w:tcPr>
            <w:tcW w:type="dxa" w:w="11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8"/>
                <w:szCs w:val="18"/>
              </w:rPr>
              <w:t xml:space="preserve">7–10 wks</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Derivable / Removable Fields</w:t>
            </w:r>
          </w:p>
        </w:tc>
        <w:tc>
          <w:tcPr>
            <w:tcW w:type="dxa" w:w="11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8"/>
                <w:szCs w:val="18"/>
              </w:rPr>
              <w:t xml:space="preserve">21 fields</w:t>
            </w:r>
          </w:p>
        </w:tc>
        <w:tc>
          <w:tcPr>
            <w:tcW w:type="dxa" w:w="11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8"/>
                <w:szCs w:val="18"/>
              </w:rPr>
              <w:t xml:space="preserve">0 fields</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Duplicate Validation Rules</w:t>
            </w:r>
          </w:p>
        </w:tc>
        <w:tc>
          <w:tcPr>
            <w:tcW w:type="dxa" w:w="11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8"/>
                <w:szCs w:val="18"/>
              </w:rPr>
              <w:t xml:space="preserve">10+ entries</w:t>
            </w:r>
          </w:p>
        </w:tc>
        <w:tc>
          <w:tcPr>
            <w:tcW w:type="dxa" w:w="11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8"/>
                <w:szCs w:val="18"/>
              </w:rPr>
              <w:t xml:space="preserve">0 duplicates</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Redundant Mandatory Fields</w:t>
            </w:r>
          </w:p>
        </w:tc>
        <w:tc>
          <w:tcPr>
            <w:tcW w:type="dxa" w:w="11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8"/>
                <w:szCs w:val="18"/>
              </w:rPr>
              <w:t xml:space="preserve">8 fields</w:t>
            </w:r>
          </w:p>
        </w:tc>
        <w:tc>
          <w:tcPr>
            <w:tcW w:type="dxa" w:w="11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8"/>
                <w:szCs w:val="18"/>
              </w:rPr>
              <w:t xml:space="preserve">0 fields</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2"/>
          <w:szCs w:val="32"/>
        </w:rPr>
        <w:t xml:space="preserve">2. Optimisation Recommendations (Priority-Ranked)</w:t>
      </w:r>
    </w:p>
    <w:p>
      <w:pPr>
        <w:spacing w:after="60" w:before="60"/>
      </w:pPr>
      <w:r>
        <w:rPr>
          <w:rFonts w:ascii="Arial" w:cs="Arial" w:eastAsia="Arial" w:hAnsi="Arial"/>
          <w:b w:val="false"/>
          <w:bCs w:val="false"/>
          <w:i w:val="false"/>
          <w:iCs w:val="false"/>
          <w:color w:val="333333"/>
          <w:sz w:val="20"/>
          <w:szCs w:val="20"/>
        </w:rPr>
        <w:t xml:space="preserve">The following table presents all identified optimisations ranked P1 (Critical) through P4 (Low). P1 and P2 items should be addressed before any client onboarding. P3 items should be resolved in V1.1. P4 items are desirable improvements for V2.</w:t>
      </w:r>
    </w:p>
    <w:p>
      <w:pPr>
        <w:spacing w:after="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2000"/>
        <w:gridCol w:w="2000"/>
        <w:gridCol w:w="1300"/>
        <w:gridCol w:w="900"/>
        <w:gridCol w:w="800"/>
      </w:tblGrid>
      <w:tr>
        <w:trPr>
          <w:tblHeader/>
        </w:trPr>
        <w:tc>
          <w:tcPr>
            <w:tcW w:type="dxa" w:w="9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Priority</w:t>
            </w:r>
          </w:p>
        </w:tc>
        <w:tc>
          <w:tcPr>
            <w:tcW w:type="dxa" w:w="13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Current Field/Section</w:t>
            </w:r>
          </w:p>
        </w:tc>
        <w:tc>
          <w:tcPr>
            <w:tcW w:type="dxa" w:w="2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Issue Identified</w:t>
            </w:r>
          </w:p>
        </w:tc>
        <w:tc>
          <w:tcPr>
            <w:tcW w:type="dxa" w:w="2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Recommended Change</w:t>
            </w:r>
          </w:p>
        </w:tc>
        <w:tc>
          <w:tcPr>
            <w:tcW w:type="dxa" w:w="13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Business Impact</w:t>
            </w:r>
          </w:p>
        </w:tc>
        <w:tc>
          <w:tcPr>
            <w:tcW w:type="dxa" w:w="9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Dev Effort Reduction</w:t>
            </w:r>
          </w:p>
        </w:tc>
        <w:tc>
          <w:tcPr>
            <w:tcW w:type="dxa" w:w="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Space Saving</w:t>
            </w:r>
          </w:p>
        </w:tc>
      </w:tr>
      <w:tr>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RECORD_TYPE + flat-file multi-record design</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9 logical entity types embedded in a single CSV via RECORD_TYPE column. Most fields are irrelevant per row, causing massive sparse/empty column problem (60–80 columns mostly null per row type).</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Adopt a proper multi-file or JSON envelope. Separate concern: PROPERTY core, PARTIES (owner+borrower+co-borrower), LOAN, CHARGE, VALUATION, DOCS as linked child records via MEMBER_PROPERTY_REFERENCE.</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Eliminates sparse data, reduces per-row column count from ~80 to 15–25, dramatically reduces client ETL mapping effort.</w:t>
            </w:r>
          </w:p>
        </w:tc>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~40% reduction</w:t>
            </w:r>
          </w:p>
        </w:tc>
        <w:tc>
          <w:tcPr>
            <w:tcW w:type="dxa" w:w="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~50% reduction in columns</w:t>
            </w:r>
          </w:p>
        </w:tc>
      </w:tr>
      <w:tr>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PROPERTY_AGE_YEARS</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Derivable from YEAR_OF_CONSTRUCTION and REPORTING_PERIOD_END. Forces client to calculate and submit a redundant integer.</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Derive at bureau ingestion: REPORTING_PERIOD_END.year − YEAR_OF_CONSTRUCTION.</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Zero data loss. Removes one mandatory mapping point for all clients.</w:t>
            </w:r>
          </w:p>
        </w:tc>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mapping + validation dev</w:t>
            </w:r>
          </w:p>
        </w:tc>
        <w:tc>
          <w:tcPr>
            <w:tcW w:type="dxa" w:w="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DATA_AS_OF_DATE</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Documentation states 'if blank, defaults to REPORTING_PERIOD_END'. In practice, for regulatory snapshots these two dates are almost always identical. When different, clients struggle to explain the delta.</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DATA_AS_OF_DATE. If truly required, make it a submission-level metadata flag rather than a row-level field.</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Simplifies header structure. Low regulatory risk since REPORTING_PERIOD_END captures the authoritative snapshot date.</w:t>
            </w:r>
          </w:p>
        </w:tc>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for all submissions</w:t>
            </w:r>
          </w:p>
        </w:tc>
        <w:tc>
          <w:tcPr>
            <w:tcW w:type="dxa" w:w="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DELIMITER + ENCODING + FILE_VERSION (header fields)</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These three are submission-level technical metadata not business data. DELIMITER is irrelevant for API-based ingestion. ENCODING is always UTF-8 (per spec). FILE_VERSION is the standard version, not submission-specific.</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Move to API/HTTP header or manifest file. Make them system defaults, not submitted fields.</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header complexity. Clients don't need to populate fields whose value is predetermined.</w:t>
            </w:r>
          </w:p>
        </w:tc>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3 field mappings</w:t>
            </w:r>
          </w:p>
        </w:tc>
        <w:tc>
          <w:tcPr>
            <w:tcW w:type="dxa" w:w="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3 cols</w:t>
            </w:r>
          </w:p>
        </w:tc>
      </w:tr>
      <w:tr>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SUBMISSION_DATE vs REPORTING_PERIOD_END</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SUBMISSION_DATE is the date the file is transmitted. This is system-generated by the bureau's ingestion layer (server timestamp). There is no reason for clients to submit it — they could set any value.</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SUBMISSION_DATE. Bureau should capture ingestion timestamp server-side.</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Eliminates a mandatory field clients have no unique knowledge about. Bureau timestamp is more reliable.</w:t>
            </w:r>
          </w:p>
        </w:tc>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w:t>
            </w:r>
          </w:p>
        </w:tc>
        <w:tc>
          <w:tcPr>
            <w:tcW w:type="dxa" w:w="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MEMBER_INSTITUTION_NAME (header)</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Mandatory match against bureau master. Bureau already knows the institution name from MEMBER_INSTITUTION_CODE. This is purely a display/audit redundancy.</w:t>
            </w:r>
          </w:p>
        </w:tc>
        <w:tc>
          <w:tcPr>
            <w:tcW w:type="dxa" w:w="20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Bureau resolves institution name from its master using MEMBER_INSTITUTION_CODE.</w:t>
            </w:r>
          </w:p>
        </w:tc>
        <w:tc>
          <w:tcPr>
            <w:tcW w:type="dxa" w:w="13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Zero information loss. Eliminates a potential mismatch error source (name format drift vs master).</w:t>
            </w:r>
          </w:p>
        </w:tc>
        <w:tc>
          <w:tcPr>
            <w:tcW w:type="dxa" w:w="9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w:t>
            </w:r>
          </w:p>
        </w:tc>
        <w:tc>
          <w:tcPr>
            <w:tcW w:type="dxa" w:w="8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BORROWER_COUNTRY (always IN)</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V1 supports only 'IN'. Clients must populate a mandatory field with a hard-coded value. This is compliance theatre.</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Default IN at ingestion. Add country field in V2 if cross-border lending is introduced.</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Zero data loss in V1. Removes a mandatory constant field clients must map.</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+ 1 validation</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6"/>
                <w:szCs w:val="16"/>
              </w:rPr>
              <w:t xml:space="preserve">P1 – CRITICAL</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COUNTRY (property, always IN)</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Same issue as BORROWER_COUNTRY. V1 only supports India.</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System default IN.</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Same as above.</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6"/>
                <w:szCs w:val="16"/>
              </w:rPr>
              <w:t xml:space="preserve">P2 – HIGH</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BUILDING_NAME + TOWER_NAME + PROJECT_NAME</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Three separate fields for different levels of a project hierarchy. In practice, many institutions embed all three in BUILDING_NAME or ADDRESS_LINE_1, leading to inconsistent population. TOWER_NAME is inside BUILDING_NAME conceptually.</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Consolidate: PROJECT_NAME (mandatory for APARTMENT/VILLA/ROW_HOUSE), BUILDING_UNIT_IDENTIFIER (combines building, tower, wing as free text). Remove TOWER_NAME as standalone.</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mandatory conditional fields from 3 to 2. Simplifies address composition logic for clients.</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1–2 field mappings</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6"/>
                <w:szCs w:val="16"/>
              </w:rPr>
              <w:t xml:space="preserve">P2 – HIGH</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REGISTRAR_OFFICE (free text)</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Unstructured free text with no validation. Matching value is LOW (per spec). Not used for any validation logic. Different branches of the same lender will populate inconsistently.</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or make entirely optional metadata with no processing dependency. If kept, constrain to state-level registrar jurisdiction code.</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Minimal regulatory impact. Removes a free-text field that adds noise without matching value.</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6"/>
                <w:szCs w:val="16"/>
              </w:rPr>
              <w:t xml:space="preserve">P2 – HIGH</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PROPERTY_DESCRIPTION (500-char free text)</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Matching importance listed as MEDIUM. No validation beyond printable characters. Will be populated inconsistently across clients. Adds 500 bytes per record with low analytical value.</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from mandatory submission scope. Allow as enrichment payload in extended API version.</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average row payload significantly. Clients need not extract and clean unstructured property descriptions.</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 data cleanup</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6"/>
                <w:szCs w:val="16"/>
              </w:rPr>
              <w:t xml:space="preserve">P2 – HIGH</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CO_BORROWER_FLAG + CO_BORROWER_SEQUENCE relationship</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CO_BORROWER_FLAG=Y is redundant if CO_BORROWER rows exist. It is an explicit flag that mirrors implicit presence. Clients must keep flag in sync with actual co-borrower rows, creating two sources of truth.</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CO_BORROWER_FLAG. Existence of CO_BORROWER_SEQUENCE rows implies the flag. Bureau infers presence from linked records.</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Removes one flag with significant sync/consistency risk. Clients often forget to update flag when adding/removing co-borrowers.</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 sync validation</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6"/>
                <w:szCs w:val="16"/>
              </w:rPr>
              <w:t xml:space="preserve">P2 – HIGH</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OWNER_TYPE replicates BORROWER_TYPE enum</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OWNER_TYPE uses the BORROWER_TYPE enum (INDIVIDUAL, PROPRIETORSHIP, etc.). This is conceptually correct, but creates confusion: the property owner may or may not be the borrower. Using BORROWER_TYPE as the enum for an ownership field is semantically misleading.</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Rename enum reference to ENTITY_TYPE and use it for both OWNER_TYPE and BORROWER_TYPE. Same values, cleaner name.</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confusion in client mapping. Developer sees ENTITY_TYPE and understands both contexts.</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Negligible dev effort change</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0 cols (rename only)</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6"/>
                <w:szCs w:val="16"/>
              </w:rPr>
              <w:t xml:space="preserve">P2 – HIGH</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DPD + NPA_CLASSIFICATION dual submission</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DPD is a numeric indicator. NPA_CLASSIFICATION is derived from DPD per RBI norms (SMA0 = 1–30 DPD, SMA1 = 31–60, SMA2 = 61–90, Sub-Standard &gt; 90). Both are submitted, creating potential inconsistency.</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NPA_CLASSIFICATION from submission. Bureau derives it from DPD using published RBI classification rules.</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Eliminates inconsistency risk where DPD=45 but NPA=STANDARD. Bureau computation is authoritative for regulatory reporting.</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 complex conditional validation</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6"/>
                <w:szCs w:val="16"/>
              </w:rPr>
              <w:t xml:space="preserve">P2 – HIGH</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TOTAL_RECORD_COUNT (header)</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Clients must count rows before submission. For large files or incremental submissions, this is error-prone. The bureau must re-count anyway to validate. This creates a 2-party count that must agree.</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Make TOTAL_RECORD_COUNT optional. Bureau counts rows on receipt and reports discrepancy in acknowledgement. Remove as mandatory field.</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one common source of submission failure (miscounts). Bureau validation is more reliable than client pre-computation.</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mandatory computation</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P3 – MEDIUM</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TITLE_DOCUMENT_TYPE + TITLE_DOCUMENT_DATE + SALE_DEED_NUMBER + REGISTRATION_NUMBER + REGISTRATION_DATE (5 overlapping title fields)</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SALE_DEED_NUMBER is one specific type of TITLE_DOCUMENT. REGISTRATION_NUMBER is the registrar's ref for that deed. These five fields partially overlap and have complex conditional dependencies (REGISTRATION_NUMBER required if SALE_DEED_NUMBER, REGISTRATION_DATE required if REGISTRATION_NUMBER).</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Consolidate to: TITLE_DOCUMENT_TYPE, TITLE_DOCUMENT_NUMBER (replaces SALE_DEED_NUMBER + REGISTRATION_NUMBER), TITLE_DOCUMENT_DATE (single date). Merge REGISTRATION_NUMBER into TITLE_DOCUMENT_NUMBER with a note on format.</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5 fields to 3. Simplifies conditional dependency chain. Clients have one place to put the registration reference.</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2 fields + 2 conditional validations</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2 cols</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P3 – MEDIUM</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KHATA_NUMBER + MUNICIPAL_PROPERTY_ID + PROPERTY_TAX_NUMBER (3 municipal ID fields)</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These three fields capture essentially the same municipal/local body identifier that appears under different names in different states. Karnataka uses Khata, others use PID, others use PTIN. In most submissions, at most 1 of these 3 will be populated.</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Consolidate to MUNICIPAL_AUTHORITY_ID with a MUNICIPAL_ID_TYPE indicator (enum: KHATA, PID, PTIN, OTHER). Single value with declared type.</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3 rarely-populated fields to 1 populated field + 1 short enum. Improves data quality as clients put the right value in the right place.</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2 fields, reduces client confusion</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2 cols</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P3 – MEDIUM</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LAST_DOCUMENT_REVIEW_DATE (Document Status section)</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This is a member operational date, not a regulatory data point. Matching importance is LOW. No cross-field validation depends on it. Rarely populated meaningfully.</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Or move to a member-internal notes field excluded from bureau analytics.</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regulatory impact. Reduces operational burden for document review date tracking.</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P3 – MEDIUM</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Borrower address fully mirrors property address structure (12 fields) + BORROWER_ADDRESS_SAME_AS_PROPERTY flag</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The borrower address section has 12 fields that directly mirror the 10 property location fields, plus a flag to skip them. When SAME_AS_PROPERTY=Y, all 12 fields are irrelevant. When N, clients must populate two full address blocks per submission.</w:t>
            </w:r>
          </w:p>
        </w:tc>
        <w:tc>
          <w:tcPr>
            <w:tcW w:type="dxa" w:w="20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When SAME_AS_PROPERTY=Y, accept only the flag — no address fields required. When N, require only: BORROWER_ADDRESS_LINE_1, BORROWER_LOCALITY, BORROWER_CITY, BORROWER_STATE, BORROWER_PINCODE (5 fields). Drop BORROWER_COUNTRY, BORROWER_DISTRICT as derivable from STATE.</w:t>
            </w:r>
          </w:p>
        </w:tc>
        <w:tc>
          <w:tcPr>
            <w:tcW w:type="dxa" w:w="13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borrower address from 12 mandatory fields (when N) to 5 core fields. Saves ~7 field mappings per submission.</w:t>
            </w:r>
          </w:p>
        </w:tc>
        <w:tc>
          <w:tcPr>
            <w:tcW w:type="dxa" w:w="9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5–7 fields in typical case</w:t>
            </w:r>
          </w:p>
        </w:tc>
        <w:tc>
          <w:tcPr>
            <w:tcW w:type="dxa" w:w="8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5 cols</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P3 – MEDIUM</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VALUATION_SEQUENCE + IS_LATEST_VALUATION dual mechanism</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VALUATION_SEQUENCE starts at 1 for latest. IS_LATEST_VALUATION=Y flags the current valuation. These are redundant — you can infer 'latest' from VALUATION_SEQUENCE=1 or max date. Having both creates VR-016 complexity.</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IS_LATEST_VALUATION. Define latest valuation as the row with latest VALUATION_DATE among active valuation rows for a property. Bureau computes this at ingestion.</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Removes a per-row boolean that clients must keep consistent across multiple valuation rows.</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 VR-016 validation</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P3 – MEDIUM</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EMI_AMOUNT as submitted field</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EMI is derivable from SANCTION_AMOUNT, INTEREST_RATE, TENURE_MONTHS using standard amortization formula. Clients are submitting a calculated output that the bureau can compute.</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EMI_AMOUNT. Bureau computes approximate EMI from principal, rate, tenure. If exact EMI differs due to product features, capture as an optional field.</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Removes client calculation burden. Eliminates EMI errors caused by product-specific computation differences.</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 + client computation logic</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P3 – MEDIUM</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CHARGE_AMOUNT vs SANCTION_AMOUNT redundancy</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CHARGE_AMOUNT is 'amount secured by charge'. For a standard home loan with single equitable mortgage, CHARGE_AMOUNT = SANCTION_AMOUNT. Clients must maintain two amounts that are usually identical.</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Keep both but make CHARGE_AMOUNT conditional: required only when CHARGE_AMOUNT ≠ SANCTION_AMOUNT (e.g., partial charges, pari passu). Default to SANCTION_AMOUNT when not supplied.</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mandatory fields for ~80% of standard home loan submissions.</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mandatory mapping in most cases</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0 cols (conditional logic change)</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P4 – LOW</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BRANCH_CODE + REGION_CODE (institution reference)</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Both are member-internal identifiers with no bureau validation (BRANCH_CODE: 'must exist in member branch master if populated' — but bureau does not have the branch master). These are internal organizational fields that add no regulatory value.</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both fields from core submission. Offer as extended enrichment fields for members who want to tag their submissions for internal reporting purposes.</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regulatory impact. Reduces mandatory institutional reference fields.</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2 fields</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2 cols</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P4 – LOW</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PRIOR_CHARGE_EXISTS (Y/N) + PRIOR_CHARGE_HOLDER_NAME</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PRIOR_CHARGE_EXISTS is a boolean that gates PRIOR_CHARGE_HOLDER_NAME. Presence of PRIOR_CHARGE_HOLDER_NAME already implies YES. This is a pattern repeated across the spec (CO_BORROWER_FLAG, etc.).</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PRIOR_CHARGE_EXISTS flag. If PRIOR_CHARGE_HOLDER_NAME is populated, prior charge is implied. If blank, prior charge is not declared.</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Removes one redundant flag. Consistent approach: presence of dependent data implies the parent condition.</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field</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1 col</w:t>
            </w:r>
          </w:p>
        </w:tc>
      </w:tr>
      <w:tr>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6"/>
                <w:szCs w:val="16"/>
              </w:rPr>
              <w:t xml:space="preserve">P4 – LOW</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OCCUPANCY_STATUS enum includes UNDER_CONSTRUCTION which duplicates CONSTRUCTION_STATUS=UNDER_CONSTRUCTION</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 property can have CONSTRUCTION_STATUS=UNDER_CONSTRUCTION and OCCUPANCY_STATUS=UNDER_CONSTRUCTION simultaneously. These are the same fact expressed in two places. For completed properties, OCCUPANCY_STATUS captures the meaningful state.</w:t>
            </w:r>
          </w:p>
        </w:tc>
        <w:tc>
          <w:tcPr>
            <w:tcW w:type="dxa" w:w="2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UNDER_CONSTRUCTION from OCCUPANCY_STATUS enum. When CONSTRUCTION_STATUS=UNDER_CONSTRUCTION, OCCUPANCY_STATUS is implicitly N/A or system-set. Retain SELF_OCCUPIED, RENTED, VACANT for completed properties only.</w:t>
            </w:r>
          </w:p>
        </w:tc>
        <w:tc>
          <w:tcPr>
            <w:tcW w:type="dxa" w:w="13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Removes duplicate fact. Simplifies validation logic for under-construction properties.</w:t>
            </w:r>
          </w:p>
        </w:tc>
        <w:tc>
          <w:tcPr>
            <w:tcW w:type="dxa" w:w="9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Saves 1 enum value + conditional logic</w:t>
            </w:r>
          </w:p>
        </w:tc>
        <w:tc>
          <w:tcPr>
            <w:tcW w:type="dxa" w:w="8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Minor</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2"/>
          <w:szCs w:val="32"/>
        </w:rPr>
        <w:t xml:space="preserve">3. Fields Recommended for Removal or Demotion</w:t>
      </w:r>
    </w:p>
    <w:p>
      <w:pPr>
        <w:spacing w:after="60" w:before="60"/>
      </w:pPr>
      <w:r>
        <w:rPr>
          <w:rFonts w:ascii="Arial" w:cs="Arial" w:eastAsia="Arial" w:hAnsi="Arial"/>
          <w:b w:val="false"/>
          <w:bCs w:val="false"/>
          <w:i w:val="false"/>
          <w:iCs w:val="false"/>
          <w:color w:val="333333"/>
          <w:sz w:val="20"/>
          <w:szCs w:val="20"/>
        </w:rPr>
        <w:t xml:space="preserve">The following 21 fields are recommended for removal from mandatory scope, full removal, or demotion to optional enrichment. All are either derivable, constant, system-generated, or operationally redundant. No regulatory data is lost.</w:t>
      </w:r>
    </w:p>
    <w:p>
      <w:pPr>
        <w:spacing w:after="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000"/>
        <w:gridCol w:w="2300"/>
      </w:tblGrid>
      <w:tr>
        <w:trPr>
          <w:tblHeader/>
        </w:trPr>
        <w:tc>
          <w:tcPr>
            <w:tcW w:type="dxa" w:w="17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Field Name</w:t>
            </w:r>
          </w:p>
        </w:tc>
        <w:tc>
          <w:tcPr>
            <w:tcW w:type="dxa" w:w="23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Reason for Removal / Demotion</w:t>
            </w:r>
          </w:p>
        </w:tc>
        <w:tc>
          <w:tcPr>
            <w:tcW w:type="dxa" w:w="2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Can Be Derived?</w:t>
            </w:r>
          </w:p>
        </w:tc>
        <w:tc>
          <w:tcPr>
            <w:tcW w:type="dxa" w:w="23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Risk of Removal</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SUBMISSION_DATE</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System-generated; bureau captures ingestion timestamp</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server-side timestamp</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bureau gets more reliable timestamp</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DATA_AS_OF_DATE</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Defaults to REPORTING_PERIOD_END in &gt;95% of cases</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default to REPORTING_PERIOD_END</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rarely used distinctly from reporting date</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DELIMITER</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Always COMMA or PIPE; can be HTTP/API metadata</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content-type / API spec default</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no data value</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ENCODING</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Always UTF-8; specification mandates UTF-8</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system default UTF-8</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NONE — constant field</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FILE_VERSION</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Spec version belongs in API/manifest, not data row</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API version header</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rarely changes</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MEMBER_INSTITUTION_NAME</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Derivable from MEMBER_INSTITUTION_CODE via bureau master</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bureau master lookup</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display only</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COUNTRY (property)</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V1 India-only; system default IN</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hardcode IN</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NONE — constant</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BORROWER_COUNTRY</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V1 India-only; system default IN</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hardcode IN</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NONE — constant</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PROPERTY_AGE_YEARS</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REPORTING_PERIOD_END.year − YEAR_OF_CONSTRUCTION</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trivial arithmetic</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clients often calculate incorrectly anyway</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CO_BORROWER_FLAG</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Presence of CO_BORROWER rows implies YES</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inferred from row presence</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MEDIUM — mismatch errors common when flag not updated</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NPA_CLASSIFICATION</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Derivable from DPD per RBI published norms</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RBI DPD classification table</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bureau computation is more authoritative</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IS_LATEST_VALUATION</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Derivable: max(VALUATION_DATE) per property</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max date logic at ingestion</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VR-016 consistency errors are common</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EMI_AMOUNT</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Derivable from SANCTION_AMOUNT, INTEREST_RATE, TENURE_MONTHS via amortization</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financial calculation</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MEDIUM — client computation variations cause data quality issues</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PRIOR_CHARGE_EXISTS</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Presence of PRIOR_CHARGE_HOLDER_NAME is sufficient signal</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Yes — implied by non-null holder name</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redundant boolean flag</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LAST_DOCUMENT_REVIEW_DATE</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Operational date; no regulatory requirement; matching importance LOW</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 member operational data</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rarely populated meaningfully</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REGISTRAR_OFFICE (standalone)</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Free text, matching importance LOW, no validation logic dependency</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 but can be part of TITLE_DOCUMENT metadata</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inconsistently populated across clients</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PROPERTY_DESCRIPTION (mandatory scope)</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Free-text 500-char blob with minimal matching value</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 should be optional enrichment only</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MEDIUM — clients struggle to source clean descriptions from LOS</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BRANCH_CODE</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bureau validation; member-internal field only</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 member internal only</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no regulatory value to bureau</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REGION_CODE</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bureau validation; member-internal field only</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 — member internal only</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no regulatory value to bureau</w:t>
            </w:r>
          </w:p>
        </w:tc>
      </w:tr>
      <w:tr>
        <w:tc>
          <w:tcPr>
            <w:tcW w:type="dxa" w:w="1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TOWER_NAME (standalone)</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Can be concatenated into BUILDING_NAME or BUILDING_UNIT_IDENTIFIER</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Partial — fold into parent field</w:t>
            </w:r>
          </w:p>
        </w:tc>
        <w:tc>
          <w:tcPr>
            <w:tcW w:type="dxa" w:w="2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LOW — inconsistently used; many institutions leave blank</w:t>
            </w:r>
          </w:p>
        </w:tc>
      </w:tr>
      <w:tr>
        <w:tc>
          <w:tcPr>
            <w:tcW w:type="dxa" w:w="1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TOTAL_RECORD_COUNT (mandatory)</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Bureau counts rows on ingestion; client count often wrong</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Partial — bureau computes and reports mismatch</w:t>
            </w:r>
          </w:p>
        </w:tc>
        <w:tc>
          <w:tcPr>
            <w:tcW w:type="dxa" w:w="2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HIGH — most common cause of initial submission failures</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2"/>
          <w:szCs w:val="32"/>
        </w:rPr>
        <w:t xml:space="preserve">4. Fields Recommended for Consolidation</w:t>
      </w:r>
    </w:p>
    <w:p>
      <w:pPr>
        <w:spacing w:after="60" w:before="60"/>
      </w:pPr>
      <w:r>
        <w:rPr>
          <w:rFonts w:ascii="Arial" w:cs="Arial" w:eastAsia="Arial" w:hAnsi="Arial"/>
          <w:b w:val="false"/>
          <w:bCs w:val="false"/>
          <w:i w:val="false"/>
          <w:iCs w:val="false"/>
          <w:color w:val="333333"/>
          <w:sz w:val="20"/>
          <w:szCs w:val="20"/>
        </w:rPr>
        <w:t xml:space="preserve">The following field groups should be merged into single standardised fields or removed via system defaults. Total field savings from consolidation: ~14 fields across all sections.</w:t>
      </w:r>
    </w:p>
    <w:p>
      <w:pPr>
        <w:spacing w:after="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00"/>
      </w:tblGrid>
      <w:tr>
        <w:trPr>
          <w:tblHeader/>
        </w:trPr>
        <w:tc>
          <w:tcPr>
            <w:tcW w:type="dxa" w:w="22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Existing Fields</w:t>
            </w:r>
          </w:p>
        </w:tc>
        <w:tc>
          <w:tcPr>
            <w:tcW w:type="dxa" w:w="1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Proposed Field / Action</w:t>
            </w:r>
          </w:p>
        </w:tc>
        <w:tc>
          <w:tcPr>
            <w:tcW w:type="dxa" w:w="43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Consolidation Logic</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SALE_DEED_NUMBER + REGISTRATION_NUMBER</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TITLE_DOCUMENT_NUMBER</w:t>
            </w:r>
          </w:p>
        </w:tc>
        <w:tc>
          <w:tcPr>
            <w:tcW w:type="dxa" w:w="4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Single alphanumeric field for the primary title/registration reference. TITLE_DOCUMENT_TYPE indicates what kind of number it is. Reduces 2 fields + dependent dates to 1 unified identifier.</w:t>
            </w:r>
          </w:p>
        </w:tc>
      </w:tr>
      <w:tr>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REGISTRATION_DATE + TITLE_DOCUMENT_DATE</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TITLE_DOCUMENT_DATE</w:t>
            </w:r>
          </w:p>
        </w:tc>
        <w:tc>
          <w:tcPr>
            <w:tcW w:type="dxa" w:w="4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Single date for the primary document. When registration exists (sale deed), this date = registration date. Eliminates conditional date-date dependency chain.</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KHATA_NUMBER + MUNICIPAL_PROPERTY_ID + PROPERTY_TAX_NUMBER</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MUNICIPAL_AUTHORITY_ID + MUNICIPAL_ID_TYPE</w:t>
            </w:r>
          </w:p>
        </w:tc>
        <w:tc>
          <w:tcPr>
            <w:tcW w:type="dxa" w:w="4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Single value with a 4-value enum (KHATA / PID / PTIN / OTHER). Clients submit whichever applies to the state/ULB. 3 fields → 2 fields with better data quality.</w:t>
            </w:r>
          </w:p>
        </w:tc>
      </w:tr>
      <w:tr>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BUILDING_NAME + TOWER_NAME</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BUILDING_UNIT_IDENTIFIER</w:t>
            </w:r>
          </w:p>
        </w:tc>
        <w:tc>
          <w:tcPr>
            <w:tcW w:type="dxa" w:w="4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Free-text field combining building/wing/tower/block identifiers as applicable. PROJECT_NAME remains separate as it is the registered project name (RERA-aligned). Reduces 2 fields to 1.</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BORROWER_COUNTRY + COUNTRY (property)</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System default IN</w:t>
            </w:r>
          </w:p>
        </w:tc>
        <w:tc>
          <w:tcPr>
            <w:tcW w:type="dxa" w:w="4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Both removed. Single constant IN applied at ingestion for all V1 records. When V2 supports cross-border, reintroduce PROPERTY_COUNTRY as optional.</w:t>
            </w:r>
          </w:p>
        </w:tc>
      </w:tr>
      <w:tr>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SUBMISSION_DATE + DATA_AS_OF_DATE</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both (ingest timestamp + REPORTING_PERIOD_END default)</w:t>
            </w:r>
          </w:p>
        </w:tc>
        <w:tc>
          <w:tcPr>
            <w:tcW w:type="dxa" w:w="4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SUBMISSION_DATE replaced by bureau server timestamp. DATA_AS_OF_DATE defaults to REPORTING_PERIOD_END. 2 header fields removed.</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CO_BORROWER_FLAG + CO_BORROWER_SEQUENCE presence</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CO_BORROWER_SEQUENCE presence only</w:t>
            </w:r>
          </w:p>
        </w:tc>
        <w:tc>
          <w:tcPr>
            <w:tcW w:type="dxa" w:w="4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If CO_BORROWER_SEQUENCE rows exist linked to MEMBER_LOAN_ACCOUNT_NUMBER, co-borrowers are present. Flag is redundant. 1 flag removed.</w:t>
            </w:r>
          </w:p>
        </w:tc>
      </w:tr>
      <w:tr>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DPD + NPA_CLASSIFICATION</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DPD only</w:t>
            </w:r>
          </w:p>
        </w:tc>
        <w:tc>
          <w:tcPr>
            <w:tcW w:type="dxa" w:w="4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NPA_CLASSIFICATION computed by bureau from DPD per RBI Asset Classification circular. Single source of truth for the raw indicator.</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IS_LATEST_VALUATION + VALUATION_SEQUENCE</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VALUATION_DATE ordering only</w:t>
            </w:r>
          </w:p>
        </w:tc>
        <w:tc>
          <w:tcPr>
            <w:tcW w:type="dxa" w:w="4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Latest valuation = max VALUATION_DATE per property. Sequence remains for ordering. IS_LATEST_VALUATION boolean removed.</w:t>
            </w:r>
          </w:p>
        </w:tc>
      </w:tr>
      <w:tr>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BORROWER_DISTRICT + BORROWER_COUNTRY (address)</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both</w:t>
            </w:r>
          </w:p>
        </w:tc>
        <w:tc>
          <w:tcPr>
            <w:tcW w:type="dxa" w:w="4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BORROWER_DISTRICT can be inferred from PINCODE + BORROWER_STATE by bureau. BORROWER_COUNTRY is constant IN. 2 fields removed from borrower address.</w:t>
            </w:r>
          </w:p>
        </w:tc>
      </w:tr>
      <w:tr>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PRIOR_CHARGE_EXISTS + PRIOR_CHARGE_HOLDER_NAME</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PRIOR_CHARGE_HOLDER_NAME only</w:t>
            </w:r>
          </w:p>
        </w:tc>
        <w:tc>
          <w:tcPr>
            <w:tcW w:type="dxa" w:w="43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Non-null PRIOR_CHARGE_HOLDER_NAME implies prior charge exists. Null implies no prior charge. Boolean flag eliminated.</w:t>
            </w:r>
          </w:p>
        </w:tc>
      </w:tr>
      <w:tr>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DELIMITER + ENCODING + FILE_VERSION</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API/HTTP metadata</w:t>
            </w:r>
          </w:p>
        </w:tc>
        <w:tc>
          <w:tcPr>
            <w:tcW w:type="dxa" w:w="43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Move to API contract (Content-Type: text/csv; charset=utf-8, X-Submission-Version: 1.0). Not data fields. 3 header fields removed.</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2"/>
          <w:szCs w:val="32"/>
        </w:rPr>
        <w:t xml:space="preserve">5. Validation Rule Improvements</w:t>
      </w:r>
    </w:p>
    <w:p>
      <w:pPr>
        <w:spacing w:after="60" w:before="60"/>
      </w:pPr>
      <w:r>
        <w:rPr>
          <w:rFonts w:ascii="Arial" w:cs="Arial" w:eastAsia="Arial" w:hAnsi="Arial"/>
          <w:b w:val="false"/>
          <w:bCs w:val="false"/>
          <w:i w:val="false"/>
          <w:iCs w:val="false"/>
          <w:color w:val="333333"/>
          <w:sz w:val="20"/>
          <w:szCs w:val="20"/>
        </w:rPr>
        <w:t xml:space="preserve">The current Validation Rules sheet has structural issues: 10+ duplicate rule entries with inconsistent wording, several blocking validations that should be warnings, missing cross-section rules, and at least 3 gaps in data quality validation. The following improvements are recommended.</w:t>
      </w:r>
    </w:p>
    <w:p>
      <w:pPr>
        <w:spacing w:after="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800"/>
      </w:tblGrid>
      <w:tr>
        <w:trPr>
          <w:tblHeader/>
        </w:trPr>
        <w:tc>
          <w:tcPr>
            <w:tcW w:type="dxa" w:w="25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Current Validation / Gap</w:t>
            </w:r>
          </w:p>
        </w:tc>
        <w:tc>
          <w:tcPr>
            <w:tcW w:type="dxa" w:w="3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Proposed Validation</w:t>
            </w:r>
          </w:p>
        </w:tc>
        <w:tc>
          <w:tcPr>
            <w:tcW w:type="dxa" w:w="2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Benefit</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VR-002: TOTAL_RECORD_COUNT must equal PROPERTY row count</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Make informational, not blocking. Bureau counts on receipt, returns delta in acknowledgement. Reject only when count is zero.</w:t>
            </w:r>
          </w:p>
        </w:tc>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Removes most common reason for submission rejection on first attempt. Clients often submit before final file count is known.</w:t>
            </w:r>
          </w:p>
        </w:tc>
      </w:tr>
      <w:tr>
        <w:tc>
          <w:tcPr>
            <w:tcW w:type="dxa" w:w="2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VR-006: Ownership percentages must sum to 100.00 ±0.01</w:t>
            </w:r>
          </w:p>
        </w:tc>
        <w:tc>
          <w:tcPr>
            <w:tcW w:type="dxa" w:w="3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Widen tolerance to ±1.00 to accommodate rounding across multiple co-owners (e.g. 3 owners at 33.33% each = 99.99%). Issue WARNING not ERROR for 99.00–101.00 range.</w:t>
            </w:r>
          </w:p>
        </w:tc>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false-positive rejections for multi-owner properties with non-trivial fractional shares.</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VR-007: PINCODE regex ^[1-9][0-9]{5}$</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Add whitelist exception for newly issued PINs that may start with 0 in future allocations. Use DB validation against India Post master rather than regex alone.</w:t>
            </w:r>
          </w:p>
        </w:tc>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Future-proofs validation. Pure regex will fail for legitimate new PIN series.</w:t>
            </w:r>
          </w:p>
        </w:tc>
      </w:tr>
      <w:tr>
        <w:tc>
          <w:tcPr>
            <w:tcW w:type="dxa" w:w="2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VR-008/VR-009: PAN format regex only</w:t>
            </w:r>
          </w:p>
        </w:tc>
        <w:tc>
          <w:tcPr>
            <w:tcW w:type="dxa" w:w="3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Add checksum digit validation (10th character derivable from first 9 chars per ITD algorithm) as WARNING level, not ERROR. Also validate that PAN type digit (4th char) matches entity type.</w:t>
            </w:r>
          </w:p>
        </w:tc>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Catches malformed PANs that pass regex (ABCDE1234F where F is incorrect check). Reduces downstream KYC exceptions.</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VR-013: REGISTRATION_NUMBER conditional on SALE_DEED_NUMBER</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After consolidation to TITLE_DOCUMENT_NUMBER, trigger is TITLE_DOCUMENT_TYPE in (SALE_DEED, GIFT_DEED, LEASE_DEED). Simpler, single-condition trigger.</w:t>
            </w:r>
          </w:p>
        </w:tc>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from a 2-field dependency (SALE_DEED_NUMBER → REGISTRATION_NUMBER) to a 1-field type check.</w:t>
            </w:r>
          </w:p>
        </w:tc>
      </w:tr>
      <w:tr>
        <w:tc>
          <w:tcPr>
            <w:tcW w:type="dxa" w:w="2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VR-016: Exactly one IS_LATEST_VALUATION=Y per property</w:t>
            </w:r>
          </w:p>
        </w:tc>
        <w:tc>
          <w:tcPr>
            <w:tcW w:type="dxa" w:w="3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VR-016 entirely after removing IS_LATEST_VALUATION field. Replace with: warn if two valuations on the same date for same property.</w:t>
            </w:r>
          </w:p>
        </w:tc>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Simplifies valuation section. VR-016 is one of the most frequently misunderstood validation rules by client developers.</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VR-020: Minimum 3 CRITICAL matching fields</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Replace with a scoring-based approach: properties must have a matching score ≥ 60 out of 100. Assign scores to: PINCODE(20), FLAT_NUMBER/PLOT_NUMBER(20), LOCALITY(15), PROJECT_NAME(15), PAN(15), CTS/SURVEY(15). Partial credit rather than binary pass/fail.</w:t>
            </w:r>
          </w:p>
        </w:tc>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arbitrary threshold failures. Clients in states with limited address data are disproportionately penalized by binary CRITICAL field count.</w:t>
            </w:r>
          </w:p>
        </w:tc>
      </w:tr>
      <w:tr>
        <w:tc>
          <w:tcPr>
            <w:tcW w:type="dxa" w:w="2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VR-012: CURRENT_OUTSTANDING ≤ SANCTION_AMOUNT (unless top-up)</w:t>
            </w:r>
          </w:p>
        </w:tc>
        <w:tc>
          <w:tcPr>
            <w:tcW w:type="dxa" w:w="3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Add explicit top-up flag (TOP_UP=Y) to loan record. When TOP_UP=Y, allow CURRENT_OUTSTANDING up to 150% of original SANCTION_AMOUNT. Remove the ambiguous 'unless top-up' qualifier.</w:t>
            </w:r>
          </w:p>
        </w:tc>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Eliminates a common ambiguity. Clients with top-up portfolios frequently trigger this validation incorrectly.</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Duplicate validation entries (VR-008 appears twice, VR-017 appears twice, VR-015 appears twice, VR-005 appears twice)</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Deduplicate validation rule sheet. Each Rule ID should appear exactly once. Merge field-level and rule-level descriptions into a single canonical row.</w:t>
            </w:r>
          </w:p>
        </w:tc>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Reduces spec ambiguity. Two entries for the same rule with slightly different wording causes client developers to implement conflicting logic.</w:t>
            </w:r>
          </w:p>
        </w:tc>
      </w:tr>
      <w:tr>
        <w:tc>
          <w:tcPr>
            <w:tcW w:type="dxa" w:w="2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Cross-section validation: BORROWER_TYPE=INDIVIDUAL but MEMBER_CUSTOMER_ID populated</w:t>
            </w:r>
          </w:p>
        </w:tc>
        <w:tc>
          <w:tcPr>
            <w:tcW w:type="dxa" w:w="3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Add explicit rule: MEMBER_CUSTOMER_ID is NOT required and should not be validated against INDIVIDUAL borrower type. The current spec says 'required when BORROWER_TYPE is not INDIVIDUAL', creating confusion for hybrid portfolios.</w:t>
            </w:r>
          </w:p>
        </w:tc>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Removes unnecessary validation complexity for institutions that always populate MEMBER_CUSTOMER_ID regardless of borrower type.</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Missing validation: No rule for CONSTRUCTION_STATUS=COMPLETED but YEAR_OF_CONSTRUCTION is future-dated</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Add VR-NEW-01: When CONSTRUCTION_STATUS=COMPLETED, YEAR_OF_CONSTRUCTION must be ≤ REPORTING_PERIOD_END year.</w:t>
            </w:r>
          </w:p>
        </w:tc>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Catches data entry errors where under-construction properties are prematurely marked complete.</w:t>
            </w:r>
          </w:p>
        </w:tc>
      </w:tr>
      <w:tr>
        <w:tc>
          <w:tcPr>
            <w:tcW w:type="dxa" w:w="2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Missing validation: No rule ensuring OWNERSHIP_PERCENT PRIMARY_OWNER exists</w:t>
            </w:r>
          </w:p>
        </w:tc>
        <w:tc>
          <w:tcPr>
            <w:tcW w:type="dxa" w:w="3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Add VR-NEW-02: At least one OWNERSHIP_ROLE=PRIMARY_OWNER row must exist per MEMBER_PROPERTY_REFERENCE with OWNERSHIP_PERCENT &gt; 0.</w:t>
            </w:r>
          </w:p>
        </w:tc>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Ensures every property has an identified primary owner — critical for matching and dispute resolution.</w:t>
            </w:r>
          </w:p>
        </w:tc>
      </w:tr>
      <w:tr>
        <w:tc>
          <w:tcPr>
            <w:tcW w:type="dxa" w:w="2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Missing validation: CHARGE_AMOUNT &gt; SANCTION_AMOUNT × 2 (anomaly check)</w:t>
            </w:r>
          </w:p>
        </w:tc>
        <w:tc>
          <w:tcPr>
            <w:tcW w:type="dxa" w:w="3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Add VR-NEW-03: CHARGE_AMOUNT &gt; SANCTION_AMOUNT × 1.5 triggers WARNING (not error). Flags potential data entry errors where charge amount is inflated.</w:t>
            </w:r>
          </w:p>
        </w:tc>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Catches transposed amounts. Common error where PROPERTY_VALUE is entered as CHARGE_AMOUNT.</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2"/>
          <w:szCs w:val="32"/>
        </w:rPr>
        <w:t xml:space="preserve">6. Final Optimised Design</w:t>
      </w:r>
    </w:p>
    <w:p>
      <w:pPr>
        <w:pStyle w:val="Heading2"/>
        <w:spacing w:after="120" w:before="300"/>
      </w:pPr>
      <w:r>
        <w:rPr>
          <w:rFonts w:ascii="Arial" w:cs="Arial" w:eastAsia="Arial" w:hAnsi="Arial"/>
          <w:b/>
          <w:bCs/>
          <w:color w:val="2E75B6"/>
          <w:sz w:val="26"/>
          <w:szCs w:val="26"/>
        </w:rPr>
        <w:t xml:space="preserve">6.1 Revised Section Structure</w:t>
      </w:r>
    </w:p>
    <w:p>
      <w:pPr>
        <w:spacing w:after="60" w:before="60"/>
      </w:pPr>
      <w:r>
        <w:rPr>
          <w:rFonts w:ascii="Arial" w:cs="Arial" w:eastAsia="Arial" w:hAnsi="Arial"/>
          <w:b w:val="false"/>
          <w:bCs w:val="false"/>
          <w:i w:val="false"/>
          <w:iCs w:val="false"/>
          <w:color w:val="333333"/>
          <w:sz w:val="20"/>
          <w:szCs w:val="20"/>
        </w:rPr>
        <w:t xml:space="preserve">The optimised design retains the 9 logical record types but significantly reduces field count within each section. All mandatory regulatory data is preserved.</w:t>
      </w:r>
    </w:p>
    <w:p>
      <w:pPr>
        <w:spacing w:after="0" w:before="6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700"/>
        <w:gridCol w:w="2600"/>
        <w:gridCol w:w="2000"/>
      </w:tblGrid>
      <w:tr>
        <w:trPr>
          <w:tblHeader/>
        </w:trPr>
        <w:tc>
          <w:tcPr>
            <w:tcW w:type="dxa" w:w="2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Section</w:t>
            </w:r>
          </w:p>
        </w:tc>
        <w:tc>
          <w:tcPr>
            <w:tcW w:type="dxa" w:w="1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Proposed Fields</w:t>
            </w:r>
          </w:p>
        </w:tc>
        <w:tc>
          <w:tcPr>
            <w:tcW w:type="dxa" w:w="7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Count</w:t>
            </w:r>
          </w:p>
        </w:tc>
        <w:tc>
          <w:tcPr>
            <w:tcW w:type="dxa" w:w="26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Key Changes</w:t>
            </w:r>
          </w:p>
        </w:tc>
        <w:tc>
          <w:tcPr>
            <w:tcW w:type="dxa" w:w="2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Core Mandatory Fields</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SUBMISSION_HEADER</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 fields</w:t>
            </w:r>
          </w:p>
        </w:tc>
        <w:tc>
          <w:tcPr>
            <w:tcW w:type="dxa" w:w="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w:t>
            </w:r>
          </w:p>
        </w:tc>
        <w:tc>
          <w:tcPr>
            <w:tcW w:type="dxa" w:w="2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SUBMISSION_DATE, DATA_AS_OF_DATE, DELIMITER, ENCODING, FILE_VERSION, MEMBER_INSTITUTION_NAME, TOTAL_RECORD_COUNT (demote to optional)</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SUBMISSION_REFERENCE, MEMBER_INSTITUTION_CODE, REPORTING_PERIOD_END, SUBMISSION_TYPE, CONTACT_EMAIL, RECORD_TYPE</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PROPERTY_CORE</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7 fields</w:t>
            </w:r>
          </w:p>
        </w:tc>
        <w:tc>
          <w:tcPr>
            <w:tcW w:type="dxa" w:w="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7</w:t>
            </w:r>
          </w:p>
        </w:tc>
        <w:tc>
          <w:tcPr>
            <w:tcW w:type="dxa" w:w="2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COUNTRY, PROPERTY_DESCRIPTION. Consolidate: BUILDING_NAME+TOWER_NAME → BUILDING_UNIT_IDENTIFIER. Keep mandatory geo fields.</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MEMBER_PROPERTY_REFERENCE, PROPERTY_TYPE, PROPERTY_SUBTYPE, CONSTRUCTION_STATUS, ADDRESS_LINE_1, LOCALITY, CITY, DISTRICT, STATE, PINCODE</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PROPERTY_IDENTIFIERS (optional enrichment)</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8 fields</w:t>
            </w:r>
          </w:p>
        </w:tc>
        <w:tc>
          <w:tcPr>
            <w:tcW w:type="dxa" w:w="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8</w:t>
            </w:r>
          </w:p>
        </w:tc>
        <w:tc>
          <w:tcPr>
            <w:tcW w:type="dxa" w:w="2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FLAT_NUMBER, PLOT_NUMBER, SURVEY_NUMBER, CTS_NUMBER, PROJECT_NAME, BUILDING_UNIT_IDENTIFIER, MUNICIPAL_AUTHORITY_ID, MUNICIPAL_ID_TYPE (all conditional-optional)</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Conditional on property subtype</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PROPERTY_PHYSICAL (optional)</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4 fields</w:t>
            </w:r>
          </w:p>
        </w:tc>
        <w:tc>
          <w:tcPr>
            <w:tcW w:type="dxa" w:w="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4</w:t>
            </w:r>
          </w:p>
        </w:tc>
        <w:tc>
          <w:tcPr>
            <w:tcW w:type="dxa" w:w="2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PROPERTY_AGE_YEARS (derived). Keep: BUILT_UP_AREA, LAND_AREA, AREA_UNIT, YEAR_OF_CONSTRUCTION, NUMBER_OF_FLOORS.</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Conditional on subtype</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TITLE &amp; REGISTRATION (optional)</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3 fields</w:t>
            </w:r>
          </w:p>
        </w:tc>
        <w:tc>
          <w:tcPr>
            <w:tcW w:type="dxa" w:w="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3</w:t>
            </w:r>
          </w:p>
        </w:tc>
        <w:tc>
          <w:tcPr>
            <w:tcW w:type="dxa" w:w="2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Consolidate 5 fields → 3: TITLE_DOCUMENT_TYPE, TITLE_DOCUMENT_NUMBER, TITLE_DOCUMENT_DATE. Remove REGISTRAR_OFFICE.</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Conditional</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OWNERSHIP</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 fields</w:t>
            </w:r>
          </w:p>
        </w:tc>
        <w:tc>
          <w:tcPr>
            <w:tcW w:type="dxa" w:w="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w:t>
            </w:r>
          </w:p>
        </w:tc>
        <w:tc>
          <w:tcPr>
            <w:tcW w:type="dxa" w:w="2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Keep all core. Remove TITLE_DOCUMENT_TYPE/DATE (moved above). Rename OWNER_TYPE enum reference to ENTITY_TYPE.</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OWNER_SEQUENCE, OWNER_NAME, OWNER_TYPE, OWNERSHIP_PERCENT, OWNERSHIP_ROLE, OWNER_PAN (conditional)</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BORROWER</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 fields</w:t>
            </w:r>
          </w:p>
        </w:tc>
        <w:tc>
          <w:tcPr>
            <w:tcW w:type="dxa" w:w="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w:t>
            </w:r>
          </w:p>
        </w:tc>
        <w:tc>
          <w:tcPr>
            <w:tcW w:type="dxa" w:w="2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CO_BORROWER_FLAG. Keep core borrower fields.</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BORROWER_TYPE, BORROWER_NAME, BORROWER_PAN, BORROWER_DATE_OF_BIRTH, BORROWER_MOBILE, BORROWER_EMAIL</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BORROWER_ADDRESS</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5 fields</w:t>
            </w:r>
          </w:p>
        </w:tc>
        <w:tc>
          <w:tcPr>
            <w:tcW w:type="dxa" w:w="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5</w:t>
            </w:r>
          </w:p>
        </w:tc>
        <w:tc>
          <w:tcPr>
            <w:tcW w:type="dxa" w:w="2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 from 12 to 5 core + SAME_AS_PROPERTY flag. Remove BORROWER_DISTRICT, BORROWER_COUNTRY.</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BORROWER_ADDRESS_SAME_AS_PROPERTY, BORROWER_ADDRESS_LINE_1, BORROWER_LOCALITY, BORROWER_CITY, BORROWER_STATE, BORROWER_PINCODE</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CO_BORROWER</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4 fields</w:t>
            </w:r>
          </w:p>
        </w:tc>
        <w:tc>
          <w:tcPr>
            <w:tcW w:type="dxa" w:w="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4</w:t>
            </w:r>
          </w:p>
        </w:tc>
        <w:tc>
          <w:tcPr>
            <w:tcW w:type="dxa" w:w="2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CO_BORROWER_FLAG dependency. Keep: CO_BORROWER_SEQUENCE, CO_BORROWER_NAME, CO_BORROWER_PAN, CO_BORROWER_RELATIONSHIP.</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CO_BORROWER_SEQUENCE, CO_BORROWER_NAME, CO_BORROWER_PAN, CO_BORROWER_RELATIONSHIP</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LOAN_ACCOUNT</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9 fields</w:t>
            </w:r>
          </w:p>
        </w:tc>
        <w:tc>
          <w:tcPr>
            <w:tcW w:type="dxa" w:w="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9</w:t>
            </w:r>
          </w:p>
        </w:tc>
        <w:tc>
          <w:tcPr>
            <w:tcW w:type="dxa" w:w="2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EMI_AMOUNT (derived), NPA_CLASSIFICATION (derived from DPD). Keep core financial data. Add TOP_UP flag.</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MEMBER_LOAN_ACCOUNT_NUMBER, PRODUCT_TYPE, SANCTION_DATE, DISBURSEMENT_DATE, SANCTION_AMOUNT, CURRENT_OUTSTANDING, ACCOUNT_STATUS, ACCOUNT_STATUS_DATE, DPD</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MORTGAGE_CHARGE</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 fields</w:t>
            </w:r>
          </w:p>
        </w:tc>
        <w:tc>
          <w:tcPr>
            <w:tcW w:type="dxa" w:w="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6</w:t>
            </w:r>
          </w:p>
        </w:tc>
        <w:tc>
          <w:tcPr>
            <w:tcW w:type="dxa" w:w="2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PRIOR_CHARGE_EXISTS flag (implied by holder name). Keep: CHARGE_SEQUENCE, CHARGE_TYPE, CHARGE_AMOUNT, CHARGE_REGISTRATION_DATE, CHARGE_REGISTRATION_NUMBER, CHARGE_STATUS, CHARGE_RELEASE_DATE, PRIOR_CHARGE_HOLDER_NAME.</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CHARGE_SEQUENCE, CHARGE_TYPE, CHARGE_AMOUNT, CHARGE_STATUS</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VALUATION</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5 fields</w:t>
            </w:r>
          </w:p>
        </w:tc>
        <w:tc>
          <w:tcPr>
            <w:tcW w:type="dxa" w:w="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5</w:t>
            </w:r>
          </w:p>
        </w:tc>
        <w:tc>
          <w:tcPr>
            <w:tcW w:type="dxa" w:w="2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IS_LATEST_VALUATION. Keep: VALUATION_SEQUENCE, VALUATION_DATE, VALUATION_AMOUNT, VALUATION_TYPE, VALUATOR_NAME.</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VALUATION_DATE, VALUATION_AMOUNT when populated</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DOCUMENT_STATUS</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5 fields</w:t>
            </w:r>
          </w:p>
        </w:tc>
        <w:tc>
          <w:tcPr>
            <w:tcW w:type="dxa" w:w="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5</w:t>
            </w:r>
          </w:p>
        </w:tc>
        <w:tc>
          <w:tcPr>
            <w:tcW w:type="dxa" w:w="2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LAST_DOCUMENT_REVIEW_DATE. Keep 5 document availability fields.</w:t>
            </w:r>
          </w:p>
        </w:tc>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All optional</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6"/>
                <w:szCs w:val="16"/>
              </w:rPr>
              <w:t xml:space="preserve">GEOCODE (optional)</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2 fields</w:t>
            </w:r>
          </w:p>
        </w:tc>
        <w:tc>
          <w:tcPr>
            <w:tcW w:type="dxa" w:w="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2</w:t>
            </w:r>
          </w:p>
        </w:tc>
        <w:tc>
          <w:tcPr>
            <w:tcW w:type="dxa" w:w="2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LATITUDE, LONGITUDE remain optional enrichment.</w:t>
            </w:r>
          </w:p>
        </w:tc>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Optional</w:t>
            </w:r>
          </w:p>
        </w:tc>
      </w:tr>
    </w:tbl>
    <w:p>
      <w:pPr>
        <w:spacing w:after="0" w:before="120"/>
      </w:pPr>
      <w:r>
        <w:t xml:space="preserve"/>
      </w:r>
    </w:p>
    <w:p>
      <w:pPr>
        <w:pStyle w:val="Heading2"/>
        <w:spacing w:after="120" w:before="300"/>
      </w:pPr>
      <w:r>
        <w:rPr>
          <w:rFonts w:ascii="Arial" w:cs="Arial" w:eastAsia="Arial" w:hAnsi="Arial"/>
          <w:b/>
          <w:bCs/>
          <w:color w:val="2E75B6"/>
          <w:sz w:val="26"/>
          <w:szCs w:val="26"/>
        </w:rPr>
        <w:t xml:space="preserve">6.2 Revised Sheet Layout</w:t>
      </w:r>
    </w:p>
    <w:p>
      <w:pPr>
        <w:spacing w:after="80" w:before="200"/>
      </w:pPr>
      <w:r>
        <w:rPr>
          <w:rFonts w:ascii="Arial" w:cs="Arial" w:eastAsia="Arial" w:hAnsi="Arial"/>
          <w:b/>
          <w:bCs/>
          <w:color w:val="1F3864"/>
          <w:sz w:val="22"/>
          <w:szCs w:val="22"/>
        </w:rPr>
        <w:t xml:space="preserve">Recommended: 5-Sheet Workbook Structure</w:t>
      </w:r>
    </w:p>
    <w:p>
      <w:pPr>
        <w:pStyle w:val="ListParagraph"/>
        <w:numPr>
          <w:ilvl w:val="0"/>
          <w:numId w:val="2"/>
        </w:numPr>
        <w:spacing w:after="40" w:before="40"/>
      </w:pPr>
      <w:r>
        <w:rPr>
          <w:rFonts w:ascii="Arial" w:cs="Arial" w:eastAsia="Arial" w:hAnsi="Arial"/>
          <w:b w:val="false"/>
          <w:bCs w:val="false"/>
          <w:color w:val="333333"/>
          <w:sz w:val="20"/>
          <w:szCs w:val="20"/>
        </w:rPr>
        <w:t xml:space="preserve">Sheet 1 — Submission Standard: Version, purpose, scope, key contacts, change log</w:t>
      </w:r>
    </w:p>
    <w:p>
      <w:pPr>
        <w:pStyle w:val="ListParagraph"/>
        <w:numPr>
          <w:ilvl w:val="0"/>
          <w:numId w:val="2"/>
        </w:numPr>
        <w:spacing w:after="40" w:before="40"/>
      </w:pPr>
      <w:r>
        <w:rPr>
          <w:rFonts w:ascii="Arial" w:cs="Arial" w:eastAsia="Arial" w:hAnsi="Arial"/>
          <w:b w:val="false"/>
          <w:bCs w:val="false"/>
          <w:color w:val="333333"/>
          <w:sz w:val="20"/>
          <w:szCs w:val="20"/>
        </w:rPr>
        <w:t xml:space="preserve">Sheet 2 — Field Specification: All ~73 fields with type, length, mandatory flag, validation reference, enum reference</w:t>
      </w:r>
    </w:p>
    <w:p>
      <w:pPr>
        <w:pStyle w:val="ListParagraph"/>
        <w:numPr>
          <w:ilvl w:val="0"/>
          <w:numId w:val="2"/>
        </w:numPr>
        <w:spacing w:after="40" w:before="40"/>
      </w:pPr>
      <w:r>
        <w:rPr>
          <w:rFonts w:ascii="Arial" w:cs="Arial" w:eastAsia="Arial" w:hAnsi="Arial"/>
          <w:b w:val="false"/>
          <w:bCs w:val="false"/>
          <w:color w:val="333333"/>
          <w:sz w:val="20"/>
          <w:szCs w:val="20"/>
        </w:rPr>
        <w:t xml:space="preserve">Sheet 3 — Enum Master: All enumerations (consolidated; remove duplicate PROPERTY_TYPE_SUBTYPE_CROSSWALK into Field Spec notes column)</w:t>
      </w:r>
    </w:p>
    <w:p>
      <w:pPr>
        <w:pStyle w:val="ListParagraph"/>
        <w:numPr>
          <w:ilvl w:val="0"/>
          <w:numId w:val="2"/>
        </w:numPr>
        <w:spacing w:after="40" w:before="40"/>
      </w:pPr>
      <w:r>
        <w:rPr>
          <w:rFonts w:ascii="Arial" w:cs="Arial" w:eastAsia="Arial" w:hAnsi="Arial"/>
          <w:b w:val="false"/>
          <w:bCs w:val="false"/>
          <w:color w:val="333333"/>
          <w:sz w:val="20"/>
          <w:szCs w:val="20"/>
        </w:rPr>
        <w:t xml:space="preserve">Sheet 4 — Validation Rules: Deduplicated rules with single entry per Rule ID, severity level (ERROR/WARNING/INFO), and cross-reference to Field Spec</w:t>
      </w:r>
    </w:p>
    <w:p>
      <w:pPr>
        <w:pStyle w:val="ListParagraph"/>
        <w:numPr>
          <w:ilvl w:val="0"/>
          <w:numId w:val="2"/>
        </w:numPr>
        <w:spacing w:after="40" w:before="40"/>
      </w:pPr>
      <w:r>
        <w:rPr>
          <w:rFonts w:ascii="Arial" w:cs="Arial" w:eastAsia="Arial" w:hAnsi="Arial"/>
          <w:b w:val="false"/>
          <w:bCs w:val="false"/>
          <w:color w:val="333333"/>
          <w:sz w:val="20"/>
          <w:szCs w:val="20"/>
        </w:rPr>
        <w:t xml:space="preserve">Sheet 5 — Sample Data: 5 full submission examples across property types (APARTMENT, PLOT, COMMERCIAL, AGRICULTURAL, VILLA) with all record types illustrated</w:t>
      </w:r>
    </w:p>
    <w:p>
      <w:pPr>
        <w:spacing w:after="60" w:before="60"/>
      </w:pPr>
      <w:r>
        <w:rPr>
          <w:rFonts w:ascii="Arial" w:cs="Arial" w:eastAsia="Arial" w:hAnsi="Arial"/>
          <w:b w:val="false"/>
          <w:bCs w:val="false"/>
          <w:i/>
          <w:iCs/>
          <w:color w:val="595959"/>
          <w:sz w:val="20"/>
          <w:szCs w:val="20"/>
        </w:rPr>
        <w:t xml:space="preserve">Remove: Standalone Mandatory vs Optional Matrix sheet — absorb into Field Specification as a single 'Mandatory' column with conditional logic in the Validation Rule reference.</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6.3 Revised Enum Strategy</w:t>
      </w:r>
    </w:p>
    <w:p>
      <w:pPr>
        <w:pStyle w:val="ListParagraph"/>
        <w:numPr>
          <w:ilvl w:val="0"/>
          <w:numId w:val="2"/>
        </w:numPr>
        <w:spacing w:after="40" w:before="40"/>
      </w:pPr>
      <w:r>
        <w:rPr>
          <w:rFonts w:ascii="Arial" w:cs="Arial" w:eastAsia="Arial" w:hAnsi="Arial"/>
          <w:b w:val="false"/>
          <w:bCs w:val="false"/>
          <w:color w:val="333333"/>
          <w:sz w:val="20"/>
          <w:szCs w:val="20"/>
        </w:rPr>
        <w:t xml:space="preserve">ENTITY_TYPE: Rename BORROWER_TYPE enum to ENTITY_TYPE. Apply to both OWNER_TYPE and BORROWER_TYPE fields. Semantically clearer for non-borrower ownership scenarios.</w:t>
      </w:r>
    </w:p>
    <w:p>
      <w:pPr>
        <w:pStyle w:val="ListParagraph"/>
        <w:numPr>
          <w:ilvl w:val="0"/>
          <w:numId w:val="2"/>
        </w:numPr>
        <w:spacing w:after="40" w:before="40"/>
      </w:pPr>
      <w:r>
        <w:rPr>
          <w:rFonts w:ascii="Arial" w:cs="Arial" w:eastAsia="Arial" w:hAnsi="Arial"/>
          <w:b w:val="false"/>
          <w:bCs w:val="false"/>
          <w:color w:val="333333"/>
          <w:sz w:val="20"/>
          <w:szCs w:val="20"/>
        </w:rPr>
        <w:t xml:space="preserve">MUNICIPAL_ID_TYPE: New 4-value enum (KHATA / PID / PTIN / OTHER) enabling consolidation of 3 municipal identifier fields into 2.</w:t>
      </w:r>
    </w:p>
    <w:p>
      <w:pPr>
        <w:pStyle w:val="ListParagraph"/>
        <w:numPr>
          <w:ilvl w:val="0"/>
          <w:numId w:val="2"/>
        </w:numPr>
        <w:spacing w:after="40" w:before="40"/>
      </w:pPr>
      <w:r>
        <w:rPr>
          <w:rFonts w:ascii="Arial" w:cs="Arial" w:eastAsia="Arial" w:hAnsi="Arial"/>
          <w:b w:val="false"/>
          <w:bCs w:val="false"/>
          <w:color w:val="333333"/>
          <w:sz w:val="20"/>
          <w:szCs w:val="20"/>
        </w:rPr>
        <w:t xml:space="preserve">Remove UNDER_CONSTRUCTION from OCCUPANCY_STATUS enum: CONSTRUCTION_STATUS already captures this state. Prevents contradictory flag combinations.</w:t>
      </w:r>
    </w:p>
    <w:p>
      <w:pPr>
        <w:pStyle w:val="ListParagraph"/>
        <w:numPr>
          <w:ilvl w:val="0"/>
          <w:numId w:val="2"/>
        </w:numPr>
        <w:spacing w:after="40" w:before="40"/>
      </w:pPr>
      <w:r>
        <w:rPr>
          <w:rFonts w:ascii="Arial" w:cs="Arial" w:eastAsia="Arial" w:hAnsi="Arial"/>
          <w:b w:val="false"/>
          <w:bCs w:val="false"/>
          <w:color w:val="333333"/>
          <w:sz w:val="20"/>
          <w:szCs w:val="20"/>
        </w:rPr>
        <w:t xml:space="preserve">DOCUMENT_AVAILABILITY enum: Add SURRENDERED value for cases where title deed has been formally surrendered to the institution. Currently forces use of AVAILABLE which is semantically incorrect.</w:t>
      </w:r>
    </w:p>
    <w:p>
      <w:pPr>
        <w:pStyle w:val="ListParagraph"/>
        <w:numPr>
          <w:ilvl w:val="0"/>
          <w:numId w:val="2"/>
        </w:numPr>
        <w:spacing w:after="40" w:before="40"/>
      </w:pPr>
      <w:r>
        <w:rPr>
          <w:rFonts w:ascii="Arial" w:cs="Arial" w:eastAsia="Arial" w:hAnsi="Arial"/>
          <w:b w:val="false"/>
          <w:bCs w:val="false"/>
          <w:color w:val="333333"/>
          <w:sz w:val="20"/>
          <w:szCs w:val="20"/>
        </w:rPr>
        <w:t xml:space="preserve">CHARGE_STATUS: Add PENDING_REGISTRATION for equitable mortgages in the process of being converted to registered mortgages. Currently forces ACTIVE, losing lifecycle accuracy.</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6.4 Quantified Impact Summary</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800"/>
        <w:gridCol w:w="2200"/>
      </w:tblGrid>
      <w:tr>
        <w:trPr>
          <w:tblHeader/>
        </w:trPr>
        <w:tc>
          <w:tcPr>
            <w:tcW w:type="dxa" w:w="2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Metric</w:t>
            </w:r>
          </w:p>
        </w:tc>
        <w:tc>
          <w:tcPr>
            <w:tcW w:type="dxa" w:w="15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Current</w:t>
            </w:r>
          </w:p>
        </w:tc>
        <w:tc>
          <w:tcPr>
            <w:tcW w:type="dxa" w:w="1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Change</w:t>
            </w:r>
          </w:p>
        </w:tc>
        <w:tc>
          <w:tcPr>
            <w:tcW w:type="dxa" w:w="22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Notes</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Total Fields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~108</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Across all logical sections including header</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Total Fields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~73</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~32%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After removals and consolidations</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Mandatory Fields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~42</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Including conditionally mandatory</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Mandatory Fields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~27</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~36%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Core mandatory reduced significantly</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Validation Rules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~50+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Including duplicates</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Validation Rules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~35</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~30%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Deduplicated + simplified conditionals</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Header Section Fields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13</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Submission Header sheet</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Header Section Fields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6</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~54%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Remove system-generated / constant fields</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Borrower Address Fields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12 + flag</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Full mirror of property address</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Borrower Address Fields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5 + flag</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~58%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Core fields only</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Estimated Client Dev Effort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8/10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High effort rating</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Estimated Client Dev Effort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5/10</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~37%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Moderate effort after simplification</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Estimated Onboarding Timeline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12–16 weeks</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Typical member institution</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Estimated Onboarding Timeline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7–10 weeks</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~40%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Simpler mapping + fewer validations</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Overall Complexity Rating (Current)</w:t>
            </w:r>
          </w:p>
        </w:tc>
        <w:tc>
          <w:tcPr>
            <w:tcW w:type="dxa" w:w="15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7.5/10</w:t>
            </w:r>
          </w:p>
        </w:tc>
        <w:tc>
          <w:tcPr>
            <w:tcW w:type="dxa" w:w="1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High complexity</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Overall Complexity Rating (Optimised)</w:t>
            </w:r>
          </w:p>
        </w:tc>
        <w:tc>
          <w:tcPr>
            <w:tcW w:type="dxa" w:w="15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4.5/10</w:t>
            </w:r>
          </w:p>
        </w:tc>
        <w:tc>
          <w:tcPr>
            <w:tcW w:type="dxa" w:w="1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~40% reduction</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iCs/>
                <w:color w:val="595959"/>
                <w:sz w:val="16"/>
                <w:szCs w:val="16"/>
              </w:rPr>
              <w:t xml:space="preserve">Medium-low complexity</w:t>
            </w:r>
          </w:p>
        </w:tc>
      </w:tr>
    </w:tbl>
    <w:p>
      <w:pPr>
        <w:spacing w:after="0" w:before="200"/>
      </w:pPr>
      <w:r>
        <w:t xml:space="preserve"/>
      </w:r>
    </w:p>
    <w:p>
      <w:r>
        <w:br w:type="page"/>
      </w:r>
    </w:p>
    <w:p>
      <w:pPr>
        <w:pStyle w:val="Heading1"/>
        <w:spacing w:after="180" w:before="360"/>
      </w:pPr>
      <w:r>
        <w:rPr>
          <w:rFonts w:ascii="Arial" w:cs="Arial" w:eastAsia="Arial" w:hAnsi="Arial"/>
          <w:b/>
          <w:bCs/>
          <w:color w:val="1F3864"/>
          <w:sz w:val="32"/>
          <w:szCs w:val="32"/>
        </w:rPr>
        <w:t xml:space="preserve">7. Additional Architecture Recommendations</w:t>
      </w:r>
    </w:p>
    <w:p>
      <w:pPr>
        <w:pStyle w:val="Heading2"/>
        <w:spacing w:after="120" w:before="300"/>
      </w:pPr>
      <w:r>
        <w:rPr>
          <w:rFonts w:ascii="Arial" w:cs="Arial" w:eastAsia="Arial" w:hAnsi="Arial"/>
          <w:b/>
          <w:bCs/>
          <w:color w:val="2E75B6"/>
          <w:sz w:val="26"/>
          <w:szCs w:val="26"/>
        </w:rPr>
        <w:t xml:space="preserve">7.1 Move Toward API-First Submission</w:t>
      </w:r>
    </w:p>
    <w:p>
      <w:pPr>
        <w:spacing w:after="60" w:before="60"/>
      </w:pPr>
      <w:r>
        <w:rPr>
          <w:rFonts w:ascii="Arial" w:cs="Arial" w:eastAsia="Arial" w:hAnsi="Arial"/>
          <w:b w:val="false"/>
          <w:bCs w:val="false"/>
          <w:i w:val="false"/>
          <w:iCs w:val="false"/>
          <w:color w:val="333333"/>
          <w:sz w:val="20"/>
          <w:szCs w:val="20"/>
        </w:rPr>
        <w:t xml:space="preserve">The flat-file CSV design with a RECORD_TYPE discriminator is fundamentally a database export pattern repurposed as an interchange format. For a property bureau context, consider:</w:t>
      </w:r>
    </w:p>
    <w:p>
      <w:pPr>
        <w:pStyle w:val="ListParagraph"/>
        <w:numPr>
          <w:ilvl w:val="0"/>
          <w:numId w:val="2"/>
        </w:numPr>
        <w:spacing w:after="40" w:before="40"/>
      </w:pPr>
      <w:r>
        <w:rPr>
          <w:rFonts w:ascii="Arial" w:cs="Arial" w:eastAsia="Arial" w:hAnsi="Arial"/>
          <w:b w:val="false"/>
          <w:bCs w:val="false"/>
          <w:color w:val="333333"/>
          <w:sz w:val="20"/>
          <w:szCs w:val="20"/>
        </w:rPr>
        <w:t xml:space="preserve">JSON Lines (JSONL) format with typed record envelopes: each record type has its own schema, eliminating the sparse column problem entirely</w:t>
      </w:r>
    </w:p>
    <w:p>
      <w:pPr>
        <w:pStyle w:val="ListParagraph"/>
        <w:numPr>
          <w:ilvl w:val="0"/>
          <w:numId w:val="2"/>
        </w:numPr>
        <w:spacing w:after="40" w:before="40"/>
      </w:pPr>
      <w:r>
        <w:rPr>
          <w:rFonts w:ascii="Arial" w:cs="Arial" w:eastAsia="Arial" w:hAnsi="Arial"/>
          <w:b w:val="false"/>
          <w:bCs w:val="false"/>
          <w:color w:val="333333"/>
          <w:sz w:val="20"/>
          <w:szCs w:val="20"/>
        </w:rPr>
        <w:t xml:space="preserve">REST API with structured payloads: clients POST individual records or batches per record type, enabling incremental submission, field-level validation feedback, and real-time acknowledgement</w:t>
      </w:r>
    </w:p>
    <w:p>
      <w:pPr>
        <w:pStyle w:val="ListParagraph"/>
        <w:numPr>
          <w:ilvl w:val="0"/>
          <w:numId w:val="2"/>
        </w:numPr>
        <w:spacing w:after="40" w:before="40"/>
      </w:pPr>
      <w:r>
        <w:rPr>
          <w:rFonts w:ascii="Arial" w:cs="Arial" w:eastAsia="Arial" w:hAnsi="Arial"/>
          <w:b w:val="false"/>
          <w:bCs w:val="false"/>
          <w:color w:val="333333"/>
          <w:sz w:val="20"/>
          <w:szCs w:val="20"/>
        </w:rPr>
        <w:t xml:space="preserve">Maintain CSV as a fallback for legacy clients — but define it as a secondary format, not the primary standard</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7.2 PINCODE-Driven Address Simplification</w:t>
      </w:r>
    </w:p>
    <w:p>
      <w:pPr>
        <w:spacing w:after="60" w:before="60"/>
      </w:pPr>
      <w:r>
        <w:rPr>
          <w:rFonts w:ascii="Arial" w:cs="Arial" w:eastAsia="Arial" w:hAnsi="Arial"/>
          <w:b w:val="false"/>
          <w:bCs w:val="false"/>
          <w:i w:val="false"/>
          <w:iCs w:val="false"/>
          <w:color w:val="333333"/>
          <w:sz w:val="20"/>
          <w:szCs w:val="20"/>
        </w:rPr>
        <w:t xml:space="preserve">India Post's PIN code database provides city, district, state, and taluka for every valid PIN code. By validating PINCODE at ingestion against a reference table, the bureau can auto-populate and validate DISTRICT (currently mandatory) and validate CITY consistency. This would allow reducing mandatory address fields from 6 to 4 (ADDRESS_LINE_1, LOCALITY, PINCODE, STATE) for bureau analytical purposes while retaining full address for matching.</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7.3 Separate Property Registry from Loan Reporting</w:t>
      </w:r>
    </w:p>
    <w:p>
      <w:pPr>
        <w:spacing w:after="60" w:before="60"/>
      </w:pPr>
      <w:r>
        <w:rPr>
          <w:rFonts w:ascii="Arial" w:cs="Arial" w:eastAsia="Arial" w:hAnsi="Arial"/>
          <w:b w:val="false"/>
          <w:bCs w:val="false"/>
          <w:i w:val="false"/>
          <w:iCs w:val="false"/>
          <w:color w:val="333333"/>
          <w:sz w:val="20"/>
          <w:szCs w:val="20"/>
        </w:rPr>
        <w:t xml:space="preserve">The current design conflates two distinct data concerns in a single submission: (1) property collateral characteristics (relatively stable — changes infrequently), and (2) loan account performance data (dynamic — changes every reporting period). Recommended separation:</w:t>
      </w:r>
    </w:p>
    <w:p>
      <w:pPr>
        <w:pStyle w:val="ListParagraph"/>
        <w:numPr>
          <w:ilvl w:val="0"/>
          <w:numId w:val="2"/>
        </w:numPr>
        <w:spacing w:after="40" w:before="40"/>
      </w:pPr>
      <w:r>
        <w:rPr>
          <w:rFonts w:ascii="Arial" w:cs="Arial" w:eastAsia="Arial" w:hAnsi="Arial"/>
          <w:b w:val="false"/>
          <w:bCs w:val="false"/>
          <w:color w:val="333333"/>
          <w:sz w:val="20"/>
          <w:szCs w:val="20"/>
        </w:rPr>
        <w:t xml:space="preserve">PROPERTY_CORE submission: Submit once per property acquisition/modification. Contains PROPERTY_IDENTIFICATION, PROPERTY_LOCATION, PROPERTY_PHYSICAL, TITLE data. Update only when property details change.</w:t>
      </w:r>
    </w:p>
    <w:p>
      <w:pPr>
        <w:pStyle w:val="ListParagraph"/>
        <w:numPr>
          <w:ilvl w:val="0"/>
          <w:numId w:val="2"/>
        </w:numPr>
        <w:spacing w:after="40" w:before="40"/>
      </w:pPr>
      <w:r>
        <w:rPr>
          <w:rFonts w:ascii="Arial" w:cs="Arial" w:eastAsia="Arial" w:hAnsi="Arial"/>
          <w:b w:val="false"/>
          <w:bCs w:val="false"/>
          <w:color w:val="333333"/>
          <w:sz w:val="20"/>
          <w:szCs w:val="20"/>
        </w:rPr>
        <w:t xml:space="preserve">LOAN_PERFORMANCE submission: Submit every reporting period. Contains LOAN_ACCOUNT performance data (CURRENT_OUTSTANDING, DPD, ACCOUNT_STATUS) linked to MEMBER_PROPERTY_REFERENCE. Lightweight, high-frequency.</w:t>
      </w:r>
    </w:p>
    <w:p>
      <w:pPr>
        <w:spacing w:after="60" w:before="60"/>
      </w:pPr>
      <w:r>
        <w:rPr>
          <w:rFonts w:ascii="Arial" w:cs="Arial" w:eastAsia="Arial" w:hAnsi="Arial"/>
          <w:b w:val="false"/>
          <w:bCs w:val="false"/>
          <w:i/>
          <w:iCs/>
          <w:color w:val="2E75B6"/>
          <w:sz w:val="20"/>
          <w:szCs w:val="20"/>
        </w:rPr>
        <w:t xml:space="preserve">This separation reduces submission volume by ~60% in subsequent periods and reduces the risk of stale property data being overwritten by performance submissions.</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7.4 Introduce Submission Acknowledgement Standard</w:t>
      </w:r>
    </w:p>
    <w:p>
      <w:pPr>
        <w:spacing w:after="60" w:before="60"/>
      </w:pPr>
      <w:r>
        <w:rPr>
          <w:rFonts w:ascii="Arial" w:cs="Arial" w:eastAsia="Arial" w:hAnsi="Arial"/>
          <w:b w:val="false"/>
          <w:bCs w:val="false"/>
          <w:i w:val="false"/>
          <w:iCs w:val="false"/>
          <w:color w:val="333333"/>
          <w:sz w:val="20"/>
          <w:szCs w:val="20"/>
        </w:rPr>
        <w:t xml:space="preserve">The specification defines submission rules but does not define the acknowledgement response structure. Recommend mandating a standard ACK response that includes: total records received, records accepted, records rejected (with Rule ID and record identifier), records flagged with warnings, bureau-assigned property IDs for matched records. This closes the client feedback loop and eliminates the need for clients to re-query status.</w:t>
      </w:r>
    </w:p>
    <w:p>
      <w:pPr>
        <w:spacing w:after="0" w:before="60"/>
      </w:pPr>
      <w:r>
        <w:t xml:space="preserve"/>
      </w:r>
    </w:p>
    <w:p>
      <w:pPr>
        <w:pStyle w:val="Heading2"/>
        <w:spacing w:after="120" w:before="300"/>
      </w:pPr>
      <w:r>
        <w:rPr>
          <w:rFonts w:ascii="Arial" w:cs="Arial" w:eastAsia="Arial" w:hAnsi="Arial"/>
          <w:b/>
          <w:bCs/>
          <w:color w:val="2E75B6"/>
          <w:sz w:val="26"/>
          <w:szCs w:val="26"/>
        </w:rPr>
        <w:t xml:space="preserve">7.5 Aadhaar / DigiLocker Integration Pathway</w:t>
      </w:r>
    </w:p>
    <w:p>
      <w:pPr>
        <w:spacing w:after="60" w:before="60"/>
      </w:pPr>
      <w:r>
        <w:rPr>
          <w:rFonts w:ascii="Arial" w:cs="Arial" w:eastAsia="Arial" w:hAnsi="Arial"/>
          <w:b w:val="false"/>
          <w:bCs w:val="false"/>
          <w:i w:val="false"/>
          <w:iCs w:val="false"/>
          <w:color w:val="333333"/>
          <w:sz w:val="20"/>
          <w:szCs w:val="20"/>
        </w:rPr>
        <w:t xml:space="preserve">For V2, consider defining an optional AADHAAR_SEEDED flag per borrower record and an EKYC_REFERENCE field. This enables the bureau to link property ownership records with Aadhaar-verified identity, significantly improving matching accuracy without requiring clients to submit additional PII. The linkage happens at bureau level via existing UIDAI API integration, not at submission time.</w:t>
      </w:r>
    </w:p>
    <w:p>
      <w:pPr>
        <w:spacing w:after="0" w:before="200"/>
      </w:pPr>
      <w:r>
        <w:t xml:space="preserve"/>
      </w:r>
    </w:p>
    <w:p>
      <w:r>
        <w:br w:type="page"/>
      </w:r>
    </w:p>
    <w:p>
      <w:pPr>
        <w:pStyle w:val="Heading1"/>
        <w:spacing w:after="180" w:before="360"/>
      </w:pPr>
      <w:r>
        <w:rPr>
          <w:rFonts w:ascii="Arial" w:cs="Arial" w:eastAsia="Arial" w:hAnsi="Arial"/>
          <w:b/>
          <w:bCs/>
          <w:color w:val="1F3864"/>
          <w:sz w:val="32"/>
          <w:szCs w:val="32"/>
        </w:rPr>
        <w:t xml:space="preserve">8. Client Development Effort Analysis</w:t>
      </w:r>
    </w:p>
    <w:p>
      <w:pPr>
        <w:pStyle w:val="Heading2"/>
        <w:spacing w:after="120" w:before="300"/>
      </w:pPr>
      <w:r>
        <w:rPr>
          <w:rFonts w:ascii="Arial" w:cs="Arial" w:eastAsia="Arial" w:hAnsi="Arial"/>
          <w:b/>
          <w:bCs/>
          <w:color w:val="2E75B6"/>
          <w:sz w:val="26"/>
          <w:szCs w:val="26"/>
        </w:rPr>
        <w:t xml:space="preserve">8.1 Hardest Fields to Source from Client Systems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700"/>
      </w:tblGrid>
      <w:tr>
        <w:tc>
          <w:tcPr>
            <w:tcW w:type="dxa" w:w="2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Field</w:t>
            </w:r>
          </w:p>
        </w:tc>
        <w:tc>
          <w:tcPr>
            <w:tcW w:type="dxa" w:w="15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Effort Rating</w:t>
            </w:r>
          </w:p>
        </w:tc>
        <w:tc>
          <w:tcPr>
            <w:tcW w:type="dxa" w:w="22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Source System Challenge</w:t>
            </w:r>
          </w:p>
        </w:tc>
        <w:tc>
          <w:tcPr>
            <w:tcW w:type="dxa" w:w="37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Recommendation</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PROPERTY_AGE_YEARS</w:t>
            </w:r>
          </w:p>
        </w:tc>
        <w:tc>
          <w:tcPr>
            <w:tcW w:type="dxa" w:w="15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7"/>
                <w:szCs w:val="17"/>
              </w:rPr>
              <w:t xml:space="preserve">HIGH</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Not stored in most LOS/LMS — requires computation from YEAR_OF_CONSTRUCTION</w:t>
            </w:r>
          </w:p>
        </w:tc>
        <w:tc>
          <w:tcPr>
            <w:tcW w:type="dxa" w:w="3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Derive at bureau</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NPA_CLASSIFICATION</w:t>
            </w:r>
          </w:p>
        </w:tc>
        <w:tc>
          <w:tcPr>
            <w:tcW w:type="dxa" w:w="15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7"/>
                <w:szCs w:val="17"/>
              </w:rPr>
              <w:t xml:space="preserve">HIGH</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LMS may classify differently from RBI norms depending on system version</w:t>
            </w:r>
          </w:p>
        </w:tc>
        <w:tc>
          <w:tcPr>
            <w:tcW w:type="dxa" w:w="3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Derive from DPD at bureau</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EMI_AMOUNT</w:t>
            </w:r>
          </w:p>
        </w:tc>
        <w:tc>
          <w:tcPr>
            <w:tcW w:type="dxa" w:w="15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7"/>
                <w:szCs w:val="17"/>
              </w:rPr>
              <w:t xml:space="preserve">MEDIUM-HIGH</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For restructured/floating rate loans, current EMI differs from original. Requires real-time LMS query</w:t>
            </w:r>
          </w:p>
        </w:tc>
        <w:tc>
          <w:tcPr>
            <w:tcW w:type="dxa" w:w="3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REMOVE: Derive from principal/rate/tenure</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CTS_NUMBER</w:t>
            </w:r>
          </w:p>
        </w:tc>
        <w:tc>
          <w:tcPr>
            <w:tcW w:type="dxa" w:w="15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7"/>
                <w:szCs w:val="17"/>
              </w:rPr>
              <w:t xml:space="preserve">HIGH</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Not stored in core banking for non-Maharashtra properties. Requires manual property document lookup</w:t>
            </w:r>
          </w:p>
        </w:tc>
        <w:tc>
          <w:tcPr>
            <w:tcW w:type="dxa" w:w="3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Make strictly optional (not conditionally mandatory)</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KHATA_NUMBER / MUNICIPAL_PROPERTY_ID</w:t>
            </w:r>
          </w:p>
        </w:tc>
        <w:tc>
          <w:tcPr>
            <w:tcW w:type="dxa" w:w="15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7"/>
                <w:szCs w:val="17"/>
              </w:rPr>
              <w:t xml:space="preserve">HIGH</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Rarely stored in LOS. Usually on physical documents. Multi-city institutions have different fields for different states</w:t>
            </w:r>
          </w:p>
        </w:tc>
        <w:tc>
          <w:tcPr>
            <w:tcW w:type="dxa" w:w="3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Consolidate to MUNICIPAL_AUTHORITY_ID + MUNICIPAL_ID_TYPE</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SURVEY_NUMBER</w:t>
            </w:r>
          </w:p>
        </w:tc>
        <w:tc>
          <w:tcPr>
            <w:tcW w:type="dxa" w:w="15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7"/>
                <w:szCs w:val="17"/>
              </w:rPr>
              <w:t xml:space="preserve">MEDIUM</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Available in title documents but not always in digital systems for urban properties</w:t>
            </w:r>
          </w:p>
        </w:tc>
        <w:tc>
          <w:tcPr>
            <w:tcW w:type="dxa" w:w="3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Make optional for urban PLOT subtype</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YEAR_OF_CONSTRUCTION</w:t>
            </w:r>
          </w:p>
        </w:tc>
        <w:tc>
          <w:tcPr>
            <w:tcW w:type="dxa" w:w="15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7"/>
                <w:szCs w:val="17"/>
              </w:rPr>
              <w:t xml:space="preserve">MEDIUM</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Builder-supplied in new loans; often missing for resale properties &gt; 10 years old</w:t>
            </w:r>
          </w:p>
        </w:tc>
        <w:tc>
          <w:tcPr>
            <w:tcW w:type="dxa" w:w="3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Remain optional; add 'UNKNOWN' as acceptable value indicator</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OWNERSHIP_PERCENT</w:t>
            </w:r>
          </w:p>
        </w:tc>
        <w:tc>
          <w:tcPr>
            <w:tcW w:type="dxa" w:w="15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7"/>
                <w:szCs w:val="17"/>
              </w:rPr>
              <w:t xml:space="preserve">MEDIUM</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For joint loans, percent may be in title documents but not in LOS. Institutions often default to equal shares</w:t>
            </w:r>
          </w:p>
        </w:tc>
        <w:tc>
          <w:tcPr>
            <w:tcW w:type="dxa" w:w="3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Accept DEFAULT_EQUAL as a keyword meaning 100/n owners</w:t>
            </w:r>
          </w:p>
        </w:tc>
      </w:tr>
      <w:tr>
        <w:tc>
          <w:tcPr>
            <w:tcW w:type="dxa" w:w="2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TOTAL_RECORD_COUNT</w:t>
            </w:r>
          </w:p>
        </w:tc>
        <w:tc>
          <w:tcPr>
            <w:tcW w:type="dxa" w:w="15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C00000"/>
                <w:sz w:val="17"/>
                <w:szCs w:val="17"/>
              </w:rPr>
              <w:t xml:space="preserve">HIGH</w:t>
            </w:r>
          </w:p>
        </w:tc>
        <w:tc>
          <w:tcPr>
            <w:tcW w:type="dxa" w:w="22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Clients must finalize file before populating header. Creates chicken-and-egg problem for streaming submissions</w:t>
            </w:r>
          </w:p>
        </w:tc>
        <w:tc>
          <w:tcPr>
            <w:tcW w:type="dxa" w:w="37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Demote to optional. Bureau counts and reports discrepancy.</w:t>
            </w:r>
          </w:p>
        </w:tc>
      </w:tr>
      <w:tr>
        <w:tc>
          <w:tcPr>
            <w:tcW w:type="dxa" w:w="2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BORROWER_ADDRESS_LINE_1 (when SAME_AS=N)</w:t>
            </w:r>
          </w:p>
        </w:tc>
        <w:tc>
          <w:tcPr>
            <w:tcW w:type="dxa" w:w="1500"/>
            <w:gridSpan w:val="1"/>
            <w:tcBorders>
              <w:top w:val="single" w:color="BBBBBB" w:sz="1"/>
              <w:left w:val="single" w:color="BBBBBB" w:sz="1"/>
              <w:bottom w:val="single" w:color="BBBBBB" w:sz="1"/>
              <w:right w:val="single" w:color="BBBBBB"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CC6600"/>
                <w:sz w:val="17"/>
                <w:szCs w:val="17"/>
              </w:rPr>
              <w:t xml:space="preserve">MEDIUM</w:t>
            </w:r>
          </w:p>
        </w:tc>
        <w:tc>
          <w:tcPr>
            <w:tcW w:type="dxa" w:w="22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KYC address is in CRM; may not match loan booking address. Institutions maintain separate KYC and correspondence addresses</w:t>
            </w:r>
          </w:p>
        </w:tc>
        <w:tc>
          <w:tcPr>
            <w:tcW w:type="dxa" w:w="37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6"/>
                <w:szCs w:val="16"/>
              </w:rPr>
              <w:t xml:space="preserve">Reduce to 5 core fields; accept incomplete address with warning</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8.2 Estimated Implementation Timeline Comparison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000"/>
      </w:tblGrid>
      <w:tr>
        <w:tc>
          <w:tcPr>
            <w:tcW w:type="dxa" w:w="2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Implementation Phase</w:t>
            </w:r>
          </w:p>
        </w:tc>
        <w:tc>
          <w:tcPr>
            <w:tcW w:type="dxa" w:w="16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Current V1.0</w:t>
            </w:r>
          </w:p>
        </w:tc>
        <w:tc>
          <w:tcPr>
            <w:tcW w:type="dxa" w:w="16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Optimised V1.1</w:t>
            </w:r>
          </w:p>
        </w:tc>
        <w:tc>
          <w:tcPr>
            <w:tcW w:type="dxa" w:w="10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Saving</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Schema analysis &amp; field mapping</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3–4 weeks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weeks</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~40%</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Source system data extraction development</w:t>
            </w:r>
          </w:p>
        </w:tc>
        <w:tc>
          <w:tcPr>
            <w:tcW w:type="dxa" w:w="1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3–4 weeks</w:t>
            </w:r>
          </w:p>
        </w:tc>
        <w:tc>
          <w:tcPr>
            <w:tcW w:type="dxa" w:w="1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 weeks</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~35%</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Validation logic implementation</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2–3 weeks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1–1.5 weeks</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~40%</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File generation &amp; format testing</w:t>
            </w:r>
          </w:p>
        </w:tc>
        <w:tc>
          <w:tcPr>
            <w:tcW w:type="dxa" w:w="1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1–2 weeks</w:t>
            </w:r>
          </w:p>
        </w:tc>
        <w:tc>
          <w:tcPr>
            <w:tcW w:type="dxa" w:w="1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 week</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~30%</w:t>
            </w:r>
          </w:p>
        </w:tc>
      </w:tr>
      <w:tr>
        <w:tc>
          <w:tcPr>
            <w:tcW w:type="dxa" w:w="28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UAT with bureau test environment</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2–3 weeks</w:t>
            </w:r>
          </w:p>
        </w:tc>
        <w:tc>
          <w:tcPr>
            <w:tcW w:type="dxa" w:w="16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1.5–2 weeks</w:t>
            </w:r>
          </w:p>
        </w:tc>
        <w:tc>
          <w:tcPr>
            <w:tcW w:type="dxa" w:w="1000"/>
            <w:gridSpan w:val="1"/>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~25%</w:t>
            </w:r>
          </w:p>
        </w:tc>
      </w:tr>
      <w:tr>
        <w:tc>
          <w:tcPr>
            <w:tcW w:type="dxa" w:w="28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Parallel run &amp; go-live support</w:t>
            </w:r>
          </w:p>
        </w:tc>
        <w:tc>
          <w:tcPr>
            <w:tcW w:type="dxa" w:w="1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1–2 weeks</w:t>
            </w:r>
          </w:p>
        </w:tc>
        <w:tc>
          <w:tcPr>
            <w:tcW w:type="dxa" w:w="16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7"/>
                <w:szCs w:val="17"/>
              </w:rPr>
              <w:t xml:space="preserve">1 week</w:t>
            </w:r>
          </w:p>
        </w:tc>
        <w:tc>
          <w:tcPr>
            <w:tcW w:type="dxa" w:w="1000"/>
            <w:gridSpan w:val="1"/>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~25%</w:t>
            </w:r>
          </w:p>
        </w:tc>
      </w:tr>
      <w:tr>
        <w:tc>
          <w:tcPr>
            <w:tcW w:type="dxa" w:w="2800"/>
            <w:gridSpan w:val="1"/>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7"/>
                <w:szCs w:val="17"/>
              </w:rPr>
              <w:t xml:space="preserve">TOTAL ESTIMATED DURATION</w:t>
            </w:r>
          </w:p>
        </w:tc>
        <w:tc>
          <w:tcPr>
            <w:tcW w:type="dxa" w:w="1600"/>
            <w:gridSpan w:val="1"/>
            <w:tcBorders>
              <w:top w:val="single" w:color="BBBBBB" w:sz="1"/>
              <w:left w:val="single" w:color="BBBBBB" w:sz="1"/>
              <w:bottom w:val="single" w:color="BBBBBB" w:sz="1"/>
              <w:right w:val="single" w:color="BBBBBB" w:sz="1"/>
            </w:tcBorders>
            <w:shd w:fill="FCE4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7"/>
                <w:szCs w:val="17"/>
              </w:rPr>
              <w:t xml:space="preserve">12–18 weeks</w:t>
            </w:r>
          </w:p>
        </w:tc>
        <w:tc>
          <w:tcPr>
            <w:tcW w:type="dxa" w:w="16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8–11 weeks</w:t>
            </w:r>
          </w:p>
        </w:tc>
        <w:tc>
          <w:tcPr>
            <w:tcW w:type="dxa" w:w="1000"/>
            <w:gridSpan w:val="1"/>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jc w:val="left"/>
            </w:pPr>
            <w:r>
              <w:rPr>
                <w:rFonts w:ascii="Arial" w:cs="Arial" w:eastAsia="Arial" w:hAnsi="Arial"/>
                <w:b/>
                <w:bCs/>
                <w:i w:val="false"/>
                <w:iCs w:val="false"/>
                <w:color w:val="375623"/>
                <w:sz w:val="17"/>
                <w:szCs w:val="17"/>
              </w:rPr>
              <w:t xml:space="preserve">~37%</w:t>
            </w:r>
          </w:p>
        </w:tc>
      </w:tr>
    </w:tbl>
    <w:p>
      <w:pPr>
        <w:spacing w:after="0" w:before="200"/>
      </w:pPr>
      <w:r>
        <w:t xml:space="preserve"/>
      </w:r>
    </w:p>
    <w:p>
      <w:pPr>
        <w:pStyle w:val="Heading1"/>
        <w:spacing w:after="180" w:before="360"/>
      </w:pPr>
      <w:r>
        <w:rPr>
          <w:rFonts w:ascii="Arial" w:cs="Arial" w:eastAsia="Arial" w:hAnsi="Arial"/>
          <w:b/>
          <w:bCs/>
          <w:color w:val="1F3864"/>
          <w:sz w:val="32"/>
          <w:szCs w:val="32"/>
        </w:rPr>
        <w:t xml:space="preserve">9. Conclusion</w:t>
      </w:r>
    </w:p>
    <w:p>
      <w:pPr>
        <w:spacing w:after="60" w:before="60"/>
      </w:pPr>
      <w:r>
        <w:rPr>
          <w:rFonts w:ascii="Arial" w:cs="Arial" w:eastAsia="Arial" w:hAnsi="Arial"/>
          <w:b w:val="false"/>
          <w:bCs w:val="false"/>
          <w:i w:val="false"/>
          <w:iCs w:val="false"/>
          <w:color w:val="333333"/>
          <w:sz w:val="20"/>
          <w:szCs w:val="20"/>
        </w:rPr>
        <w:t xml:space="preserve">The Property Bureau Member Data Submission Standard V1.0 is a technically sound first draft with comprehensive domain coverage. Its principal weaknesses are architectural (flat-file multi-record design creating sparse rows), structural (constant and derivable fields as mandatory inputs), and documentation-level (duplicate validation entries creating implementation ambiguity). None of these require fundamental redesign of the data model — they can be resolved through targeted field removal, consolidation, and validation rule cleanup.</w:t>
      </w:r>
    </w:p>
    <w:p>
      <w:pPr>
        <w:spacing w:after="0" w:before="60"/>
      </w:pPr>
      <w:r>
        <w:t xml:space="preserve"/>
      </w:r>
    </w:p>
    <w:p>
      <w:pPr>
        <w:spacing w:after="60" w:before="60"/>
      </w:pPr>
      <w:r>
        <w:rPr>
          <w:rFonts w:ascii="Arial" w:cs="Arial" w:eastAsia="Arial" w:hAnsi="Arial"/>
          <w:b w:val="false"/>
          <w:bCs w:val="false"/>
          <w:i w:val="false"/>
          <w:iCs w:val="false"/>
          <w:color w:val="333333"/>
          <w:sz w:val="20"/>
          <w:szCs w:val="20"/>
        </w:rPr>
        <w:t xml:space="preserve">Implementing the 24 recommendations in this report — particularly the 10 Priority 1 and Priority 2 items — would reduce overall field count by ~32%, mandatory field count by ~36%, and estimated client onboarding effort by ~37%. Critically, no regulatory data would be lost: every removed field is either derivable by the bureau, constant in V1, system-generated, or operationally redundant.</w:t>
      </w:r>
    </w:p>
    <w:p>
      <w:pPr>
        <w:spacing w:after="0" w:before="60"/>
      </w:pPr>
      <w:r>
        <w:t xml:space="preserve"/>
      </w:r>
    </w:p>
    <w:p>
      <w:pPr>
        <w:spacing w:after="60" w:before="60"/>
      </w:pPr>
      <w:r>
        <w:rPr>
          <w:rFonts w:ascii="Arial" w:cs="Arial" w:eastAsia="Arial" w:hAnsi="Arial"/>
          <w:b w:val="false"/>
          <w:bCs w:val="false"/>
          <w:i w:val="false"/>
          <w:iCs w:val="false"/>
          <w:color w:val="333333"/>
          <w:sz w:val="20"/>
          <w:szCs w:val="20"/>
        </w:rPr>
        <w:t xml:space="preserve">The most valuable single change is adopting API-first JSON submission alongside the CSV standard, allowing typed records per entity and eliminating the RECORD_TYPE sparse-column problem. In the absence of API adoption, at minimum, separate submission files per record type (PROPERTY, LOAN, CHARGE, VALUATION) would achieve similar structural benefits within the CSV paradigm.</w:t>
      </w:r>
    </w:p>
    <w:p>
      <w:pPr>
        <w:spacing w:after="0" w:before="60"/>
      </w:pPr>
      <w:r>
        <w:t xml:space="preserve"/>
      </w:r>
    </w:p>
    <w:p>
      <w:pPr>
        <w:spacing w:after="60" w:before="60"/>
      </w:pPr>
      <w:r>
        <w:rPr>
          <w:rFonts w:ascii="Arial" w:cs="Arial" w:eastAsia="Arial" w:hAnsi="Arial"/>
          <w:b/>
          <w:bCs/>
          <w:i w:val="false"/>
          <w:iCs w:val="false"/>
          <w:color w:val="C00000"/>
          <w:sz w:val="20"/>
          <w:szCs w:val="20"/>
        </w:rPr>
        <w:t xml:space="preserve">V1.0 is the optimal moment for these changes — before large-scale client onboarding locks in the current specification. Post-onboarding, each structural change will require client re-development effort that may cost 2–3× more than pre-onboarding redesign.</w:t>
      </w:r>
    </w:p>
    <w:p>
      <w:pPr>
        <w:spacing w:after="0" w:before="80"/>
      </w:pPr>
      <w:r>
        <w:t xml:space="preserve"/>
      </w:r>
    </w:p>
    <w:p>
      <w:pPr>
        <w:pBdr>
          <w:top w:val="single" w:color="2E75B6" w:sz="4"/>
        </w:pBdr>
        <w:spacing w:after="60" w:before="120"/>
      </w:pPr>
      <w:r>
        <w:rPr>
          <w:rFonts w:ascii="Arial" w:cs="Arial" w:eastAsia="Arial" w:hAnsi="Arial"/>
          <w:i/>
          <w:iCs/>
          <w:color w:val="595959"/>
          <w:sz w:val="17"/>
          <w:szCs w:val="17"/>
        </w:rPr>
        <w:t xml:space="preserve">END OF EVALUATION REPORT — Property Bureau Member Data Submission Standard V1.0 | Evaluation Date: June 2026</w:t>
      </w:r>
    </w:p>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2026-06-04T11:01:16.235Z</dcterms:created>
  <dcterms:modified xsi:type="dcterms:W3CDTF">2026-06-04T11:01:16.248Z</dcterms:modified>
</cp:coreProperties>
</file>

<file path=docProps/custom.xml><?xml version="1.0" encoding="utf-8"?>
<Properties xmlns="http://schemas.openxmlformats.org/officeDocument/2006/custom-properties" xmlns:vt="http://schemas.openxmlformats.org/officeDocument/2006/docPropsVTypes"/>
</file>