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0A84FF"/>
          <w:sz w:val="56"/>
        </w:rPr>
        <w:t>DB Performance AI Agent</w:t>
      </w:r>
    </w:p>
    <w:p>
      <w:pPr>
        <w:jc w:val="center"/>
      </w:pPr>
      <w:r>
        <w:rPr>
          <w:color w:val="445566"/>
          <w:sz w:val="32"/>
        </w:rPr>
        <w:t>Demo Scenarios &amp; Architecture Guide</w:t>
      </w:r>
    </w:p>
    <w:p/>
    <w:p>
      <w:pPr>
        <w:jc w:val="center"/>
      </w:pPr>
      <w:r>
        <w:rPr>
          <w:color w:val="228866"/>
          <w:sz w:val="22"/>
        </w:rPr>
        <w:t>https://dbperf.aieksops.com   |   Powered by AWS + OpenAI GPT-4o + LangGraph</w:t>
      </w:r>
    </w:p>
    <w:p>
      <w:r>
        <w:br w:type="page"/>
      </w:r>
    </w:p>
    <w:p>
      <w:pPr>
        <w:pStyle w:val="Heading1"/>
      </w:pPr>
      <w:r>
        <w:rPr>
          <w:color w:val="0A84FF"/>
        </w:rPr>
        <w:t>1. What Is the DB Performance AI Agent?</w:t>
      </w:r>
    </w:p>
    <w:p>
      <w:r>
        <w:t>The DB Performance AI Agent is an AI-powered database triage tool that automatically analyzes slow-query data from any of the 7 AWS RDS/Aurora database engines. In seconds, it classifies root causes, generates step-by-step remediation runbooks with AWS-specific tooling guidance, and — in Live mode — provides an interactive AI DBA chat for deep-dive investigation.</w:t>
      </w:r>
    </w:p>
    <w:p/>
    <w:tbl>
      <w:tblPr>
        <w:tblStyle w:val="TableGrid"/>
        <w:tblW w:type="auto" w:w="0"/>
        <w:tblLayout w:type="fixed"/>
        <w:tblLook w:firstColumn="1" w:firstRow="1" w:lastColumn="0" w:lastRow="0" w:noHBand="0" w:noVBand="1" w:val="04A0"/>
      </w:tblPr>
      <w:tblGrid>
        <w:gridCol w:w="2160"/>
        <w:gridCol w:w="7200"/>
      </w:tblGrid>
      <w:tr>
        <w:tc>
          <w:tcPr>
            <w:tcW w:type="dxa" w:w="4986"/>
            <w:shd w:val="clear" w:color="auto" w:fill="1B4F72"/>
          </w:tcPr>
          <w:p>
            <w:r>
              <w:rPr>
                <w:b/>
                <w:color w:val="FFFFFF"/>
                <w:sz w:val="20"/>
              </w:rPr>
              <w:t>Before</w:t>
            </w:r>
          </w:p>
        </w:tc>
        <w:tc>
          <w:tcPr>
            <w:tcW w:type="dxa" w:w="4986"/>
          </w:tcPr>
          <w:p>
            <w:r>
              <w:rPr>
                <w:sz w:val="20"/>
              </w:rPr>
              <w:t>DBA spends 2–4 hours manually reading Performance Insights, AWR reports, or slow query logs to find root causes and write remediation steps.</w:t>
            </w:r>
          </w:p>
        </w:tc>
      </w:tr>
      <w:tr>
        <w:tc>
          <w:tcPr>
            <w:tcW w:type="dxa" w:w="4986"/>
            <w:shd w:val="clear" w:color="auto" w:fill="1B4F72"/>
          </w:tcPr>
          <w:p>
            <w:r>
              <w:rPr>
                <w:b/>
                <w:color w:val="FFFFFF"/>
                <w:sz w:val="20"/>
              </w:rPr>
              <w:t>After</w:t>
            </w:r>
          </w:p>
        </w:tc>
        <w:tc>
          <w:tcPr>
            <w:tcW w:type="dxa" w:w="4986"/>
          </w:tcPr>
          <w:p>
            <w:r>
              <w:rPr>
                <w:sz w:val="20"/>
              </w:rPr>
              <w:t>Upload the performance data file → AI classifies root causes in &lt; 10 seconds → get a prioritized runbook with exact AWS console paths and SQL fixes.</w:t>
            </w:r>
          </w:p>
        </w:tc>
      </w:tr>
      <w:tr>
        <w:tc>
          <w:tcPr>
            <w:tcW w:type="dxa" w:w="4986"/>
            <w:shd w:val="clear" w:color="auto" w:fill="154360"/>
          </w:tcPr>
          <w:p>
            <w:r>
              <w:rPr>
                <w:b/>
                <w:color w:val="FFFFFF"/>
                <w:sz w:val="20"/>
              </w:rPr>
              <w:t>Demo Mode</w:t>
            </w:r>
          </w:p>
        </w:tc>
        <w:tc>
          <w:tcPr>
            <w:tcW w:type="dxa" w:w="4986"/>
          </w:tcPr>
          <w:p>
            <w:r>
              <w:rPr>
                <w:sz w:val="20"/>
              </w:rPr>
              <w:t>Instant heuristic analysis — no API key needed. Perfect for demos and offline workshops.</w:t>
            </w:r>
          </w:p>
        </w:tc>
      </w:tr>
      <w:tr>
        <w:tc>
          <w:tcPr>
            <w:tcW w:type="dxa" w:w="4986"/>
            <w:shd w:val="clear" w:color="auto" w:fill="154360"/>
          </w:tcPr>
          <w:p>
            <w:r>
              <w:rPr>
                <w:b/>
                <w:color w:val="FFFFFF"/>
                <w:sz w:val="20"/>
              </w:rPr>
              <w:t>Live Mode</w:t>
            </w:r>
          </w:p>
        </w:tc>
        <w:tc>
          <w:tcPr>
            <w:tcW w:type="dxa" w:w="4986"/>
          </w:tcPr>
          <w:p>
            <w:r>
              <w:rPr>
                <w:sz w:val="20"/>
              </w:rPr>
              <w:t>GPT-4o powered dynamic analysis + interactive DBA Chat for follow-up questions about any query or wait event.</w:t>
            </w:r>
          </w:p>
        </w:tc>
      </w:tr>
    </w:tbl>
    <w:p>
      <w:r>
        <w:br w:type="page"/>
      </w:r>
    </w:p>
    <w:p>
      <w:pPr>
        <w:pStyle w:val="Heading1"/>
      </w:pPr>
      <w:r>
        <w:rPr>
          <w:color w:val="0A84FF"/>
        </w:rPr>
        <w:t>2. Architecture Overview</w:t>
      </w:r>
    </w:p>
    <w:p>
      <w:r>
        <w:t>The system is a three-layer full-stack AI application deployed on AWS EC2 (t3.large, us-west-1). The frontend is a React/Vite SPA, the backend is FastAPI with a LangGraph agentic pipeline, and all AI capabilities come from OpenAI GPT-4o via the Responses API.</w:t>
      </w:r>
    </w:p>
    <w:p/>
    <w:p>
      <w:pPr>
        <w:pStyle w:val="Heading2"/>
      </w:pPr>
      <w:r>
        <w:rPr>
          <w:color w:val="0066CC"/>
        </w:rPr>
        <w:t>Architecture Layers</w:t>
      </w:r>
    </w:p>
    <w:tbl>
      <w:tblPr>
        <w:tblStyle w:val="TableGrid"/>
        <w:tblW w:type="auto" w:w="0"/>
        <w:tblLayout w:type="fixed"/>
        <w:tblLook w:firstColumn="1" w:firstRow="1" w:lastColumn="0" w:lastRow="0" w:noHBand="0" w:noVBand="1" w:val="04A0"/>
      </w:tblPr>
      <w:tblGrid>
        <w:gridCol w:w="2016"/>
        <w:gridCol w:w="3600"/>
        <w:gridCol w:w="3744"/>
      </w:tblGrid>
      <w:tr>
        <w:tc>
          <w:tcPr>
            <w:tcW w:type="dxa" w:w="3324"/>
            <w:shd w:val="clear" w:color="auto" w:fill="2C3E50"/>
          </w:tcPr>
          <w:p>
            <w:r>
              <w:rPr>
                <w:b/>
                <w:color w:val="FFFFFF"/>
                <w:sz w:val="20"/>
              </w:rPr>
              <w:t>Layer</w:t>
            </w:r>
          </w:p>
        </w:tc>
        <w:tc>
          <w:tcPr>
            <w:tcW w:type="dxa" w:w="3324"/>
            <w:shd w:val="clear" w:color="auto" w:fill="2C3E50"/>
          </w:tcPr>
          <w:p>
            <w:r>
              <w:rPr>
                <w:b/>
                <w:color w:val="FFFFFF"/>
                <w:sz w:val="20"/>
              </w:rPr>
              <w:t>Technology</w:t>
            </w:r>
          </w:p>
        </w:tc>
        <w:tc>
          <w:tcPr>
            <w:tcW w:type="dxa" w:w="3324"/>
            <w:shd w:val="clear" w:color="auto" w:fill="2C3E50"/>
          </w:tcPr>
          <w:p>
            <w:r>
              <w:rPr>
                <w:b/>
                <w:color w:val="FFFFFF"/>
                <w:sz w:val="20"/>
              </w:rPr>
              <w:t>Responsibility</w:t>
            </w:r>
          </w:p>
        </w:tc>
      </w:tr>
      <w:tr>
        <w:tc>
          <w:tcPr>
            <w:tcW w:type="dxa" w:w="3324"/>
            <w:shd w:val="clear" w:color="auto" w:fill="EAF2FF"/>
          </w:tcPr>
          <w:p>
            <w:r>
              <w:rPr>
                <w:b/>
                <w:sz w:val="20"/>
              </w:rPr>
              <w:t>Browser</w:t>
            </w:r>
          </w:p>
        </w:tc>
        <w:tc>
          <w:tcPr>
            <w:tcW w:type="dxa" w:w="3324"/>
          </w:tcPr>
          <w:p>
            <w:r>
              <w:rPr>
                <w:sz w:val="20"/>
              </w:rPr>
              <w:t>React 18 + Vite + Tailwind CSS</w:t>
            </w:r>
          </w:p>
        </w:tc>
        <w:tc>
          <w:tcPr>
            <w:tcW w:type="dxa" w:w="3324"/>
          </w:tcPr>
          <w:p>
            <w:r>
              <w:rPr>
                <w:sz w:val="20"/>
              </w:rPr>
              <w:t>Demo/Live toggle, file upload, SSE stream viewer, DBA Chat UI</w:t>
            </w:r>
          </w:p>
        </w:tc>
      </w:tr>
      <w:tr>
        <w:tc>
          <w:tcPr>
            <w:tcW w:type="dxa" w:w="3324"/>
            <w:shd w:val="clear" w:color="auto" w:fill="F8F9FF"/>
          </w:tcPr>
          <w:p>
            <w:r>
              <w:rPr>
                <w:b/>
                <w:sz w:val="20"/>
              </w:rPr>
              <w:t>API Gateway</w:t>
            </w:r>
          </w:p>
        </w:tc>
        <w:tc>
          <w:tcPr>
            <w:tcW w:type="dxa" w:w="3324"/>
          </w:tcPr>
          <w:p>
            <w:r>
              <w:rPr>
                <w:sz w:val="20"/>
              </w:rPr>
              <w:t>FastAPI + Uvicorn (Port 8400)</w:t>
            </w:r>
          </w:p>
        </w:tc>
        <w:tc>
          <w:tcPr>
            <w:tcW w:type="dxa" w:w="3324"/>
          </w:tcPr>
          <w:p>
            <w:r>
              <w:rPr>
                <w:sz w:val="20"/>
              </w:rPr>
              <w:t>JWT auth, /api/triage/analyze SSE, /api/runbook/chat SSE, /api/samples</w:t>
            </w:r>
          </w:p>
        </w:tc>
      </w:tr>
      <w:tr>
        <w:tc>
          <w:tcPr>
            <w:tcW w:type="dxa" w:w="3324"/>
            <w:shd w:val="clear" w:color="auto" w:fill="EAF2FF"/>
          </w:tcPr>
          <w:p>
            <w:r>
              <w:rPr>
                <w:b/>
                <w:sz w:val="20"/>
              </w:rPr>
              <w:t>AI Pipeline</w:t>
            </w:r>
          </w:p>
        </w:tc>
        <w:tc>
          <w:tcPr>
            <w:tcW w:type="dxa" w:w="3324"/>
          </w:tcPr>
          <w:p>
            <w:r>
              <w:rPr>
                <w:sz w:val="20"/>
              </w:rPr>
              <w:t>LangGraph StateGraph (3 nodes)</w:t>
            </w:r>
          </w:p>
        </w:tc>
        <w:tc>
          <w:tcPr>
            <w:tcW w:type="dxa" w:w="3324"/>
          </w:tcPr>
          <w:p>
            <w:r>
              <w:rPr>
                <w:sz w:val="20"/>
              </w:rPr>
              <w:t>parser_node → classifier_node → runbook_node sequential pipeline</w:t>
            </w:r>
          </w:p>
        </w:tc>
      </w:tr>
      <w:tr>
        <w:tc>
          <w:tcPr>
            <w:tcW w:type="dxa" w:w="3324"/>
            <w:shd w:val="clear" w:color="auto" w:fill="F8F9FF"/>
          </w:tcPr>
          <w:p>
            <w:r>
              <w:rPr>
                <w:b/>
                <w:sz w:val="20"/>
              </w:rPr>
              <w:t>AI Engine</w:t>
            </w:r>
          </w:p>
        </w:tc>
        <w:tc>
          <w:tcPr>
            <w:tcW w:type="dxa" w:w="3324"/>
          </w:tcPr>
          <w:p>
            <w:r>
              <w:rPr>
                <w:sz w:val="20"/>
              </w:rPr>
              <w:t>OpenAI GPT-4o (async)</w:t>
            </w:r>
          </w:p>
        </w:tc>
        <w:tc>
          <w:tcPr>
            <w:tcW w:type="dxa" w:w="3324"/>
          </w:tcPr>
          <w:p>
            <w:r>
              <w:rPr>
                <w:sz w:val="20"/>
              </w:rPr>
              <w:t>Root cause classification, dynamic runbook generation, streaming DBA chat</w:t>
            </w:r>
          </w:p>
        </w:tc>
      </w:tr>
      <w:tr>
        <w:tc>
          <w:tcPr>
            <w:tcW w:type="dxa" w:w="3324"/>
            <w:shd w:val="clear" w:color="auto" w:fill="EAF2FF"/>
          </w:tcPr>
          <w:p>
            <w:r>
              <w:rPr>
                <w:b/>
                <w:sz w:val="20"/>
              </w:rPr>
              <w:t>Storage</w:t>
            </w:r>
          </w:p>
        </w:tc>
        <w:tc>
          <w:tcPr>
            <w:tcW w:type="dxa" w:w="3324"/>
          </w:tcPr>
          <w:p>
            <w:r>
              <w:rPr>
                <w:sz w:val="20"/>
              </w:rPr>
              <w:t>SQLite + Docker Volume</w:t>
            </w:r>
          </w:p>
        </w:tc>
        <w:tc>
          <w:tcPr>
            <w:tcW w:type="dxa" w:w="3324"/>
          </w:tcPr>
          <w:p>
            <w:r>
              <w:rPr>
                <w:sz w:val="20"/>
              </w:rPr>
              <w:t>Session persistence, triage results, query classifications</w:t>
            </w:r>
          </w:p>
        </w:tc>
      </w:tr>
    </w:tbl>
    <w:p/>
    <w:p>
      <w:pPr>
        <w:pStyle w:val="Heading2"/>
      </w:pPr>
      <w:r>
        <w:rPr>
          <w:color w:val="0066CC"/>
        </w:rPr>
        <w:t>LangGraph Agent Pipeline</w:t>
      </w:r>
    </w:p>
    <w:p>
      <w:r>
        <w:t>The three-node LangGraph StateGraph executes sequentially. State is passed between nodes as a typed Python dict (TriageState). In Demo mode, nodes 2–3 use fast in-memory heuristics. In Live mode, they call GPT-4o with engine-specific system prompts.</w:t>
      </w:r>
    </w:p>
    <w:tbl>
      <w:tblPr>
        <w:tblStyle w:val="TableGrid"/>
        <w:tblW w:type="auto" w:w="0"/>
        <w:tblLayout w:type="fixed"/>
        <w:tblLook w:firstColumn="1" w:firstRow="1" w:lastColumn="0" w:lastRow="0" w:noHBand="0" w:noVBand="1" w:val="04A0"/>
      </w:tblPr>
      <w:tblGrid>
        <w:gridCol w:w="720"/>
        <w:gridCol w:w="2160"/>
        <w:gridCol w:w="2880"/>
        <w:gridCol w:w="3600"/>
      </w:tblGrid>
      <w:tr>
        <w:tc>
          <w:tcPr>
            <w:tcW w:type="dxa" w:w="2493"/>
            <w:shd w:val="clear" w:color="auto" w:fill="1A3C5E"/>
          </w:tcPr>
          <w:p>
            <w:r>
              <w:rPr>
                <w:b/>
                <w:color w:val="FFFFFF"/>
                <w:sz w:val="20"/>
              </w:rPr>
              <w:t>#</w:t>
            </w:r>
          </w:p>
        </w:tc>
        <w:tc>
          <w:tcPr>
            <w:tcW w:type="dxa" w:w="2493"/>
            <w:shd w:val="clear" w:color="auto" w:fill="1A3C5E"/>
          </w:tcPr>
          <w:p>
            <w:r>
              <w:rPr>
                <w:b/>
                <w:color w:val="FFFFFF"/>
                <w:sz w:val="20"/>
              </w:rPr>
              <w:t>Node</w:t>
            </w:r>
          </w:p>
        </w:tc>
        <w:tc>
          <w:tcPr>
            <w:tcW w:type="dxa" w:w="2493"/>
            <w:shd w:val="clear" w:color="auto" w:fill="1A3C5E"/>
          </w:tcPr>
          <w:p>
            <w:r>
              <w:rPr>
                <w:b/>
                <w:color w:val="FFFFFF"/>
                <w:sz w:val="20"/>
              </w:rPr>
              <w:t>Input → Output</w:t>
            </w:r>
          </w:p>
        </w:tc>
        <w:tc>
          <w:tcPr>
            <w:tcW w:type="dxa" w:w="2493"/>
            <w:shd w:val="clear" w:color="auto" w:fill="1A3C5E"/>
          </w:tcPr>
          <w:p>
            <w:r>
              <w:rPr>
                <w:b/>
                <w:color w:val="FFFFFF"/>
                <w:sz w:val="20"/>
              </w:rPr>
              <w:t>Key Logic</w:t>
            </w:r>
          </w:p>
        </w:tc>
      </w:tr>
      <w:tr>
        <w:tc>
          <w:tcPr>
            <w:tcW w:type="dxa" w:w="2493"/>
            <w:shd w:val="clear" w:color="auto" w:fill="D6EAF8"/>
          </w:tcPr>
          <w:p>
            <w:r>
              <w:rPr>
                <w:b/>
                <w:sz w:val="18"/>
              </w:rPr>
              <w:t>1</w:t>
            </w:r>
          </w:p>
        </w:tc>
        <w:tc>
          <w:tcPr>
            <w:tcW w:type="dxa" w:w="2493"/>
          </w:tcPr>
          <w:p>
            <w:r>
              <w:rPr>
                <w:b/>
                <w:sz w:val="18"/>
              </w:rPr>
              <w:t>parser_node</w:t>
            </w:r>
          </w:p>
        </w:tc>
        <w:tc>
          <w:tcPr>
            <w:tcW w:type="dxa" w:w="2493"/>
          </w:tcPr>
          <w:p>
            <w:r>
              <w:rPr>
                <w:sz w:val="18"/>
              </w:rPr>
              <w:t>Raw file text → parsed queries list</w:t>
            </w:r>
          </w:p>
        </w:tc>
        <w:tc>
          <w:tcPr>
            <w:tcW w:type="dxa" w:w="2493"/>
          </w:tcPr>
          <w:p>
            <w:r>
              <w:rPr>
                <w:sz w:val="18"/>
              </w:rPr>
              <w:t>Detects 5 input formats, 7 engines; extracts SQL, wait events, metrics; normalizes to common schema</w:t>
            </w:r>
          </w:p>
        </w:tc>
      </w:tr>
      <w:tr>
        <w:tc>
          <w:tcPr>
            <w:tcW w:type="dxa" w:w="2493"/>
            <w:shd w:val="clear" w:color="auto" w:fill="EBF5FB"/>
          </w:tcPr>
          <w:p>
            <w:r>
              <w:rPr>
                <w:b/>
                <w:sz w:val="18"/>
              </w:rPr>
              <w:t>2</w:t>
            </w:r>
          </w:p>
        </w:tc>
        <w:tc>
          <w:tcPr>
            <w:tcW w:type="dxa" w:w="2493"/>
          </w:tcPr>
          <w:p>
            <w:r>
              <w:rPr>
                <w:b/>
                <w:sz w:val="18"/>
              </w:rPr>
              <w:t>classifier_node</w:t>
            </w:r>
          </w:p>
        </w:tc>
        <w:tc>
          <w:tcPr>
            <w:tcW w:type="dxa" w:w="2493"/>
          </w:tcPr>
          <w:p>
            <w:r>
              <w:rPr>
                <w:sz w:val="18"/>
              </w:rPr>
              <w:t>Queries → root cause classifications</w:t>
            </w:r>
          </w:p>
        </w:tc>
        <w:tc>
          <w:tcPr>
            <w:tcW w:type="dxa" w:w="2493"/>
          </w:tcPr>
          <w:p>
            <w:r>
              <w:rPr>
                <w:sz w:val="18"/>
              </w:rPr>
              <w:t>Demo: heuristic rules (wait ratios, row examined, plan count). Live: GPT-4o with engine-specific taxonomy prompt</w:t>
            </w:r>
          </w:p>
        </w:tc>
      </w:tr>
      <w:tr>
        <w:tc>
          <w:tcPr>
            <w:tcW w:type="dxa" w:w="2493"/>
            <w:shd w:val="clear" w:color="auto" w:fill="D6EAF8"/>
          </w:tcPr>
          <w:p>
            <w:r>
              <w:rPr>
                <w:b/>
                <w:sz w:val="18"/>
              </w:rPr>
              <w:t>3</w:t>
            </w:r>
          </w:p>
        </w:tc>
        <w:tc>
          <w:tcPr>
            <w:tcW w:type="dxa" w:w="2493"/>
          </w:tcPr>
          <w:p>
            <w:r>
              <w:rPr>
                <w:b/>
                <w:sz w:val="18"/>
              </w:rPr>
              <w:t>runbook_node</w:t>
            </w:r>
          </w:p>
        </w:tc>
        <w:tc>
          <w:tcPr>
            <w:tcW w:type="dxa" w:w="2493"/>
          </w:tcPr>
          <w:p>
            <w:r>
              <w:rPr>
                <w:sz w:val="18"/>
              </w:rPr>
              <w:t>Classifications → step-by-step runbooks</w:t>
            </w:r>
          </w:p>
        </w:tc>
        <w:tc>
          <w:tcPr>
            <w:tcW w:type="dxa" w:w="2493"/>
          </w:tcPr>
          <w:p>
            <w:r>
              <w:rPr>
                <w:sz w:val="18"/>
              </w:rPr>
              <w:t>Demo: curated runbook library. Live: asyncio.gather() concurrent GPT-4o calls, AWS tool badges per step</w:t>
            </w:r>
          </w:p>
        </w:tc>
      </w:tr>
    </w:tbl>
    <w:p/>
    <w:p>
      <w:pPr>
        <w:pStyle w:val="Heading2"/>
      </w:pPr>
      <w:r>
        <w:rPr>
          <w:color w:val="0066CC"/>
        </w:rPr>
        <w:t>Supported Database Engines</w:t>
      </w:r>
    </w:p>
    <w:tbl>
      <w:tblPr>
        <w:tblStyle w:val="TableGrid"/>
        <w:tblW w:type="auto" w:w="0"/>
        <w:tblLayout w:type="fixed"/>
        <w:tblLook w:firstColumn="1" w:firstRow="1" w:lastColumn="0" w:lastRow="0" w:noHBand="0" w:noVBand="1" w:val="04A0"/>
      </w:tblPr>
      <w:tblGrid>
        <w:gridCol w:w="3168"/>
        <w:gridCol w:w="2592"/>
        <w:gridCol w:w="3600"/>
      </w:tblGrid>
      <w:tr>
        <w:tc>
          <w:tcPr>
            <w:tcW w:type="dxa" w:w="3324"/>
            <w:shd w:val="clear" w:color="auto" w:fill="1A3C5E"/>
          </w:tcPr>
          <w:p>
            <w:r>
              <w:rPr>
                <w:b/>
                <w:color w:val="FFFFFF"/>
                <w:sz w:val="20"/>
              </w:rPr>
              <w:t>Engine</w:t>
            </w:r>
          </w:p>
        </w:tc>
        <w:tc>
          <w:tcPr>
            <w:tcW w:type="dxa" w:w="3324"/>
            <w:shd w:val="clear" w:color="auto" w:fill="1A3C5E"/>
          </w:tcPr>
          <w:p>
            <w:r>
              <w:rPr>
                <w:b/>
                <w:color w:val="FFFFFF"/>
                <w:sz w:val="20"/>
              </w:rPr>
              <w:t>Input Format</w:t>
            </w:r>
          </w:p>
        </w:tc>
        <w:tc>
          <w:tcPr>
            <w:tcW w:type="dxa" w:w="3324"/>
            <w:shd w:val="clear" w:color="auto" w:fill="1A3C5E"/>
          </w:tcPr>
          <w:p>
            <w:r>
              <w:rPr>
                <w:b/>
                <w:color w:val="FFFFFF"/>
                <w:sz w:val="20"/>
              </w:rPr>
              <w:t>Root Cause Types Detected</w:t>
            </w:r>
          </w:p>
        </w:tc>
      </w:tr>
      <w:tr>
        <w:tc>
          <w:tcPr>
            <w:tcW w:type="dxa" w:w="3324"/>
            <w:shd w:val="clear" w:color="auto" w:fill="EAF2FF"/>
          </w:tcPr>
          <w:p>
            <w:r>
              <w:rPr>
                <w:b/>
                <w:sz w:val="18"/>
              </w:rPr>
              <w:t>Aurora MySQL / RDS MySQL</w:t>
            </w:r>
          </w:p>
        </w:tc>
        <w:tc>
          <w:tcPr>
            <w:tcW w:type="dxa" w:w="3324"/>
            <w:shd w:val="clear" w:color="auto" w:fill="EAF2FF"/>
          </w:tcPr>
          <w:p>
            <w:r>
              <w:rPr>
                <w:sz w:val="18"/>
              </w:rPr>
              <w:t>RDS Performance Insights JSON</w:t>
            </w:r>
          </w:p>
        </w:tc>
        <w:tc>
          <w:tcPr>
            <w:tcW w:type="dxa" w:w="3324"/>
            <w:shd w:val="clear" w:color="auto" w:fill="EAF2FF"/>
          </w:tcPr>
          <w:p>
            <w:r>
              <w:rPr>
                <w:sz w:val="18"/>
              </w:rPr>
              <w:t>missing_index, lock_contention, bad_join_order, temp_table_spill</w:t>
            </w:r>
          </w:p>
        </w:tc>
      </w:tr>
      <w:tr>
        <w:tc>
          <w:tcPr>
            <w:tcW w:type="dxa" w:w="3324"/>
            <w:shd w:val="clear" w:color="auto" w:fill="F8F9FF"/>
          </w:tcPr>
          <w:p>
            <w:r>
              <w:rPr>
                <w:b/>
                <w:sz w:val="18"/>
              </w:rPr>
              <w:t>Aurora PostgreSQL / RDS PG</w:t>
            </w:r>
          </w:p>
        </w:tc>
        <w:tc>
          <w:tcPr>
            <w:tcW w:type="dxa" w:w="3324"/>
            <w:shd w:val="clear" w:color="auto" w:fill="F8F9FF"/>
          </w:tcPr>
          <w:p>
            <w:r>
              <w:rPr>
                <w:sz w:val="18"/>
              </w:rPr>
              <w:t>pg_stat_statements JSON</w:t>
            </w:r>
          </w:p>
        </w:tc>
        <w:tc>
          <w:tcPr>
            <w:tcW w:type="dxa" w:w="3324"/>
            <w:shd w:val="clear" w:color="auto" w:fill="F8F9FF"/>
          </w:tcPr>
          <w:p>
            <w:r>
              <w:rPr>
                <w:sz w:val="18"/>
              </w:rPr>
              <w:t>missing_index, vacuum_bloat, sequential_scan, lock_wait, temp_spill</w:t>
            </w:r>
          </w:p>
        </w:tc>
      </w:tr>
      <w:tr>
        <w:tc>
          <w:tcPr>
            <w:tcW w:type="dxa" w:w="3324"/>
            <w:shd w:val="clear" w:color="auto" w:fill="EAF2FF"/>
          </w:tcPr>
          <w:p>
            <w:r>
              <w:rPr>
                <w:b/>
                <w:sz w:val="18"/>
              </w:rPr>
              <w:t>Oracle RDS</w:t>
            </w:r>
          </w:p>
        </w:tc>
        <w:tc>
          <w:tcPr>
            <w:tcW w:type="dxa" w:w="3324"/>
            <w:shd w:val="clear" w:color="auto" w:fill="EAF2FF"/>
          </w:tcPr>
          <w:p>
            <w:r>
              <w:rPr>
                <w:sz w:val="18"/>
              </w:rPr>
              <w:t>Oracle AWR Report Text</w:t>
            </w:r>
          </w:p>
        </w:tc>
        <w:tc>
          <w:tcPr>
            <w:tcW w:type="dxa" w:w="3324"/>
            <w:shd w:val="clear" w:color="auto" w:fill="EAF2FF"/>
          </w:tcPr>
          <w:p>
            <w:r>
              <w:rPr>
                <w:sz w:val="18"/>
              </w:rPr>
              <w:t>parse_overhead, full_table_scan, undo_contention, stale_stats</w:t>
            </w:r>
          </w:p>
        </w:tc>
      </w:tr>
      <w:tr>
        <w:tc>
          <w:tcPr>
            <w:tcW w:type="dxa" w:w="3324"/>
            <w:shd w:val="clear" w:color="auto" w:fill="F8F9FF"/>
          </w:tcPr>
          <w:p>
            <w:r>
              <w:rPr>
                <w:b/>
                <w:sz w:val="18"/>
              </w:rPr>
              <w:t>RDS SQL Server</w:t>
            </w:r>
          </w:p>
        </w:tc>
        <w:tc>
          <w:tcPr>
            <w:tcW w:type="dxa" w:w="3324"/>
            <w:shd w:val="clear" w:color="auto" w:fill="F8F9FF"/>
          </w:tcPr>
          <w:p>
            <w:r>
              <w:rPr>
                <w:sz w:val="18"/>
              </w:rPr>
              <w:t>Query Store JSON</w:t>
            </w:r>
          </w:p>
        </w:tc>
        <w:tc>
          <w:tcPr>
            <w:tcW w:type="dxa" w:w="3324"/>
            <w:shd w:val="clear" w:color="auto" w:fill="F8F9FF"/>
          </w:tcPr>
          <w:p>
            <w:r>
              <w:rPr>
                <w:sz w:val="18"/>
              </w:rPr>
              <w:t>parameter_sniffing, blocking_chain, missing_index, memory_grant</w:t>
            </w:r>
          </w:p>
        </w:tc>
      </w:tr>
      <w:tr>
        <w:tc>
          <w:tcPr>
            <w:tcW w:type="dxa" w:w="3324"/>
            <w:shd w:val="clear" w:color="auto" w:fill="EAF2FF"/>
          </w:tcPr>
          <w:p>
            <w:r>
              <w:rPr>
                <w:b/>
                <w:sz w:val="18"/>
              </w:rPr>
              <w:t>RDS MariaDB</w:t>
            </w:r>
          </w:p>
        </w:tc>
        <w:tc>
          <w:tcPr>
            <w:tcW w:type="dxa" w:w="3324"/>
            <w:shd w:val="clear" w:color="auto" w:fill="EAF2FF"/>
          </w:tcPr>
          <w:p>
            <w:r>
              <w:rPr>
                <w:sz w:val="18"/>
              </w:rPr>
              <w:t>MySQL Slow Query Log Text</w:t>
            </w:r>
          </w:p>
        </w:tc>
        <w:tc>
          <w:tcPr>
            <w:tcW w:type="dxa" w:w="3324"/>
            <w:shd w:val="clear" w:color="auto" w:fill="EAF2FF"/>
          </w:tcPr>
          <w:p>
            <w:r>
              <w:rPr>
                <w:sz w:val="18"/>
              </w:rPr>
              <w:t>missing_index, lock_contention, full_scan, temp_disk_table</w:t>
            </w:r>
          </w:p>
        </w:tc>
      </w:tr>
      <w:tr>
        <w:tc>
          <w:tcPr>
            <w:tcW w:type="dxa" w:w="3324"/>
            <w:shd w:val="clear" w:color="auto" w:fill="F8F9FF"/>
          </w:tcPr>
          <w:p>
            <w:r>
              <w:rPr>
                <w:b/>
                <w:sz w:val="18"/>
              </w:rPr>
              <w:t>RDS MySQL</w:t>
            </w:r>
          </w:p>
        </w:tc>
        <w:tc>
          <w:tcPr>
            <w:tcW w:type="dxa" w:w="3324"/>
            <w:shd w:val="clear" w:color="auto" w:fill="F8F9FF"/>
          </w:tcPr>
          <w:p>
            <w:r>
              <w:rPr>
                <w:sz w:val="18"/>
              </w:rPr>
              <w:t>RDS Performance Insights JSON</w:t>
            </w:r>
          </w:p>
        </w:tc>
        <w:tc>
          <w:tcPr>
            <w:tcW w:type="dxa" w:w="3324"/>
            <w:shd w:val="clear" w:color="auto" w:fill="F8F9FF"/>
          </w:tcPr>
          <w:p>
            <w:r>
              <w:rPr>
                <w:sz w:val="18"/>
              </w:rPr>
              <w:t>missing_index, lock_contention, bad_join_order, temp_table_spill</w:t>
            </w:r>
          </w:p>
        </w:tc>
      </w:tr>
      <w:tr>
        <w:tc>
          <w:tcPr>
            <w:tcW w:type="dxa" w:w="3324"/>
            <w:shd w:val="clear" w:color="auto" w:fill="EAF2FF"/>
          </w:tcPr>
          <w:p>
            <w:r>
              <w:rPr>
                <w:b/>
                <w:sz w:val="18"/>
              </w:rPr>
              <w:t>RDS PostgreSQL</w:t>
            </w:r>
          </w:p>
        </w:tc>
        <w:tc>
          <w:tcPr>
            <w:tcW w:type="dxa" w:w="3324"/>
            <w:shd w:val="clear" w:color="auto" w:fill="EAF2FF"/>
          </w:tcPr>
          <w:p>
            <w:r>
              <w:rPr>
                <w:sz w:val="18"/>
              </w:rPr>
              <w:t>pg_stat_statements JSON</w:t>
            </w:r>
          </w:p>
        </w:tc>
        <w:tc>
          <w:tcPr>
            <w:tcW w:type="dxa" w:w="3324"/>
            <w:shd w:val="clear" w:color="auto" w:fill="EAF2FF"/>
          </w:tcPr>
          <w:p>
            <w:r>
              <w:rPr>
                <w:sz w:val="18"/>
              </w:rPr>
              <w:t>missing_index, vacuum_bloat, sequential_scan, lock_wait</w:t>
            </w:r>
          </w:p>
        </w:tc>
      </w:tr>
    </w:tbl>
    <w:p>
      <w:r>
        <w:br w:type="page"/>
      </w:r>
    </w:p>
    <w:p>
      <w:pPr>
        <w:pStyle w:val="Heading1"/>
      </w:pPr>
      <w:r>
        <w:rPr>
          <w:color w:val="0A84FF"/>
        </w:rPr>
        <w:t>3. Demo Scenarios — Audience Walk-Through Guide</w:t>
      </w:r>
    </w:p>
    <w:p>
      <w:r>
        <w:t>Five high-impact scenarios are pre-loaded as sample files at https://dbperf.aieksops.com. Each one represents a real-world database crisis across different industries and engines. Upload via 'New Analysis' → 'Load Sample' and run in Demo mode for instant results.</w:t>
      </w:r>
    </w:p>
    <w:p/>
    <w:p>
      <w:pPr>
        <w:jc w:val="left"/>
      </w:pPr>
      <w:r>
        <w:rPr>
          <w:b/>
          <w:color w:val="FFFFFF"/>
          <w:sz w:val="24"/>
        </w:rPr>
        <w:t xml:space="preserve">  Scenario 1 — Black Friday Crisis  (Aurora MySQL)  </w:t>
      </w:r>
    </w:p>
    <w:tbl>
      <w:tblPr>
        <w:tblStyle w:val="TableGrid"/>
        <w:tblW w:type="auto" w:w="0"/>
        <w:tblLayout w:type="fixed"/>
        <w:tblLook w:firstColumn="1" w:firstRow="1" w:lastColumn="0" w:lastRow="0" w:noHBand="0" w:noVBand="1" w:val="04A0"/>
      </w:tblPr>
      <w:tblGrid>
        <w:gridCol w:w="2880"/>
        <w:gridCol w:w="6480"/>
      </w:tblGrid>
      <w:tr>
        <w:tc>
          <w:tcPr>
            <w:tcW w:type="dxa" w:w="9972"/>
            <w:gridSpan w:val="2"/>
            <w:shd w:val="clear" w:color="auto" w:fill="C0392B"/>
          </w:tcPr>
          <w:p>
            <w:pPr>
              <w:jc w:val="left"/>
            </w:pPr>
            <w:r>
              <w:rPr>
                <w:b/>
                <w:color w:val="FFFFFF"/>
                <w:sz w:val="24"/>
              </w:rPr>
              <w:t xml:space="preserve">  Scenario 1 — Black Friday Crisis  (Aurora MySQL)</w:t>
            </w:r>
          </w:p>
        </w:tc>
      </w:tr>
      <w:tr>
        <w:tc>
          <w:tcPr>
            <w:tcW w:type="dxa" w:w="2880"/>
            <w:shd w:val="clear" w:color="auto" w:fill="F0F4FF"/>
          </w:tcPr>
          <w:p>
            <w:r>
              <w:rPr>
                <w:b/>
                <w:sz w:val="20"/>
              </w:rPr>
              <w:t>File</w:t>
            </w:r>
          </w:p>
        </w:tc>
        <w:tc>
          <w:tcPr>
            <w:tcW w:type="dxa" w:w="6480"/>
          </w:tcPr>
          <w:p>
            <w:r>
              <w:rPr>
                <w:sz w:val="20"/>
              </w:rPr>
              <w:t>demo_blackfriday_aurora_mysql.json</w:t>
            </w:r>
          </w:p>
        </w:tc>
      </w:tr>
      <w:tr>
        <w:tc>
          <w:tcPr>
            <w:tcW w:type="dxa" w:w="2880"/>
            <w:shd w:val="clear" w:color="auto" w:fill="F0F4FF"/>
          </w:tcPr>
          <w:p>
            <w:r>
              <w:rPr>
                <w:b/>
                <w:sz w:val="20"/>
              </w:rPr>
              <w:t>Engine</w:t>
            </w:r>
          </w:p>
        </w:tc>
        <w:tc>
          <w:tcPr>
            <w:tcW w:type="dxa" w:w="6480"/>
          </w:tcPr>
          <w:p>
            <w:r>
              <w:rPr>
                <w:sz w:val="20"/>
              </w:rPr>
              <w:t>Aurora MySQL 8.0.mysql_aurora.3.05.2</w:t>
            </w:r>
          </w:p>
        </w:tc>
      </w:tr>
      <w:tr>
        <w:tc>
          <w:tcPr>
            <w:tcW w:type="dxa" w:w="2880"/>
            <w:shd w:val="clear" w:color="auto" w:fill="F0F4FF"/>
          </w:tcPr>
          <w:p>
            <w:r>
              <w:rPr>
                <w:b/>
                <w:sz w:val="20"/>
              </w:rPr>
              <w:t>Format</w:t>
            </w:r>
          </w:p>
        </w:tc>
        <w:tc>
          <w:tcPr>
            <w:tcW w:type="dxa" w:w="6480"/>
          </w:tcPr>
          <w:p>
            <w:r>
              <w:rPr>
                <w:sz w:val="20"/>
              </w:rPr>
              <w:t>RDS Performance Insights JSON</w:t>
            </w:r>
          </w:p>
        </w:tc>
      </w:tr>
      <w:tr>
        <w:tc>
          <w:tcPr>
            <w:tcW w:type="dxa" w:w="2880"/>
            <w:shd w:val="clear" w:color="auto" w:fill="F0F4FF"/>
          </w:tcPr>
          <w:p>
            <w:r>
              <w:rPr>
                <w:b/>
                <w:sz w:val="20"/>
              </w:rPr>
              <w:t>DB Load</w:t>
            </w:r>
          </w:p>
        </w:tc>
        <w:tc>
          <w:tcPr>
            <w:tcW w:type="dxa" w:w="6480"/>
          </w:tcPr>
          <w:p>
            <w:r>
              <w:rPr>
                <w:sz w:val="20"/>
              </w:rPr>
              <w:t>94.2 AAS (Active Average Sessions) — severely over-loaded</w:t>
            </w:r>
          </w:p>
        </w:tc>
      </w:tr>
      <w:tr>
        <w:tc>
          <w:tcPr>
            <w:tcW w:type="dxa" w:w="2880"/>
            <w:shd w:val="clear" w:color="auto" w:fill="F0F4FF"/>
          </w:tcPr>
          <w:p>
            <w:r>
              <w:rPr>
                <w:b/>
                <w:sz w:val="20"/>
              </w:rPr>
              <w:t>Business Impact</w:t>
            </w:r>
          </w:p>
        </w:tc>
        <w:tc>
          <w:tcPr>
            <w:tcW w:type="dxa" w:w="6480"/>
          </w:tcPr>
          <w:p>
            <w:r>
              <w:rPr>
                <w:sz w:val="20"/>
              </w:rPr>
              <w:t>E-commerce checkout — 40,000 orders/min failing at payment step, 8x normal latency</w:t>
            </w:r>
          </w:p>
        </w:tc>
      </w:tr>
      <w:tr>
        <w:tc>
          <w:tcPr>
            <w:tcW w:type="dxa" w:w="2880"/>
            <w:shd w:val="clear" w:color="auto" w:fill="F0F4FF"/>
          </w:tcPr>
          <w:p>
            <w:r>
              <w:rPr>
                <w:b/>
                <w:sz w:val="20"/>
              </w:rPr>
              <w:t>Top Query</w:t>
            </w:r>
          </w:p>
        </w:tc>
        <w:tc>
          <w:tcPr>
            <w:tcW w:type="dxa" w:w="6480"/>
          </w:tcPr>
          <w:p>
            <w:r>
              <w:rPr>
                <w:sz w:val="20"/>
              </w:rPr>
              <w:t>4-table checkout JOIN (order_items → products → inventory → warehouses) — 742,000 rows examined per call, 284K calls/hour</w:t>
            </w:r>
          </w:p>
        </w:tc>
      </w:tr>
      <w:tr>
        <w:tc>
          <w:tcPr>
            <w:tcW w:type="dxa" w:w="2880"/>
            <w:shd w:val="clear" w:color="auto" w:fill="F0F4FF"/>
          </w:tcPr>
          <w:p>
            <w:r>
              <w:rPr>
                <w:b/>
                <w:sz w:val="20"/>
              </w:rPr>
              <w:t>Root Cause 1</w:t>
            </w:r>
          </w:p>
        </w:tc>
        <w:tc>
          <w:tcPr>
            <w:tcW w:type="dxa" w:w="6480"/>
          </w:tcPr>
          <w:p>
            <w:r>
              <w:rPr>
                <w:sz w:val="20"/>
              </w:rPr>
              <w:t>missing_index — No composite index on (order_id, product_id) in order_items causing full join scans</w:t>
            </w:r>
          </w:p>
        </w:tc>
      </w:tr>
      <w:tr>
        <w:tc>
          <w:tcPr>
            <w:tcW w:type="dxa" w:w="2880"/>
            <w:shd w:val="clear" w:color="auto" w:fill="F0F4FF"/>
          </w:tcPr>
          <w:p>
            <w:r>
              <w:rPr>
                <w:b/>
                <w:sz w:val="20"/>
              </w:rPr>
              <w:t>Root Cause 2</w:t>
            </w:r>
          </w:p>
        </w:tc>
        <w:tc>
          <w:tcPr>
            <w:tcW w:type="dxa" w:w="6480"/>
          </w:tcPr>
          <w:p>
            <w:r>
              <w:rPr>
                <w:sz w:val="20"/>
              </w:rPr>
              <w:t>lock_contention — inventory UPDATE with mutex wait 23.1% of DB time; serialized stock_quantity decrements</w:t>
            </w:r>
          </w:p>
        </w:tc>
      </w:tr>
      <w:tr>
        <w:tc>
          <w:tcPr>
            <w:tcW w:type="dxa" w:w="2880"/>
            <w:shd w:val="clear" w:color="auto" w:fill="F0F4FF"/>
          </w:tcPr>
          <w:p>
            <w:r>
              <w:rPr>
                <w:b/>
                <w:sz w:val="20"/>
              </w:rPr>
              <w:t>Wait Events</w:t>
            </w:r>
          </w:p>
        </w:tc>
        <w:tc>
          <w:tcPr>
            <w:tcW w:type="dxa" w:w="6480"/>
          </w:tcPr>
          <w:p>
            <w:r>
              <w:rPr>
                <w:sz w:val="20"/>
              </w:rPr>
              <w:t>io/table/sql/handler (38.1%), synch/mutex/innodb/lock_wait_mutex (23.1%)</w:t>
            </w:r>
          </w:p>
        </w:tc>
      </w:tr>
      <w:tr>
        <w:tc>
          <w:tcPr>
            <w:tcW w:type="dxa" w:w="2880"/>
            <w:shd w:val="clear" w:color="auto" w:fill="F0F4FF"/>
          </w:tcPr>
          <w:p>
            <w:r>
              <w:rPr>
                <w:b/>
                <w:sz w:val="20"/>
              </w:rPr>
              <w:t>Runbook Fix</w:t>
            </w:r>
          </w:p>
        </w:tc>
        <w:tc>
          <w:tcPr>
            <w:tcW w:type="dxa" w:w="6480"/>
          </w:tcPr>
          <w:p>
            <w:r>
              <w:rPr>
                <w:sz w:val="20"/>
              </w:rPr>
              <w:t>CREATE INDEX idx_oi_order_product ON order_items(order_id, product_id); implement optimistic locking with retry for inventory updates</w:t>
            </w:r>
          </w:p>
        </w:tc>
      </w:tr>
      <w:tr>
        <w:tc>
          <w:tcPr>
            <w:tcW w:type="dxa" w:w="2880"/>
            <w:shd w:val="clear" w:color="auto" w:fill="F0F4FF"/>
          </w:tcPr>
          <w:p>
            <w:r>
              <w:rPr>
                <w:b/>
                <w:sz w:val="20"/>
              </w:rPr>
              <w:t>AWS Tools</w:t>
            </w:r>
          </w:p>
        </w:tc>
        <w:tc>
          <w:tcPr>
            <w:tcW w:type="dxa" w:w="6480"/>
          </w:tcPr>
          <w:p>
            <w:r>
              <w:rPr>
                <w:sz w:val="20"/>
              </w:rPr>
              <w:t>Performance Insights → Top SQL, Enhanced Monitoring → IOPS spike, CloudWatch → DBConnections alarm</w:t>
            </w:r>
          </w:p>
        </w:tc>
      </w:tr>
      <w:tr>
        <w:tc>
          <w:tcPr>
            <w:tcW w:type="dxa" w:w="2880"/>
            <w:shd w:val="clear" w:color="auto" w:fill="F0F4FF"/>
          </w:tcPr>
          <w:p>
            <w:r>
              <w:rPr>
                <w:b/>
                <w:sz w:val="20"/>
              </w:rPr>
              <w:t>Demo Talking Point</w:t>
            </w:r>
          </w:p>
        </w:tc>
        <w:tc>
          <w:tcPr>
            <w:tcW w:type="dxa" w:w="6480"/>
          </w:tcPr>
          <w:p>
            <w:r>
              <w:rPr>
                <w:sz w:val="20"/>
              </w:rPr>
              <w:t>Show the 40.8% DB load concentration on one query — audience immediately understands why indexing matters at scale</w:t>
            </w:r>
          </w:p>
        </w:tc>
      </w:tr>
    </w:tbl>
    <w:p/>
    <w:p/>
    <w:p>
      <w:pPr>
        <w:jc w:val="left"/>
      </w:pPr>
      <w:r>
        <w:rPr>
          <w:b/>
          <w:color w:val="FFFFFF"/>
          <w:sz w:val="24"/>
        </w:rPr>
        <w:t xml:space="preserve">  Scenario 2 — SaaS Analytics Slowdown  (Aurora PostgreSQL)  </w:t>
      </w:r>
    </w:p>
    <w:tbl>
      <w:tblPr>
        <w:tblStyle w:val="TableGrid"/>
        <w:tblW w:type="auto" w:w="0"/>
        <w:tblLayout w:type="fixed"/>
        <w:tblLook w:firstColumn="1" w:firstRow="1" w:lastColumn="0" w:lastRow="0" w:noHBand="0" w:noVBand="1" w:val="04A0"/>
      </w:tblPr>
      <w:tblGrid>
        <w:gridCol w:w="2880"/>
        <w:gridCol w:w="6480"/>
      </w:tblGrid>
      <w:tr>
        <w:tc>
          <w:tcPr>
            <w:tcW w:type="dxa" w:w="9972"/>
            <w:gridSpan w:val="2"/>
            <w:shd w:val="clear" w:color="auto" w:fill="E67E22"/>
          </w:tcPr>
          <w:p>
            <w:pPr>
              <w:jc w:val="left"/>
            </w:pPr>
            <w:r>
              <w:rPr>
                <w:b/>
                <w:color w:val="FFFFFF"/>
                <w:sz w:val="24"/>
              </w:rPr>
              <w:t xml:space="preserve">  Scenario 2 — SaaS Analytics Slowdown  (Aurora PostgreSQL)</w:t>
            </w:r>
          </w:p>
        </w:tc>
      </w:tr>
      <w:tr>
        <w:tc>
          <w:tcPr>
            <w:tcW w:type="dxa" w:w="2880"/>
            <w:shd w:val="clear" w:color="auto" w:fill="F0F4FF"/>
          </w:tcPr>
          <w:p>
            <w:r>
              <w:rPr>
                <w:b/>
                <w:sz w:val="20"/>
              </w:rPr>
              <w:t>File</w:t>
            </w:r>
          </w:p>
        </w:tc>
        <w:tc>
          <w:tcPr>
            <w:tcW w:type="dxa" w:w="6480"/>
          </w:tcPr>
          <w:p>
            <w:r>
              <w:rPr>
                <w:sz w:val="20"/>
              </w:rPr>
              <w:t>demo_saas_aurora_pg_vacuum.json</w:t>
            </w:r>
          </w:p>
        </w:tc>
      </w:tr>
      <w:tr>
        <w:tc>
          <w:tcPr>
            <w:tcW w:type="dxa" w:w="2880"/>
            <w:shd w:val="clear" w:color="auto" w:fill="F0F4FF"/>
          </w:tcPr>
          <w:p>
            <w:r>
              <w:rPr>
                <w:b/>
                <w:sz w:val="20"/>
              </w:rPr>
              <w:t>Engine</w:t>
            </w:r>
          </w:p>
        </w:tc>
        <w:tc>
          <w:tcPr>
            <w:tcW w:type="dxa" w:w="6480"/>
          </w:tcPr>
          <w:p>
            <w:r>
              <w:rPr>
                <w:sz w:val="20"/>
              </w:rPr>
              <w:t>Aurora PostgreSQL 15.4</w:t>
            </w:r>
          </w:p>
        </w:tc>
      </w:tr>
      <w:tr>
        <w:tc>
          <w:tcPr>
            <w:tcW w:type="dxa" w:w="2880"/>
            <w:shd w:val="clear" w:color="auto" w:fill="F0F4FF"/>
          </w:tcPr>
          <w:p>
            <w:r>
              <w:rPr>
                <w:b/>
                <w:sz w:val="20"/>
              </w:rPr>
              <w:t>Format</w:t>
            </w:r>
          </w:p>
        </w:tc>
        <w:tc>
          <w:tcPr>
            <w:tcW w:type="dxa" w:w="6480"/>
          </w:tcPr>
          <w:p>
            <w:r>
              <w:rPr>
                <w:sz w:val="20"/>
              </w:rPr>
              <w:t>pg_stat_statements JSON</w:t>
            </w:r>
          </w:p>
        </w:tc>
      </w:tr>
      <w:tr>
        <w:tc>
          <w:tcPr>
            <w:tcW w:type="dxa" w:w="2880"/>
            <w:shd w:val="clear" w:color="auto" w:fill="F0F4FF"/>
          </w:tcPr>
          <w:p>
            <w:r>
              <w:rPr>
                <w:b/>
                <w:sz w:val="20"/>
              </w:rPr>
              <w:t>Business Impact</w:t>
            </w:r>
          </w:p>
        </w:tc>
        <w:tc>
          <w:tcPr>
            <w:tcW w:type="dxa" w:w="6480"/>
          </w:tcPr>
          <w:p>
            <w:r>
              <w:rPr>
                <w:sz w:val="20"/>
              </w:rPr>
              <w:t>Dashboard load 12x slower after monthly billing cycle; analytics queries timing out for all tenants</w:t>
            </w:r>
          </w:p>
        </w:tc>
      </w:tr>
      <w:tr>
        <w:tc>
          <w:tcPr>
            <w:tcW w:type="dxa" w:w="2880"/>
            <w:shd w:val="clear" w:color="auto" w:fill="F0F4FF"/>
          </w:tcPr>
          <w:p>
            <w:r>
              <w:rPr>
                <w:b/>
                <w:sz w:val="20"/>
              </w:rPr>
              <w:t>Top Query</w:t>
            </w:r>
          </w:p>
        </w:tc>
        <w:tc>
          <w:tcPr>
            <w:tcW w:type="dxa" w:w="6480"/>
          </w:tcPr>
          <w:p>
            <w:r>
              <w:rPr>
                <w:sz w:val="20"/>
              </w:rPr>
              <w:t>Tenant event aggregation — 9.1M shared_blks_read, 7.8s block I/O time per execution, temp disk writes</w:t>
            </w:r>
          </w:p>
        </w:tc>
      </w:tr>
      <w:tr>
        <w:tc>
          <w:tcPr>
            <w:tcW w:type="dxa" w:w="2880"/>
            <w:shd w:val="clear" w:color="auto" w:fill="F0F4FF"/>
          </w:tcPr>
          <w:p>
            <w:r>
              <w:rPr>
                <w:b/>
                <w:sz w:val="20"/>
              </w:rPr>
              <w:t>Root Cause 1</w:t>
            </w:r>
          </w:p>
        </w:tc>
        <w:tc>
          <w:tcPr>
            <w:tcW w:type="dxa" w:w="6480"/>
          </w:tcPr>
          <w:p>
            <w:r>
              <w:rPr>
                <w:sz w:val="20"/>
              </w:rPr>
              <w:t>vacuum_bloat — events table has 142M dead tuples (33% bloat); autovacuum can't keep up with 8.4M inserts/hour</w:t>
            </w:r>
          </w:p>
        </w:tc>
      </w:tr>
      <w:tr>
        <w:tc>
          <w:tcPr>
            <w:tcW w:type="dxa" w:w="2880"/>
            <w:shd w:val="clear" w:color="auto" w:fill="F0F4FF"/>
          </w:tcPr>
          <w:p>
            <w:r>
              <w:rPr>
                <w:b/>
                <w:sz w:val="20"/>
              </w:rPr>
              <w:t>Root Cause 2</w:t>
            </w:r>
          </w:p>
        </w:tc>
        <w:tc>
          <w:tcPr>
            <w:tcW w:type="dxa" w:w="6480"/>
          </w:tcPr>
          <w:p>
            <w:r>
              <w:rPr>
                <w:sz w:val="20"/>
              </w:rPr>
              <w:t>sequential_scan — no partial index for (tenant_id, occurred_at) range queries; full 284M row scans</w:t>
            </w:r>
          </w:p>
        </w:tc>
      </w:tr>
      <w:tr>
        <w:tc>
          <w:tcPr>
            <w:tcW w:type="dxa" w:w="2880"/>
            <w:shd w:val="clear" w:color="auto" w:fill="F0F4FF"/>
          </w:tcPr>
          <w:p>
            <w:r>
              <w:rPr>
                <w:b/>
                <w:sz w:val="20"/>
              </w:rPr>
              <w:t>Wait Events</w:t>
            </w:r>
          </w:p>
        </w:tc>
        <w:tc>
          <w:tcPr>
            <w:tcW w:type="dxa" w:w="6480"/>
          </w:tcPr>
          <w:p>
            <w:r>
              <w:rPr>
                <w:sz w:val="20"/>
              </w:rPr>
              <w:t>High shared_blks_read vs shared_blks_hit ratio; blk_read_time dominates exec time</w:t>
            </w:r>
          </w:p>
        </w:tc>
      </w:tr>
      <w:tr>
        <w:tc>
          <w:tcPr>
            <w:tcW w:type="dxa" w:w="2880"/>
            <w:shd w:val="clear" w:color="auto" w:fill="F0F4FF"/>
          </w:tcPr>
          <w:p>
            <w:r>
              <w:rPr>
                <w:b/>
                <w:sz w:val="20"/>
              </w:rPr>
              <w:t>Runbook Fix</w:t>
            </w:r>
          </w:p>
        </w:tc>
        <w:tc>
          <w:tcPr>
            <w:tcW w:type="dxa" w:w="6480"/>
          </w:tcPr>
          <w:p>
            <w:r>
              <w:rPr>
                <w:sz w:val="20"/>
              </w:rPr>
              <w:t>VACUUM ANALYZE events; CREATE INDEX CONCURRENTLY idx_events_tenant_date ON events(tenant_id, occurred_at); adjust autovacuum_scale_factor</w:t>
            </w:r>
          </w:p>
        </w:tc>
      </w:tr>
      <w:tr>
        <w:tc>
          <w:tcPr>
            <w:tcW w:type="dxa" w:w="2880"/>
            <w:shd w:val="clear" w:color="auto" w:fill="F0F4FF"/>
          </w:tcPr>
          <w:p>
            <w:r>
              <w:rPr>
                <w:b/>
                <w:sz w:val="20"/>
              </w:rPr>
              <w:t>AWS Tools</w:t>
            </w:r>
          </w:p>
        </w:tc>
        <w:tc>
          <w:tcPr>
            <w:tcW w:type="dxa" w:w="6480"/>
          </w:tcPr>
          <w:p>
            <w:r>
              <w:rPr>
                <w:sz w:val="20"/>
              </w:rPr>
              <w:t>Performance Insights → Top Waits (IO:DataFileRead), RDS Console → Storage I/O metrics, Aurora Storage Autoscaling check</w:t>
            </w:r>
          </w:p>
        </w:tc>
      </w:tr>
      <w:tr>
        <w:tc>
          <w:tcPr>
            <w:tcW w:type="dxa" w:w="2880"/>
            <w:shd w:val="clear" w:color="auto" w:fill="F0F4FF"/>
          </w:tcPr>
          <w:p>
            <w:r>
              <w:rPr>
                <w:b/>
                <w:sz w:val="20"/>
              </w:rPr>
              <w:t>Demo Talking Point</w:t>
            </w:r>
          </w:p>
        </w:tc>
        <w:tc>
          <w:tcPr>
            <w:tcW w:type="dxa" w:w="6480"/>
          </w:tcPr>
          <w:p>
            <w:r>
              <w:rPr>
                <w:sz w:val="20"/>
              </w:rPr>
              <w:t>33% dead tuple ratio is a perfect visual — show how autovacuum scheduling fails during high-insert billing cycles</w:t>
            </w:r>
          </w:p>
        </w:tc>
      </w:tr>
    </w:tbl>
    <w:p/>
    <w:p/>
    <w:p>
      <w:pPr>
        <w:jc w:val="left"/>
      </w:pPr>
      <w:r>
        <w:rPr>
          <w:b/>
          <w:color w:val="FFFFFF"/>
          <w:sz w:val="24"/>
        </w:rPr>
        <w:t xml:space="preserve">  Scenario 3 — Core Banking Settlement Stall  (Oracle RDS)  </w:t>
      </w:r>
    </w:p>
    <w:tbl>
      <w:tblPr>
        <w:tblStyle w:val="TableGrid"/>
        <w:tblW w:type="auto" w:w="0"/>
        <w:tblLayout w:type="fixed"/>
        <w:tblLook w:firstColumn="1" w:firstRow="1" w:lastColumn="0" w:lastRow="0" w:noHBand="0" w:noVBand="1" w:val="04A0"/>
      </w:tblPr>
      <w:tblGrid>
        <w:gridCol w:w="2880"/>
        <w:gridCol w:w="6480"/>
      </w:tblGrid>
      <w:tr>
        <w:tc>
          <w:tcPr>
            <w:tcW w:type="dxa" w:w="9972"/>
            <w:gridSpan w:val="2"/>
            <w:shd w:val="clear" w:color="auto" w:fill="F1C40F"/>
          </w:tcPr>
          <w:p>
            <w:pPr>
              <w:jc w:val="left"/>
            </w:pPr>
            <w:r>
              <w:rPr>
                <w:b/>
                <w:color w:val="FFFFFF"/>
                <w:sz w:val="24"/>
              </w:rPr>
              <w:t xml:space="preserve">  Scenario 3 — Core Banking Settlement Stall  (Oracle RDS)</w:t>
            </w:r>
          </w:p>
        </w:tc>
      </w:tr>
      <w:tr>
        <w:tc>
          <w:tcPr>
            <w:tcW w:type="dxa" w:w="2880"/>
            <w:shd w:val="clear" w:color="auto" w:fill="F0F4FF"/>
          </w:tcPr>
          <w:p>
            <w:r>
              <w:rPr>
                <w:b/>
                <w:sz w:val="20"/>
              </w:rPr>
              <w:t>File</w:t>
            </w:r>
          </w:p>
        </w:tc>
        <w:tc>
          <w:tcPr>
            <w:tcW w:type="dxa" w:w="6480"/>
          </w:tcPr>
          <w:p>
            <w:r>
              <w:rPr>
                <w:sz w:val="20"/>
              </w:rPr>
              <w:t>demo_banking_oracle_awr.txt</w:t>
            </w:r>
          </w:p>
        </w:tc>
      </w:tr>
      <w:tr>
        <w:tc>
          <w:tcPr>
            <w:tcW w:type="dxa" w:w="2880"/>
            <w:shd w:val="clear" w:color="auto" w:fill="F0F4FF"/>
          </w:tcPr>
          <w:p>
            <w:r>
              <w:rPr>
                <w:b/>
                <w:sz w:val="20"/>
              </w:rPr>
              <w:t>Engine</w:t>
            </w:r>
          </w:p>
        </w:tc>
        <w:tc>
          <w:tcPr>
            <w:tcW w:type="dxa" w:w="6480"/>
          </w:tcPr>
          <w:p>
            <w:r>
              <w:rPr>
                <w:sz w:val="20"/>
              </w:rPr>
              <w:t>Oracle 19c (RDS) 19.0.0.0.0</w:t>
            </w:r>
          </w:p>
        </w:tc>
      </w:tr>
      <w:tr>
        <w:tc>
          <w:tcPr>
            <w:tcW w:type="dxa" w:w="2880"/>
            <w:shd w:val="clear" w:color="auto" w:fill="F0F4FF"/>
          </w:tcPr>
          <w:p>
            <w:r>
              <w:rPr>
                <w:b/>
                <w:sz w:val="20"/>
              </w:rPr>
              <w:t>Format</w:t>
            </w:r>
          </w:p>
        </w:tc>
        <w:tc>
          <w:tcPr>
            <w:tcW w:type="dxa" w:w="6480"/>
          </w:tcPr>
          <w:p>
            <w:r>
              <w:rPr>
                <w:sz w:val="20"/>
              </w:rPr>
              <w:t>Oracle AWR Report Text</w:t>
            </w:r>
          </w:p>
        </w:tc>
      </w:tr>
      <w:tr>
        <w:tc>
          <w:tcPr>
            <w:tcW w:type="dxa" w:w="2880"/>
            <w:shd w:val="clear" w:color="auto" w:fill="F0F4FF"/>
          </w:tcPr>
          <w:p>
            <w:r>
              <w:rPr>
                <w:b/>
                <w:sz w:val="20"/>
              </w:rPr>
              <w:t>Business Impact</w:t>
            </w:r>
          </w:p>
        </w:tc>
        <w:tc>
          <w:tcPr>
            <w:tcW w:type="dxa" w:w="6480"/>
          </w:tcPr>
          <w:p>
            <w:r>
              <w:rPr>
                <w:sz w:val="20"/>
              </w:rPr>
              <w:t>End-of-day wire transfers stalled — 2,400 SWIFT transactions pending, gateway timeout escalating</w:t>
            </w:r>
          </w:p>
        </w:tc>
      </w:tr>
      <w:tr>
        <w:tc>
          <w:tcPr>
            <w:tcW w:type="dxa" w:w="2880"/>
            <w:shd w:val="clear" w:color="auto" w:fill="F0F4FF"/>
          </w:tcPr>
          <w:p>
            <w:r>
              <w:rPr>
                <w:b/>
                <w:sz w:val="20"/>
              </w:rPr>
              <w:t>AWR DB Time</w:t>
            </w:r>
          </w:p>
        </w:tc>
        <w:tc>
          <w:tcPr>
            <w:tcW w:type="dxa" w:w="6480"/>
          </w:tcPr>
          <w:p>
            <w:r>
              <w:rPr>
                <w:sz w:val="20"/>
              </w:rPr>
              <w:t>8,420 minutes DB time in 60-minute window — 140x single-core equivalent load</w:t>
            </w:r>
          </w:p>
        </w:tc>
      </w:tr>
      <w:tr>
        <w:tc>
          <w:tcPr>
            <w:tcW w:type="dxa" w:w="2880"/>
            <w:shd w:val="clear" w:color="auto" w:fill="F0F4FF"/>
          </w:tcPr>
          <w:p>
            <w:r>
              <w:rPr>
                <w:b/>
                <w:sz w:val="20"/>
              </w:rPr>
              <w:t>Top Query</w:t>
            </w:r>
          </w:p>
        </w:tc>
        <w:tc>
          <w:tcPr>
            <w:tcW w:type="dxa" w:w="6480"/>
          </w:tcPr>
          <w:p>
            <w:r>
              <w:rPr>
                <w:sz w:val="20"/>
              </w:rPr>
              <w:t>Account lookup (accounts → branches → customers) — 2.8 billion buffer gets, 100K gets per exec, 28K executions</w:t>
            </w:r>
          </w:p>
        </w:tc>
      </w:tr>
      <w:tr>
        <w:tc>
          <w:tcPr>
            <w:tcW w:type="dxa" w:w="2880"/>
            <w:shd w:val="clear" w:color="auto" w:fill="F0F4FF"/>
          </w:tcPr>
          <w:p>
            <w:r>
              <w:rPr>
                <w:b/>
                <w:sz w:val="20"/>
              </w:rPr>
              <w:t>Root Cause 1</w:t>
            </w:r>
          </w:p>
        </w:tc>
        <w:tc>
          <w:tcPr>
            <w:tcW w:type="dxa" w:w="6480"/>
          </w:tcPr>
          <w:p>
            <w:r>
              <w:rPr>
                <w:sz w:val="20"/>
              </w:rPr>
              <w:t>parse_overhead — 78% hard parse ratio (18.4M hard parses / 28.4M total); Library Cache Hit only 22.18%; shared pool 96% full</w:t>
            </w:r>
          </w:p>
        </w:tc>
      </w:tr>
      <w:tr>
        <w:tc>
          <w:tcPr>
            <w:tcW w:type="dxa" w:w="2880"/>
            <w:shd w:val="clear" w:color="auto" w:fill="F0F4FF"/>
          </w:tcPr>
          <w:p>
            <w:r>
              <w:rPr>
                <w:b/>
                <w:sz w:val="20"/>
              </w:rPr>
              <w:t>Root Cause 2</w:t>
            </w:r>
          </w:p>
        </w:tc>
        <w:tc>
          <w:tcPr>
            <w:tcW w:type="dxa" w:w="6480"/>
          </w:tcPr>
          <w:p>
            <w:r>
              <w:rPr>
                <w:sz w:val="20"/>
              </w:rPr>
              <w:t>undo_contention — 'library cache: mutex X' is #2 wait event at 33.7% of DB time</w:t>
            </w:r>
          </w:p>
        </w:tc>
      </w:tr>
      <w:tr>
        <w:tc>
          <w:tcPr>
            <w:tcW w:type="dxa" w:w="2880"/>
            <w:shd w:val="clear" w:color="auto" w:fill="F0F4FF"/>
          </w:tcPr>
          <w:p>
            <w:r>
              <w:rPr>
                <w:b/>
                <w:sz w:val="20"/>
              </w:rPr>
              <w:t>AWR Wait Events</w:t>
            </w:r>
          </w:p>
        </w:tc>
        <w:tc>
          <w:tcPr>
            <w:tcW w:type="dxa" w:w="6480"/>
          </w:tcPr>
          <w:p>
            <w:r>
              <w:rPr>
                <w:sz w:val="20"/>
              </w:rPr>
              <w:t>library cache: mutex X (33.7%), cursor: pin S wait on X (16.9%), log file sync (10.0%)</w:t>
            </w:r>
          </w:p>
        </w:tc>
      </w:tr>
      <w:tr>
        <w:tc>
          <w:tcPr>
            <w:tcW w:type="dxa" w:w="2880"/>
            <w:shd w:val="clear" w:color="auto" w:fill="F0F4FF"/>
          </w:tcPr>
          <w:p>
            <w:r>
              <w:rPr>
                <w:b/>
                <w:sz w:val="20"/>
              </w:rPr>
              <w:t>Runbook Fix</w:t>
            </w:r>
          </w:p>
        </w:tc>
        <w:tc>
          <w:tcPr>
            <w:tcW w:type="dxa" w:w="6480"/>
          </w:tcPr>
          <w:p>
            <w:r>
              <w:rPr>
                <w:sz w:val="20"/>
              </w:rPr>
              <w:t>Parameterize all literals (use bind variables); increase shared_pool_size from 8GB to 16GB; set cursor_sharing=FORCE temporarily for batch</w:t>
            </w:r>
          </w:p>
        </w:tc>
      </w:tr>
      <w:tr>
        <w:tc>
          <w:tcPr>
            <w:tcW w:type="dxa" w:w="2880"/>
            <w:shd w:val="clear" w:color="auto" w:fill="F0F4FF"/>
          </w:tcPr>
          <w:p>
            <w:r>
              <w:rPr>
                <w:b/>
                <w:sz w:val="20"/>
              </w:rPr>
              <w:t>AWS Tools</w:t>
            </w:r>
          </w:p>
        </w:tc>
        <w:tc>
          <w:tcPr>
            <w:tcW w:type="dxa" w:w="6480"/>
          </w:tcPr>
          <w:p>
            <w:r>
              <w:rPr>
                <w:sz w:val="20"/>
              </w:rPr>
              <w:t>RDS Performance Insights → Top Waits, RDS Parameter Groups → cursor_sharing / shared_pool_size, CloudWatch → FreeableMemory</w:t>
            </w:r>
          </w:p>
        </w:tc>
      </w:tr>
      <w:tr>
        <w:tc>
          <w:tcPr>
            <w:tcW w:type="dxa" w:w="2880"/>
            <w:shd w:val="clear" w:color="auto" w:fill="F0F4FF"/>
          </w:tcPr>
          <w:p>
            <w:r>
              <w:rPr>
                <w:b/>
                <w:sz w:val="20"/>
              </w:rPr>
              <w:t>Demo Talking Point</w:t>
            </w:r>
          </w:p>
        </w:tc>
        <w:tc>
          <w:tcPr>
            <w:tcW w:type="dxa" w:w="6480"/>
          </w:tcPr>
          <w:p>
            <w:r>
              <w:rPr>
                <w:sz w:val="20"/>
              </w:rPr>
              <w:t>78% hard parse is instantly alarming — show the Shared Pool Advisory table to demonstrate adding 8GB resolves the parse storm</w:t>
            </w:r>
          </w:p>
        </w:tc>
      </w:tr>
    </w:tbl>
    <w:p/>
    <w:p/>
    <w:p>
      <w:pPr>
        <w:jc w:val="left"/>
      </w:pPr>
      <w:r>
        <w:rPr>
          <w:b/>
          <w:color w:val="FFFFFF"/>
          <w:sz w:val="24"/>
        </w:rPr>
        <w:t xml:space="preserve">  Scenario 4 — ERP Month-End Close Degradation  (SQL Server)  </w:t>
      </w:r>
    </w:p>
    <w:tbl>
      <w:tblPr>
        <w:tblStyle w:val="TableGrid"/>
        <w:tblW w:type="auto" w:w="0"/>
        <w:tblLayout w:type="fixed"/>
        <w:tblLook w:firstColumn="1" w:firstRow="1" w:lastColumn="0" w:lastRow="0" w:noHBand="0" w:noVBand="1" w:val="04A0"/>
      </w:tblPr>
      <w:tblGrid>
        <w:gridCol w:w="2880"/>
        <w:gridCol w:w="6480"/>
      </w:tblGrid>
      <w:tr>
        <w:tc>
          <w:tcPr>
            <w:tcW w:type="dxa" w:w="9972"/>
            <w:gridSpan w:val="2"/>
            <w:shd w:val="clear" w:color="auto" w:fill="8E44AD"/>
          </w:tcPr>
          <w:p>
            <w:pPr>
              <w:jc w:val="left"/>
            </w:pPr>
            <w:r>
              <w:rPr>
                <w:b/>
                <w:color w:val="FFFFFF"/>
                <w:sz w:val="24"/>
              </w:rPr>
              <w:t xml:space="preserve">  Scenario 4 — ERP Month-End Close Degradation  (SQL Server)</w:t>
            </w:r>
          </w:p>
        </w:tc>
      </w:tr>
      <w:tr>
        <w:tc>
          <w:tcPr>
            <w:tcW w:type="dxa" w:w="2880"/>
            <w:shd w:val="clear" w:color="auto" w:fill="F0F4FF"/>
          </w:tcPr>
          <w:p>
            <w:r>
              <w:rPr>
                <w:b/>
                <w:sz w:val="20"/>
              </w:rPr>
              <w:t>File</w:t>
            </w:r>
          </w:p>
        </w:tc>
        <w:tc>
          <w:tcPr>
            <w:tcW w:type="dxa" w:w="6480"/>
          </w:tcPr>
          <w:p>
            <w:r>
              <w:rPr>
                <w:sz w:val="20"/>
              </w:rPr>
              <w:t>demo_erp_sqlserver_sniff.json</w:t>
            </w:r>
          </w:p>
        </w:tc>
      </w:tr>
      <w:tr>
        <w:tc>
          <w:tcPr>
            <w:tcW w:type="dxa" w:w="2880"/>
            <w:shd w:val="clear" w:color="auto" w:fill="F0F4FF"/>
          </w:tcPr>
          <w:p>
            <w:r>
              <w:rPr>
                <w:b/>
                <w:sz w:val="20"/>
              </w:rPr>
              <w:t>Engine</w:t>
            </w:r>
          </w:p>
        </w:tc>
        <w:tc>
          <w:tcPr>
            <w:tcW w:type="dxa" w:w="6480"/>
          </w:tcPr>
          <w:p>
            <w:r>
              <w:rPr>
                <w:sz w:val="20"/>
              </w:rPr>
              <w:t>SQL Server 2019 (RDS) 15.0.4298.1</w:t>
            </w:r>
          </w:p>
        </w:tc>
      </w:tr>
      <w:tr>
        <w:tc>
          <w:tcPr>
            <w:tcW w:type="dxa" w:w="2880"/>
            <w:shd w:val="clear" w:color="auto" w:fill="F0F4FF"/>
          </w:tcPr>
          <w:p>
            <w:r>
              <w:rPr>
                <w:b/>
                <w:sz w:val="20"/>
              </w:rPr>
              <w:t>Format</w:t>
            </w:r>
          </w:p>
        </w:tc>
        <w:tc>
          <w:tcPr>
            <w:tcW w:type="dxa" w:w="6480"/>
          </w:tcPr>
          <w:p>
            <w:r>
              <w:rPr>
                <w:sz w:val="20"/>
              </w:rPr>
              <w:t>SQL Server Query Store JSON</w:t>
            </w:r>
          </w:p>
        </w:tc>
      </w:tr>
      <w:tr>
        <w:tc>
          <w:tcPr>
            <w:tcW w:type="dxa" w:w="2880"/>
            <w:shd w:val="clear" w:color="auto" w:fill="F0F4FF"/>
          </w:tcPr>
          <w:p>
            <w:r>
              <w:rPr>
                <w:b/>
                <w:sz w:val="20"/>
              </w:rPr>
              <w:t>Business Impact</w:t>
            </w:r>
          </w:p>
        </w:tc>
        <w:tc>
          <w:tcPr>
            <w:tcW w:type="dxa" w:w="6480"/>
          </w:tcPr>
          <w:p>
            <w:r>
              <w:rPr>
                <w:sz w:val="20"/>
              </w:rPr>
              <w:t>AP batch taking 6 hours instead of 45 minutes; financial reporting jobs timing out; month-end close at risk</w:t>
            </w:r>
          </w:p>
        </w:tc>
      </w:tr>
      <w:tr>
        <w:tc>
          <w:tcPr>
            <w:tcW w:type="dxa" w:w="2880"/>
            <w:shd w:val="clear" w:color="auto" w:fill="F0F4FF"/>
          </w:tcPr>
          <w:p>
            <w:r>
              <w:rPr>
                <w:b/>
                <w:sz w:val="20"/>
              </w:rPr>
              <w:t>Top Query</w:t>
            </w:r>
          </w:p>
        </w:tc>
        <w:tc>
          <w:tcPr>
            <w:tcW w:type="dxa" w:w="6480"/>
          </w:tcPr>
          <w:p>
            <w:r>
              <w:rPr>
                <w:sz w:val="20"/>
              </w:rPr>
              <w:t>AP invoice join (invoices → vendors → gl_distributions) — 142 cached plans for same query, 300s avg duration, 10M logical reads</w:t>
            </w:r>
          </w:p>
        </w:tc>
      </w:tr>
      <w:tr>
        <w:tc>
          <w:tcPr>
            <w:tcW w:type="dxa" w:w="2880"/>
            <w:shd w:val="clear" w:color="auto" w:fill="F0F4FF"/>
          </w:tcPr>
          <w:p>
            <w:r>
              <w:rPr>
                <w:b/>
                <w:sz w:val="20"/>
              </w:rPr>
              <w:t>Root Cause 1</w:t>
            </w:r>
          </w:p>
        </w:tc>
        <w:tc>
          <w:tcPr>
            <w:tcW w:type="dxa" w:w="6480"/>
          </w:tcPr>
          <w:p>
            <w:r>
              <w:rPr>
                <w:sz w:val="20"/>
              </w:rPr>
              <w:t>parameter_sniffing — 142 plans for AP invoice query; plan compiled for 'OPEN' status (100 rows) gets reused for 'PENDING' (10M rows)</w:t>
            </w:r>
          </w:p>
        </w:tc>
      </w:tr>
      <w:tr>
        <w:tc>
          <w:tcPr>
            <w:tcW w:type="dxa" w:w="2880"/>
            <w:shd w:val="clear" w:color="auto" w:fill="F0F4FF"/>
          </w:tcPr>
          <w:p>
            <w:r>
              <w:rPr>
                <w:b/>
                <w:sz w:val="20"/>
              </w:rPr>
              <w:t>Root Cause 2</w:t>
            </w:r>
          </w:p>
        </w:tc>
        <w:tc>
          <w:tcPr>
            <w:tcW w:type="dxa" w:w="6480"/>
          </w:tcPr>
          <w:p>
            <w:r>
              <w:rPr>
                <w:sz w:val="20"/>
              </w:rPr>
              <w:t>blocking_chain — inventory UPDATE holding LCK_M_X lock; 142 blocked sessions, 28,410 seconds total wait</w:t>
            </w:r>
          </w:p>
        </w:tc>
      </w:tr>
      <w:tr>
        <w:tc>
          <w:tcPr>
            <w:tcW w:type="dxa" w:w="2880"/>
            <w:shd w:val="clear" w:color="auto" w:fill="F0F4FF"/>
          </w:tcPr>
          <w:p>
            <w:r>
              <w:rPr>
                <w:b/>
                <w:sz w:val="20"/>
              </w:rPr>
              <w:t>Wait Events</w:t>
            </w:r>
          </w:p>
        </w:tc>
        <w:tc>
          <w:tcPr>
            <w:tcW w:type="dxa" w:w="6480"/>
          </w:tcPr>
          <w:p>
            <w:r>
              <w:rPr>
                <w:sz w:val="20"/>
              </w:rPr>
              <w:t>CXPACKET:48.2% (parallelism), LCK_M_S:28.4% (shared lock waits), PAGEIOLATCH_SH:18.1%</w:t>
            </w:r>
          </w:p>
        </w:tc>
      </w:tr>
      <w:tr>
        <w:tc>
          <w:tcPr>
            <w:tcW w:type="dxa" w:w="2880"/>
            <w:shd w:val="clear" w:color="auto" w:fill="F0F4FF"/>
          </w:tcPr>
          <w:p>
            <w:r>
              <w:rPr>
                <w:b/>
                <w:sz w:val="20"/>
              </w:rPr>
              <w:t>Runbook Fix</w:t>
            </w:r>
          </w:p>
        </w:tc>
        <w:tc>
          <w:tcPr>
            <w:tcW w:type="dxa" w:w="6480"/>
          </w:tcPr>
          <w:p>
            <w:r>
              <w:rPr>
                <w:sz w:val="20"/>
              </w:rPr>
              <w:t>Add OPTION(OPTIMIZE FOR UNKNOWN) to AP query; use sp_query_store_force_plan to pin efficient plan; investigate blocking head with sys.dm_exec_requests</w:t>
            </w:r>
          </w:p>
        </w:tc>
      </w:tr>
      <w:tr>
        <w:tc>
          <w:tcPr>
            <w:tcW w:type="dxa" w:w="2880"/>
            <w:shd w:val="clear" w:color="auto" w:fill="F0F4FF"/>
          </w:tcPr>
          <w:p>
            <w:r>
              <w:rPr>
                <w:b/>
                <w:sz w:val="20"/>
              </w:rPr>
              <w:t>AWS Tools</w:t>
            </w:r>
          </w:p>
        </w:tc>
        <w:tc>
          <w:tcPr>
            <w:tcW w:type="dxa" w:w="6480"/>
          </w:tcPr>
          <w:p>
            <w:r>
              <w:rPr>
                <w:sz w:val="20"/>
              </w:rPr>
              <w:t>RDS Performance Insights → Top SQL, Query Store → Plan forcing (SSMS), CloudWatch → DatabaseConnections blocking alarm</w:t>
            </w:r>
          </w:p>
        </w:tc>
      </w:tr>
      <w:tr>
        <w:tc>
          <w:tcPr>
            <w:tcW w:type="dxa" w:w="2880"/>
            <w:shd w:val="clear" w:color="auto" w:fill="F0F4FF"/>
          </w:tcPr>
          <w:p>
            <w:r>
              <w:rPr>
                <w:b/>
                <w:sz w:val="20"/>
              </w:rPr>
              <w:t>Demo Talking Point</w:t>
            </w:r>
          </w:p>
        </w:tc>
        <w:tc>
          <w:tcPr>
            <w:tcW w:type="dxa" w:w="6480"/>
          </w:tcPr>
          <w:p>
            <w:r>
              <w:rPr>
                <w:sz w:val="20"/>
              </w:rPr>
              <w:t>142 plans for one query is a dramatic number — use Query Store plan comparison to show the 'sniffed' bad plan vs the efficient one</w:t>
            </w:r>
          </w:p>
        </w:tc>
      </w:tr>
    </w:tbl>
    <w:p/>
    <w:p/>
    <w:p>
      <w:pPr>
        <w:jc w:val="left"/>
      </w:pPr>
      <w:r>
        <w:rPr>
          <w:b/>
          <w:color w:val="FFFFFF"/>
          <w:sz w:val="24"/>
        </w:rPr>
        <w:t xml:space="preserve">  Scenario 5 — EMR Morning Peak  (RDS MariaDB)  </w:t>
      </w:r>
    </w:p>
    <w:tbl>
      <w:tblPr>
        <w:tblStyle w:val="TableGrid"/>
        <w:tblW w:type="auto" w:w="0"/>
        <w:tblLayout w:type="fixed"/>
        <w:tblLook w:firstColumn="1" w:firstRow="1" w:lastColumn="0" w:lastRow="0" w:noHBand="0" w:noVBand="1" w:val="04A0"/>
      </w:tblPr>
      <w:tblGrid>
        <w:gridCol w:w="2880"/>
        <w:gridCol w:w="6480"/>
      </w:tblGrid>
      <w:tr>
        <w:tc>
          <w:tcPr>
            <w:tcW w:type="dxa" w:w="9972"/>
            <w:gridSpan w:val="2"/>
            <w:shd w:val="clear" w:color="auto" w:fill="2980B9"/>
          </w:tcPr>
          <w:p>
            <w:pPr>
              <w:jc w:val="left"/>
            </w:pPr>
            <w:r>
              <w:rPr>
                <w:b/>
                <w:color w:val="FFFFFF"/>
                <w:sz w:val="24"/>
              </w:rPr>
              <w:t xml:space="preserve">  Scenario 5 — EMR Morning Peak  (RDS MariaDB)</w:t>
            </w:r>
          </w:p>
        </w:tc>
      </w:tr>
      <w:tr>
        <w:tc>
          <w:tcPr>
            <w:tcW w:type="dxa" w:w="2880"/>
            <w:shd w:val="clear" w:color="auto" w:fill="F0F4FF"/>
          </w:tcPr>
          <w:p>
            <w:r>
              <w:rPr>
                <w:b/>
                <w:sz w:val="20"/>
              </w:rPr>
              <w:t>File</w:t>
            </w:r>
          </w:p>
        </w:tc>
        <w:tc>
          <w:tcPr>
            <w:tcW w:type="dxa" w:w="6480"/>
          </w:tcPr>
          <w:p>
            <w:r>
              <w:rPr>
                <w:sz w:val="20"/>
              </w:rPr>
              <w:t>demo_healthcare_mariadb.txt</w:t>
            </w:r>
          </w:p>
        </w:tc>
      </w:tr>
      <w:tr>
        <w:tc>
          <w:tcPr>
            <w:tcW w:type="dxa" w:w="2880"/>
            <w:shd w:val="clear" w:color="auto" w:fill="F0F4FF"/>
          </w:tcPr>
          <w:p>
            <w:r>
              <w:rPr>
                <w:b/>
                <w:sz w:val="20"/>
              </w:rPr>
              <w:t>Engine</w:t>
            </w:r>
          </w:p>
        </w:tc>
        <w:tc>
          <w:tcPr>
            <w:tcW w:type="dxa" w:w="6480"/>
          </w:tcPr>
          <w:p>
            <w:r>
              <w:rPr>
                <w:sz w:val="20"/>
              </w:rPr>
              <w:t>MariaDB 10.11 (RDS)</w:t>
            </w:r>
          </w:p>
        </w:tc>
      </w:tr>
      <w:tr>
        <w:tc>
          <w:tcPr>
            <w:tcW w:type="dxa" w:w="2880"/>
            <w:shd w:val="clear" w:color="auto" w:fill="F0F4FF"/>
          </w:tcPr>
          <w:p>
            <w:r>
              <w:rPr>
                <w:b/>
                <w:sz w:val="20"/>
              </w:rPr>
              <w:t>Format</w:t>
            </w:r>
          </w:p>
        </w:tc>
        <w:tc>
          <w:tcPr>
            <w:tcW w:type="dxa" w:w="6480"/>
          </w:tcPr>
          <w:p>
            <w:r>
              <w:rPr>
                <w:sz w:val="20"/>
              </w:rPr>
              <w:t>MySQL/MariaDB Slow Query Log</w:t>
            </w:r>
          </w:p>
        </w:tc>
      </w:tr>
      <w:tr>
        <w:tc>
          <w:tcPr>
            <w:tcW w:type="dxa" w:w="2880"/>
            <w:shd w:val="clear" w:color="auto" w:fill="F0F4FF"/>
          </w:tcPr>
          <w:p>
            <w:r>
              <w:rPr>
                <w:b/>
                <w:sz w:val="20"/>
              </w:rPr>
              <w:t>Business Impact</w:t>
            </w:r>
          </w:p>
        </w:tc>
        <w:tc>
          <w:tcPr>
            <w:tcW w:type="dxa" w:w="6480"/>
          </w:tcPr>
          <w:p>
            <w:r>
              <w:rPr>
                <w:sz w:val="20"/>
              </w:rPr>
              <w:t>1,200 physicians logging in 07:00–09:00; patient chart load 45 seconds; lab results timing out — clinical workflow blocked</w:t>
            </w:r>
          </w:p>
        </w:tc>
      </w:tr>
      <w:tr>
        <w:tc>
          <w:tcPr>
            <w:tcW w:type="dxa" w:w="2880"/>
            <w:shd w:val="clear" w:color="auto" w:fill="F0F4FF"/>
          </w:tcPr>
          <w:p>
            <w:r>
              <w:rPr>
                <w:b/>
                <w:sz w:val="20"/>
              </w:rPr>
              <w:t>Top Query</w:t>
            </w:r>
          </w:p>
        </w:tc>
        <w:tc>
          <w:tcPr>
            <w:tcW w:type="dxa" w:w="6480"/>
          </w:tcPr>
          <w:p>
            <w:r>
              <w:rPr>
                <w:sz w:val="20"/>
              </w:rPr>
              <w:t>Patient chart load (patients → encounters → vitals) — 18.4M rows examined, 2-year history, disk temp tables, filesort 842 merge passes</w:t>
            </w:r>
          </w:p>
        </w:tc>
      </w:tr>
      <w:tr>
        <w:tc>
          <w:tcPr>
            <w:tcW w:type="dxa" w:w="2880"/>
            <w:shd w:val="clear" w:color="auto" w:fill="F0F4FF"/>
          </w:tcPr>
          <w:p>
            <w:r>
              <w:rPr>
                <w:b/>
                <w:sz w:val="20"/>
              </w:rPr>
              <w:t>Root Cause 1</w:t>
            </w:r>
          </w:p>
        </w:tc>
        <w:tc>
          <w:tcPr>
            <w:tcW w:type="dxa" w:w="6480"/>
          </w:tcPr>
          <w:p>
            <w:r>
              <w:rPr>
                <w:sz w:val="20"/>
              </w:rPr>
              <w:t>missing_index — No index on (patient_id, encounter_date) in encounters; Full_Scan: Yes with 18.4M rows examined for 1 row returned</w:t>
            </w:r>
          </w:p>
        </w:tc>
      </w:tr>
      <w:tr>
        <w:tc>
          <w:tcPr>
            <w:tcW w:type="dxa" w:w="2880"/>
            <w:shd w:val="clear" w:color="auto" w:fill="F0F4FF"/>
          </w:tcPr>
          <w:p>
            <w:r>
              <w:rPr>
                <w:b/>
                <w:sz w:val="20"/>
              </w:rPr>
              <w:t>Root Cause 2</w:t>
            </w:r>
          </w:p>
        </w:tc>
        <w:tc>
          <w:tcPr>
            <w:tcW w:type="dxa" w:w="6480"/>
          </w:tcPr>
          <w:p>
            <w:r>
              <w:rPr>
                <w:sz w:val="20"/>
              </w:rPr>
              <w:t>lock_contention — audit_log INSERT blocked 12.3 seconds on lock; prescriptions UPDATE Lock_time: 8.4 seconds on row lock</w:t>
            </w:r>
          </w:p>
        </w:tc>
      </w:tr>
      <w:tr>
        <w:tc>
          <w:tcPr>
            <w:tcW w:type="dxa" w:w="2880"/>
            <w:shd w:val="clear" w:color="auto" w:fill="F0F4FF"/>
          </w:tcPr>
          <w:p>
            <w:r>
              <w:rPr>
                <w:b/>
                <w:sz w:val="20"/>
              </w:rPr>
              <w:t>Slow Log Metrics</w:t>
            </w:r>
          </w:p>
        </w:tc>
        <w:tc>
          <w:tcPr>
            <w:tcW w:type="dxa" w:w="6480"/>
          </w:tcPr>
          <w:p>
            <w:r>
              <w:rPr>
                <w:sz w:val="20"/>
              </w:rPr>
              <w:t>Query_time: 48.3s, Rows_examined: 18,420,841, Rows_sent: 1; Tmp_disk_tables: Yes, Filesort_on_disk: Yes</w:t>
            </w:r>
          </w:p>
        </w:tc>
      </w:tr>
      <w:tr>
        <w:tc>
          <w:tcPr>
            <w:tcW w:type="dxa" w:w="2880"/>
            <w:shd w:val="clear" w:color="auto" w:fill="F0F4FF"/>
          </w:tcPr>
          <w:p>
            <w:r>
              <w:rPr>
                <w:b/>
                <w:sz w:val="20"/>
              </w:rPr>
              <w:t>Runbook Fix</w:t>
            </w:r>
          </w:p>
        </w:tc>
        <w:tc>
          <w:tcPr>
            <w:tcW w:type="dxa" w:w="6480"/>
          </w:tcPr>
          <w:p>
            <w:r>
              <w:rPr>
                <w:sz w:val="20"/>
              </w:rPr>
              <w:t>CREATE INDEX idx_enc_patient_date ON encounters(patient_id, encounter_date DESC); archive audit_log to separate table; use optimistic locking for prescription dispense</w:t>
            </w:r>
          </w:p>
        </w:tc>
      </w:tr>
      <w:tr>
        <w:tc>
          <w:tcPr>
            <w:tcW w:type="dxa" w:w="2880"/>
            <w:shd w:val="clear" w:color="auto" w:fill="F0F4FF"/>
          </w:tcPr>
          <w:p>
            <w:r>
              <w:rPr>
                <w:b/>
                <w:sz w:val="20"/>
              </w:rPr>
              <w:t>AWS Tools</w:t>
            </w:r>
          </w:p>
        </w:tc>
        <w:tc>
          <w:tcPr>
            <w:tcW w:type="dxa" w:w="6480"/>
          </w:tcPr>
          <w:p>
            <w:r>
              <w:rPr>
                <w:sz w:val="20"/>
              </w:rPr>
              <w:t>RDS Performance Insights → Top Waits (IO:DataFileRead), Enhanced Monitoring → Active connections, CloudWatch → ReadLatency alarm</w:t>
            </w:r>
          </w:p>
        </w:tc>
      </w:tr>
      <w:tr>
        <w:tc>
          <w:tcPr>
            <w:tcW w:type="dxa" w:w="2880"/>
            <w:shd w:val="clear" w:color="auto" w:fill="F0F4FF"/>
          </w:tcPr>
          <w:p>
            <w:r>
              <w:rPr>
                <w:b/>
                <w:sz w:val="20"/>
              </w:rPr>
              <w:t>Demo Talking Point</w:t>
            </w:r>
          </w:p>
        </w:tc>
        <w:tc>
          <w:tcPr>
            <w:tcW w:type="dxa" w:w="6480"/>
          </w:tcPr>
          <w:p>
            <w:r>
              <w:rPr>
                <w:sz w:val="20"/>
              </w:rPr>
              <w:t>45-second chart load during morning rounds is visceral — every physician in the audience understands this pain immediately</w:t>
            </w:r>
          </w:p>
        </w:tc>
      </w:tr>
    </w:tbl>
    <w:p/>
    <w:p>
      <w:r>
        <w:br w:type="page"/>
      </w:r>
    </w:p>
    <w:p>
      <w:pPr>
        <w:pStyle w:val="Heading1"/>
      </w:pPr>
      <w:r>
        <w:rPr>
          <w:color w:val="0A84FF"/>
        </w:rPr>
        <w:t>3.5  New Features — DB Connector, HITL &amp; ServiceNow</w:t>
      </w:r>
    </w:p>
    <w:p>
      <w:r>
        <w:t>These capabilities were added to the production app after the initial release. They extend the runbook from a read-only document into an interactive, actionable triage workflow.</w:t>
      </w:r>
    </w:p>
    <w:p>
      <w:pPr>
        <w:pStyle w:val="Heading2"/>
      </w:pPr>
      <w:r>
        <w:rPr>
          <w:color w:val="0066CC"/>
        </w:rPr>
        <w:t>DB Connector</w:t>
      </w:r>
    </w:p>
    <w:tbl>
      <w:tblPr>
        <w:tblStyle w:val="TableGrid"/>
        <w:tblW w:type="auto" w:w="0"/>
        <w:tblLayout w:type="fixed"/>
        <w:tblLook w:firstColumn="1" w:firstRow="1" w:lastColumn="0" w:lastRow="0" w:noHBand="0" w:noVBand="1" w:val="04A0"/>
      </w:tblPr>
      <w:tblGrid>
        <w:gridCol w:w="2880"/>
        <w:gridCol w:w="6480"/>
      </w:tblGrid>
      <w:tr>
        <w:tc>
          <w:tcPr>
            <w:tcW w:type="dxa" w:w="9972"/>
            <w:gridSpan w:val="2"/>
            <w:shd w:val="clear" w:color="auto" w:fill="1A6B3A"/>
          </w:tcPr>
          <w:p>
            <w:pPr>
              <w:jc w:val="left"/>
            </w:pPr>
            <w:r>
              <w:rPr>
                <w:b/>
                <w:color w:val="FFFFFF"/>
                <w:sz w:val="24"/>
              </w:rPr>
              <w:t xml:space="preserve">  DB Connector — Live SQL Execution</w:t>
            </w:r>
          </w:p>
        </w:tc>
      </w:tr>
      <w:tr>
        <w:tc>
          <w:tcPr>
            <w:tcW w:type="dxa" w:w="2880"/>
            <w:shd w:val="clear" w:color="auto" w:fill="F0F4FF"/>
          </w:tcPr>
          <w:p>
            <w:r>
              <w:rPr>
                <w:b/>
                <w:sz w:val="20"/>
              </w:rPr>
              <w:t>Feature</w:t>
            </w:r>
          </w:p>
        </w:tc>
        <w:tc>
          <w:tcPr>
            <w:tcW w:type="dxa" w:w="6480"/>
          </w:tcPr>
          <w:p>
            <w:r>
              <w:rPr>
                <w:sz w:val="20"/>
              </w:rPr>
              <w:t>DB Connector — Live SQL Execution</w:t>
            </w:r>
          </w:p>
        </w:tc>
      </w:tr>
      <w:tr>
        <w:tc>
          <w:tcPr>
            <w:tcW w:type="dxa" w:w="2880"/>
            <w:shd w:val="clear" w:color="auto" w:fill="F0F4FF"/>
          </w:tcPr>
          <w:p>
            <w:r>
              <w:rPr>
                <w:b/>
                <w:sz w:val="20"/>
              </w:rPr>
              <w:t>Security Model</w:t>
            </w:r>
          </w:p>
        </w:tc>
        <w:tc>
          <w:tcPr>
            <w:tcW w:type="dxa" w:w="6480"/>
          </w:tcPr>
          <w:p>
            <w:r>
              <w:rPr>
                <w:sz w:val="20"/>
              </w:rPr>
              <w:t>Read-only session enforced at DB level + SQL allowlist (SELECT/EXPLAIN/SHOW only) + dangerous keyword blocklist</w:t>
            </w:r>
          </w:p>
        </w:tc>
      </w:tr>
      <w:tr>
        <w:tc>
          <w:tcPr>
            <w:tcW w:type="dxa" w:w="2880"/>
            <w:shd w:val="clear" w:color="auto" w:fill="F0F4FF"/>
          </w:tcPr>
          <w:p>
            <w:r>
              <w:rPr>
                <w:b/>
                <w:sz w:val="20"/>
              </w:rPr>
              <w:t>HITL</w:t>
            </w:r>
          </w:p>
        </w:tc>
        <w:tc>
          <w:tcPr>
            <w:tcW w:type="dxa" w:w="6480"/>
          </w:tcPr>
          <w:p>
            <w:r>
              <w:rPr>
                <w:sz w:val="20"/>
              </w:rPr>
              <w:t>Every query shows confirmation modal with target DB + full SQL before execution</w:t>
            </w:r>
          </w:p>
        </w:tc>
      </w:tr>
      <w:tr>
        <w:tc>
          <w:tcPr>
            <w:tcW w:type="dxa" w:w="2880"/>
            <w:shd w:val="clear" w:color="auto" w:fill="F0F4FF"/>
          </w:tcPr>
          <w:p>
            <w:r>
              <w:rPr>
                <w:b/>
                <w:sz w:val="20"/>
              </w:rPr>
              <w:t>Supported Engines</w:t>
            </w:r>
          </w:p>
        </w:tc>
        <w:tc>
          <w:tcPr>
            <w:tcW w:type="dxa" w:w="6480"/>
          </w:tcPr>
          <w:p>
            <w:r>
              <w:rPr>
                <w:sz w:val="20"/>
              </w:rPr>
              <w:t>Aurora MySQL · RDS MySQL · MariaDB · Aurora PostgreSQL · RDS PostgreSQL</w:t>
            </w:r>
          </w:p>
        </w:tc>
      </w:tr>
      <w:tr>
        <w:tc>
          <w:tcPr>
            <w:tcW w:type="dxa" w:w="2880"/>
            <w:shd w:val="clear" w:color="auto" w:fill="F0F4FF"/>
          </w:tcPr>
          <w:p>
            <w:r>
              <w:rPr>
                <w:b/>
                <w:sz w:val="20"/>
              </w:rPr>
              <w:t>Credential Storage</w:t>
            </w:r>
          </w:p>
        </w:tc>
        <w:tc>
          <w:tcPr>
            <w:tcW w:type="dxa" w:w="6480"/>
          </w:tcPr>
          <w:p>
            <w:r>
              <w:rPr>
                <w:sz w:val="20"/>
              </w:rPr>
              <w:t>Browser memory only — never sent to disk, database, or logs</w:t>
            </w:r>
          </w:p>
        </w:tc>
      </w:tr>
      <w:tr>
        <w:tc>
          <w:tcPr>
            <w:tcW w:type="dxa" w:w="2880"/>
            <w:shd w:val="clear" w:color="auto" w:fill="F0F4FF"/>
          </w:tcPr>
          <w:p>
            <w:r>
              <w:rPr>
                <w:b/>
                <w:sz w:val="20"/>
              </w:rPr>
              <w:t>Row Limit</w:t>
            </w:r>
          </w:p>
        </w:tc>
        <w:tc>
          <w:tcPr>
            <w:tcW w:type="dxa" w:w="6480"/>
          </w:tcPr>
          <w:p>
            <w:r>
              <w:rPr>
                <w:sz w:val="20"/>
              </w:rPr>
              <w:t>200 rows maximum · 15 second query timeout</w:t>
            </w:r>
          </w:p>
        </w:tc>
      </w:tr>
      <w:tr>
        <w:tc>
          <w:tcPr>
            <w:tcW w:type="dxa" w:w="2880"/>
            <w:shd w:val="clear" w:color="auto" w:fill="F0F4FF"/>
          </w:tcPr>
          <w:p>
            <w:r>
              <w:rPr>
                <w:b/>
                <w:sz w:val="20"/>
              </w:rPr>
              <w:t>Use Case</w:t>
            </w:r>
          </w:p>
        </w:tc>
        <w:tc>
          <w:tcPr>
            <w:tcW w:type="dxa" w:w="6480"/>
          </w:tcPr>
          <w:p>
            <w:r>
              <w:rPr>
                <w:sz w:val="20"/>
              </w:rPr>
              <w:t>Run diagnostic SQL from runbook steps directly in browser without copy-pasting to terminal</w:t>
            </w:r>
          </w:p>
        </w:tc>
      </w:tr>
    </w:tbl>
    <w:p/>
    <w:p>
      <w:pPr>
        <w:pStyle w:val="Heading2"/>
      </w:pPr>
      <w:r>
        <w:rPr>
          <w:color w:val="0066CC"/>
        </w:rPr>
        <w:t>ServiceNow KB Integration</w:t>
      </w:r>
    </w:p>
    <w:tbl>
      <w:tblPr>
        <w:tblStyle w:val="TableGrid"/>
        <w:tblW w:type="auto" w:w="0"/>
        <w:tblLayout w:type="fixed"/>
        <w:tblLook w:firstColumn="1" w:firstRow="1" w:lastColumn="0" w:lastRow="0" w:noHBand="0" w:noVBand="1" w:val="04A0"/>
      </w:tblPr>
      <w:tblGrid>
        <w:gridCol w:w="2880"/>
        <w:gridCol w:w="6480"/>
      </w:tblGrid>
      <w:tr>
        <w:tc>
          <w:tcPr>
            <w:tcW w:type="dxa" w:w="9972"/>
            <w:gridSpan w:val="2"/>
            <w:shd w:val="clear" w:color="auto" w:fill="7B2C2C"/>
          </w:tcPr>
          <w:p>
            <w:pPr>
              <w:jc w:val="left"/>
            </w:pPr>
            <w:r>
              <w:rPr>
                <w:b/>
                <w:color w:val="FFFFFF"/>
                <w:sz w:val="24"/>
              </w:rPr>
              <w:t xml:space="preserve">  ServiceNow Knowledge Base Article Export</w:t>
            </w:r>
          </w:p>
        </w:tc>
      </w:tr>
      <w:tr>
        <w:tc>
          <w:tcPr>
            <w:tcW w:type="dxa" w:w="2880"/>
            <w:shd w:val="clear" w:color="auto" w:fill="F0F4FF"/>
          </w:tcPr>
          <w:p>
            <w:r>
              <w:rPr>
                <w:b/>
                <w:sz w:val="20"/>
              </w:rPr>
              <w:t>Feature</w:t>
            </w:r>
          </w:p>
        </w:tc>
        <w:tc>
          <w:tcPr>
            <w:tcW w:type="dxa" w:w="6480"/>
          </w:tcPr>
          <w:p>
            <w:r>
              <w:rPr>
                <w:sz w:val="20"/>
              </w:rPr>
              <w:t>ServiceNow Knowledge Base Article Export</w:t>
            </w:r>
          </w:p>
        </w:tc>
      </w:tr>
      <w:tr>
        <w:tc>
          <w:tcPr>
            <w:tcW w:type="dxa" w:w="2880"/>
            <w:shd w:val="clear" w:color="auto" w:fill="F0F4FF"/>
          </w:tcPr>
          <w:p>
            <w:r>
              <w:rPr>
                <w:b/>
                <w:sz w:val="20"/>
              </w:rPr>
              <w:t>Instance</w:t>
            </w:r>
          </w:p>
        </w:tc>
        <w:tc>
          <w:tcPr>
            <w:tcW w:type="dxa" w:w="6480"/>
          </w:tcPr>
          <w:p>
            <w:r>
              <w:rPr>
                <w:sz w:val="20"/>
              </w:rPr>
              <w:t>dev218436.service-now.com (configurable)</w:t>
            </w:r>
          </w:p>
        </w:tc>
      </w:tr>
      <w:tr>
        <w:tc>
          <w:tcPr>
            <w:tcW w:type="dxa" w:w="2880"/>
            <w:shd w:val="clear" w:color="auto" w:fill="F0F4FF"/>
          </w:tcPr>
          <w:p>
            <w:r>
              <w:rPr>
                <w:b/>
                <w:sz w:val="20"/>
              </w:rPr>
              <w:t>Article State</w:t>
            </w:r>
          </w:p>
        </w:tc>
        <w:tc>
          <w:tcPr>
            <w:tcW w:type="dxa" w:w="6480"/>
          </w:tcPr>
          <w:p>
            <w:r>
              <w:rPr>
                <w:sz w:val="20"/>
              </w:rPr>
              <w:t>Created as Draft — DBA reviews before publishing</w:t>
            </w:r>
          </w:p>
        </w:tc>
      </w:tr>
      <w:tr>
        <w:tc>
          <w:tcPr>
            <w:tcW w:type="dxa" w:w="2880"/>
            <w:shd w:val="clear" w:color="auto" w:fill="F0F4FF"/>
          </w:tcPr>
          <w:p>
            <w:r>
              <w:rPr>
                <w:b/>
                <w:sz w:val="20"/>
              </w:rPr>
              <w:t>Content</w:t>
            </w:r>
          </w:p>
        </w:tc>
        <w:tc>
          <w:tcPr>
            <w:tcW w:type="dxa" w:w="6480"/>
          </w:tcPr>
          <w:p>
            <w:r>
              <w:rPr>
                <w:sz w:val="20"/>
              </w:rPr>
              <w:t>Severity badge · root cause summary · all runbook steps with SQL blocks · AWS tool references</w:t>
            </w:r>
          </w:p>
        </w:tc>
      </w:tr>
      <w:tr>
        <w:tc>
          <w:tcPr>
            <w:tcW w:type="dxa" w:w="2880"/>
            <w:shd w:val="clear" w:color="auto" w:fill="F0F4FF"/>
          </w:tcPr>
          <w:p>
            <w:r>
              <w:rPr>
                <w:b/>
                <w:sz w:val="20"/>
              </w:rPr>
              <w:t>Article Expiry</w:t>
            </w:r>
          </w:p>
        </w:tc>
        <w:tc>
          <w:tcPr>
            <w:tcW w:type="dxa" w:w="6480"/>
          </w:tcPr>
          <w:p>
            <w:r>
              <w:rPr>
                <w:sz w:val="20"/>
              </w:rPr>
              <w:t>2 years from publish date</w:t>
            </w:r>
          </w:p>
        </w:tc>
      </w:tr>
      <w:tr>
        <w:tc>
          <w:tcPr>
            <w:tcW w:type="dxa" w:w="2880"/>
            <w:shd w:val="clear" w:color="auto" w:fill="F0F4FF"/>
          </w:tcPr>
          <w:p>
            <w:r>
              <w:rPr>
                <w:b/>
                <w:sz w:val="20"/>
              </w:rPr>
              <w:t>How to Use</w:t>
            </w:r>
          </w:p>
        </w:tc>
        <w:tc>
          <w:tcPr>
            <w:tcW w:type="dxa" w:w="6480"/>
          </w:tcPr>
          <w:p>
            <w:r>
              <w:rPr>
                <w:sz w:val="20"/>
              </w:rPr>
              <w:t>Click 'Post to ServiceNow' button in runbook header → enter credentials → Publish</w:t>
            </w:r>
          </w:p>
        </w:tc>
      </w:tr>
    </w:tbl>
    <w:p/>
    <w:p>
      <w:r>
        <w:br w:type="page"/>
      </w:r>
    </w:p>
    <w:p>
      <w:pPr>
        <w:pStyle w:val="Heading1"/>
      </w:pPr>
      <w:r>
        <w:rPr>
          <w:color w:val="0A84FF"/>
        </w:rPr>
        <w:t>4. Step-by-Step Demo Script</w:t>
      </w:r>
    </w:p>
    <w:p>
      <w:r>
        <w:t>Follow this script for a 10-minute live demo. The numbered steps align with what the audience sees on screen.</w:t>
      </w:r>
    </w:p>
    <w:p>
      <w:r>
        <w:rPr>
          <w:b/>
          <w:color w:val="0A84FF"/>
          <w:sz w:val="22"/>
        </w:rPr>
        <w:t>Step 1 — Open the App</w:t>
      </w:r>
    </w:p>
    <w:p>
      <w:pPr/>
      <w:r>
        <w:rPr>
          <w:sz w:val="20"/>
        </w:rPr>
        <w:t>Navigate to https://dbperf.aieksops.com</w:t>
        <w:br/>
        <w:t>Login: admin / dbperf2025</w:t>
        <w:br/>
        <w:t>Point out: Dashboard shows total analyses, critical issues count, and the 7-engine support badges.</w:t>
      </w:r>
    </w:p>
    <w:p/>
    <w:p>
      <w:r>
        <w:rPr>
          <w:b/>
          <w:color w:val="0A84FF"/>
          <w:sz w:val="22"/>
        </w:rPr>
        <w:t>Step 2 — Set Demo Mode</w:t>
      </w:r>
    </w:p>
    <w:p>
      <w:pPr/>
      <w:r>
        <w:rPr>
          <w:sz w:val="20"/>
        </w:rPr>
        <w:t>Ensure the sidebar shows 'DEMO' (orange badge).</w:t>
        <w:br/>
        <w:t>Say: 'Demo mode uses fast heuristic AI — instant results, no cloud API needed. Live mode would call GPT-4o and add the DBA Chat feature.'</w:t>
      </w:r>
    </w:p>
    <w:p/>
    <w:p>
      <w:r>
        <w:rPr>
          <w:b/>
          <w:color w:val="0A84FF"/>
          <w:sz w:val="22"/>
        </w:rPr>
        <w:t>Step 3 — Start New Analysis</w:t>
      </w:r>
    </w:p>
    <w:p>
      <w:pPr/>
      <w:r>
        <w:rPr>
          <w:sz w:val="20"/>
        </w:rPr>
        <w:t>Click '⚡ New Analysis'</w:t>
        <w:br/>
        <w:t>Say: 'This is where a DBA would paste slow query data or upload a file from Performance Insights, Oracle AWR, or any other source.'</w:t>
      </w:r>
    </w:p>
    <w:p/>
    <w:p>
      <w:r>
        <w:rPr>
          <w:b/>
          <w:color w:val="0A84FF"/>
          <w:sz w:val="22"/>
        </w:rPr>
        <w:t>Step 4 — Load Black Friday Sample</w:t>
      </w:r>
    </w:p>
    <w:p>
      <w:pPr/>
      <w:r>
        <w:rPr>
          <w:sz w:val="20"/>
        </w:rPr>
        <w:t>Click 'Load Sample' → select '🔴 DEMO: Black Friday Crisis — Aurora MySQL'</w:t>
        <w:br/>
        <w:t>Point out: The auto-detected format badge shows 'RDS PI' and the text area fills with the JSON.</w:t>
        <w:br/>
        <w:t>Say: 'This is real Performance Insights format data from a Black Friday checkout database at 94 DB load.'</w:t>
      </w:r>
    </w:p>
    <w:p/>
    <w:p>
      <w:r>
        <w:rPr>
          <w:b/>
          <w:color w:val="0A84FF"/>
          <w:sz w:val="22"/>
        </w:rPr>
        <w:t>Step 5 — Run the Analysis</w:t>
      </w:r>
    </w:p>
    <w:p>
      <w:pPr/>
      <w:r>
        <w:rPr>
          <w:sz w:val="20"/>
        </w:rPr>
        <w:t>Click 'Analyze'</w:t>
        <w:br/>
        <w:t>Watch the pipeline steps animate: Parser → Classifier → Runbook</w:t>
        <w:br/>
        <w:t>Say: 'The LangGraph pipeline is running — parsing the queries, classifying root causes, generating runbooks.'</w:t>
      </w:r>
    </w:p>
    <w:p/>
    <w:p>
      <w:r>
        <w:rPr>
          <w:b/>
          <w:color w:val="0A84FF"/>
          <w:sz w:val="22"/>
        </w:rPr>
        <w:t>Step 6 — Review Results</w:t>
      </w:r>
    </w:p>
    <w:p>
      <w:pPr/>
      <w:r>
        <w:rPr>
          <w:sz w:val="20"/>
        </w:rPr>
        <w:t>Show the classified query list with severity badges (CRITICAL / HIGH)</w:t>
        <w:br/>
        <w:t>Click into the top query (checkout JOIN)</w:t>
        <w:br/>
        <w:t>Point out: AWS tool badges on runbook steps — Performance Insights, CloudWatch, Enhanced Monitoring</w:t>
        <w:br/>
        <w:t>Say: 'Each step tells the DBA exactly which AWS console to open and what to look for.'</w:t>
      </w:r>
    </w:p>
    <w:p/>
    <w:p>
      <w:r>
        <w:rPr>
          <w:b/>
          <w:color w:val="0A84FF"/>
          <w:sz w:val="22"/>
        </w:rPr>
        <w:t>Step 7 — Try a Different Engine</w:t>
      </w:r>
    </w:p>
    <w:p>
      <w:pPr/>
      <w:r>
        <w:rPr>
          <w:sz w:val="20"/>
        </w:rPr>
        <w:t>Go back to New Analysis → Load Sample → select '🟡 DEMO: Core Banking Settlement Stall — Oracle RDS'</w:t>
        <w:br/>
        <w:t>Say: 'Now let's see Oracle — the AWR report format is completely different but the agent handles it automatically.'</w:t>
      </w:r>
    </w:p>
    <w:p/>
    <w:p>
      <w:r>
        <w:rPr>
          <w:b/>
          <w:color w:val="0A84FF"/>
          <w:sz w:val="22"/>
        </w:rPr>
        <w:t>Step 8 — Show DB Connector</w:t>
      </w:r>
    </w:p>
    <w:p>
      <w:pPr/>
      <w:r>
        <w:rPr>
          <w:sz w:val="20"/>
        </w:rPr>
        <w:t>Click the 'DB Connector' card in results view. Show the credential form — emphasize 'credentials held in browser memory only'. Point out the security warning badge. Say: 'A DBA can connect their read-only replica and run each diagnostic SQL step directly from the browser — no terminal, no copy-paste.'</w:t>
      </w:r>
    </w:p>
    <w:p/>
    <w:p>
      <w:r>
        <w:rPr>
          <w:b/>
          <w:color w:val="0A84FF"/>
          <w:sz w:val="22"/>
        </w:rPr>
        <w:t>Step 9 — Show HITL Execution</w:t>
      </w:r>
    </w:p>
    <w:p>
      <w:pPr/>
      <w:r>
        <w:rPr>
          <w:sz w:val="20"/>
        </w:rPr>
        <w:t>With a DB connected, expand a runbook step with SQL. Click '▶ Run'. Show the confirmation modal — point out the target DB display, the full SQL, and the safety notice. Say: 'Nothing runs until you explicitly click Confirm &amp; Run — this is the human-in-the-loop safety check.'</w:t>
      </w:r>
    </w:p>
    <w:p/>
    <w:p>
      <w:r>
        <w:rPr>
          <w:b/>
          <w:color w:val="0A84FF"/>
          <w:sz w:val="22"/>
        </w:rPr>
        <w:t>Step 10 — Post to ServiceNow</w:t>
      </w:r>
    </w:p>
    <w:p>
      <w:pPr/>
      <w:r>
        <w:rPr>
          <w:sz w:val="20"/>
        </w:rPr>
        <w:t>Click 'Post to ServiceNow' in the runbook header. Enter instance: dev218436.service-now.com, username: admin. Click Publish. Say: 'The full runbook is now a draft KB article in ServiceNow — the team can review, enrich, and publish it. All the context from the AI analysis is captured.'</w:t>
      </w:r>
    </w:p>
    <w:p/>
    <w:p>
      <w:r>
        <w:rPr>
          <w:b/>
          <w:color w:val="0A84FF"/>
          <w:sz w:val="22"/>
        </w:rPr>
        <w:t>Step 11 — Live Mode (Optional)</w:t>
      </w:r>
    </w:p>
    <w:p>
      <w:pPr/>
      <w:r>
        <w:rPr>
          <w:sz w:val="20"/>
        </w:rPr>
        <w:t>Toggle sidebar to LIVE (green badge)</w:t>
        <w:br/>
        <w:t>Say: 'In Live mode, GPT-4o dynamically generates runbooks tailored to your exact query text and wait events, and the DBA Chat tab becomes active for follow-up questions.'</w:t>
      </w:r>
    </w:p>
    <w:p/>
    <w:p>
      <w:r>
        <w:br w:type="page"/>
      </w:r>
    </w:p>
    <w:p>
      <w:pPr>
        <w:pStyle w:val="Heading1"/>
      </w:pPr>
      <w:r>
        <w:rPr>
          <w:color w:val="0A84FF"/>
        </w:rPr>
        <w:t>5. Architecture Diagrams (SVG)</w:t>
      </w:r>
    </w:p>
    <w:p>
      <w:r>
        <w:t>Three SVG architecture diagrams are published at the URLs below. Open in any browser or embed in slides. All diagrams use the same dark-theme color scheme as the application.</w:t>
      </w:r>
    </w:p>
    <w:tbl>
      <w:tblPr>
        <w:tblStyle w:val="TableGrid"/>
        <w:tblW w:type="auto" w:w="0"/>
        <w:tblLayout w:type="fixed"/>
        <w:tblLook w:firstColumn="1" w:firstRow="1" w:lastColumn="0" w:lastRow="0" w:noHBand="0" w:noVBand="1" w:val="04A0"/>
      </w:tblPr>
      <w:tblGrid>
        <w:gridCol w:w="2880"/>
        <w:gridCol w:w="5760"/>
        <w:gridCol w:w="720"/>
      </w:tblGrid>
      <w:tr>
        <w:tc>
          <w:tcPr>
            <w:tcW w:type="dxa" w:w="3324"/>
            <w:shd w:val="clear" w:color="auto" w:fill="1A3C5E"/>
          </w:tcPr>
          <w:p>
            <w:r>
              <w:rPr>
                <w:b/>
                <w:color w:val="FFFFFF"/>
                <w:sz w:val="20"/>
              </w:rPr>
              <w:t>Diagram</w:t>
            </w:r>
          </w:p>
        </w:tc>
        <w:tc>
          <w:tcPr>
            <w:tcW w:type="dxa" w:w="3324"/>
            <w:shd w:val="clear" w:color="auto" w:fill="1A3C5E"/>
          </w:tcPr>
          <w:p>
            <w:r>
              <w:rPr>
                <w:b/>
                <w:color w:val="FFFFFF"/>
                <w:sz w:val="20"/>
              </w:rPr>
              <w:t>URL / Purpose</w:t>
            </w:r>
          </w:p>
        </w:tc>
        <w:tc>
          <w:tcPr>
            <w:tcW w:type="dxa" w:w="3324"/>
            <w:shd w:val="clear" w:color="auto" w:fill="1A3C5E"/>
          </w:tcPr>
          <w:p>
            <w:r>
              <w:rPr>
                <w:b/>
                <w:color w:val="FFFFFF"/>
                <w:sz w:val="20"/>
              </w:rPr>
            </w:r>
          </w:p>
        </w:tc>
      </w:tr>
      <w:tr>
        <w:tc>
          <w:tcPr>
            <w:tcW w:type="dxa" w:w="3324"/>
            <w:shd w:val="clear" w:color="auto" w:fill="EAF2FF"/>
          </w:tcPr>
          <w:p>
            <w:r>
              <w:rPr>
                <w:b/>
                <w:sz w:val="20"/>
              </w:rPr>
              <w:t>End User Flow</w:t>
            </w:r>
          </w:p>
        </w:tc>
        <w:tc>
          <w:tcPr>
            <w:tcW w:type="dxa" w:w="3324"/>
            <w:shd w:val="clear" w:color="auto" w:fill="EAF2FF"/>
          </w:tcPr>
          <w:p>
            <w:r>
              <w:rPr>
                <w:sz w:val="18"/>
              </w:rPr>
              <w:t>https://dbperf.aieksops.com/end_user_flow.svg</w:t>
              <w:br/>
              <w:t>Swimlane: DBA vs System actions, 7-step walk-through, Demo/Live split</w:t>
            </w:r>
          </w:p>
        </w:tc>
        <w:tc>
          <w:tcPr>
            <w:tcW w:type="dxa" w:w="3324"/>
          </w:tcPr>
          <w:p>
            <w:r/>
          </w:p>
        </w:tc>
      </w:tr>
      <w:tr>
        <w:tc>
          <w:tcPr>
            <w:tcW w:type="dxa" w:w="3324"/>
            <w:shd w:val="clear" w:color="auto" w:fill="F8F9FF"/>
          </w:tcPr>
          <w:p>
            <w:r>
              <w:rPr>
                <w:b/>
                <w:sz w:val="20"/>
              </w:rPr>
              <w:t>High Level Design</w:t>
            </w:r>
          </w:p>
        </w:tc>
        <w:tc>
          <w:tcPr>
            <w:tcW w:type="dxa" w:w="3324"/>
            <w:shd w:val="clear" w:color="auto" w:fill="F8F9FF"/>
          </w:tcPr>
          <w:p>
            <w:r>
              <w:rPr>
                <w:sz w:val="18"/>
              </w:rPr>
              <w:t>https://dbperf.aieksops.com/high_level_design.svg</w:t>
              <w:br/>
              <w:t>4 zones: Data Sources, Browser, EC2, OpenAI — component connections</w:t>
            </w:r>
          </w:p>
        </w:tc>
        <w:tc>
          <w:tcPr>
            <w:tcW w:type="dxa" w:w="3324"/>
          </w:tcPr>
          <w:p>
            <w:r/>
          </w:p>
        </w:tc>
      </w:tr>
      <w:tr>
        <w:tc>
          <w:tcPr>
            <w:tcW w:type="dxa" w:w="3324"/>
            <w:shd w:val="clear" w:color="auto" w:fill="EAF2FF"/>
          </w:tcPr>
          <w:p>
            <w:r>
              <w:rPr>
                <w:b/>
                <w:sz w:val="20"/>
              </w:rPr>
              <w:t>Low Level Design</w:t>
            </w:r>
          </w:p>
        </w:tc>
        <w:tc>
          <w:tcPr>
            <w:tcW w:type="dxa" w:w="3324"/>
            <w:shd w:val="clear" w:color="auto" w:fill="EAF2FF"/>
          </w:tcPr>
          <w:p>
            <w:r>
              <w:rPr>
                <w:sz w:val="18"/>
              </w:rPr>
              <w:t>https://dbperf.aieksops.com/low_level_design.svg</w:t>
              <w:br/>
              <w:t>3-column detail: Frontend tree, API contracts, Backend components</w:t>
            </w:r>
          </w:p>
        </w:tc>
        <w:tc>
          <w:tcPr>
            <w:tcW w:type="dxa" w:w="3324"/>
          </w:tcPr>
          <w:p>
            <w:r/>
          </w:p>
        </w:tc>
      </w:tr>
    </w:tbl>
    <w:p/>
    <w:p>
      <w:pPr>
        <w:pStyle w:val="Heading1"/>
      </w:pPr>
      <w:r>
        <w:rPr>
          <w:color w:val="0A84FF"/>
        </w:rPr>
        <w:t>6. Frequently Asked Questions</w:t>
      </w:r>
    </w:p>
    <w:p>
      <w:r>
        <w:rPr>
          <w:b/>
          <w:color w:val="0A84FF"/>
          <w:sz w:val="20"/>
        </w:rPr>
        <w:t>Q: Does it need access to our database?</w:t>
      </w:r>
    </w:p>
    <w:p>
      <w:r>
        <w:rPr>
          <w:sz w:val="20"/>
        </w:rPr>
        <w:t>No. You export the performance data (Performance Insights JSON, AWR report, slow query log) and upload the file. The agent never connects to your database directly.</w:t>
      </w:r>
    </w:p>
    <w:p/>
    <w:p>
      <w:r>
        <w:rPr>
          <w:b/>
          <w:color w:val="0A84FF"/>
          <w:sz w:val="20"/>
        </w:rPr>
        <w:t>Q: What data leaves our environment in Live mode?</w:t>
      </w:r>
    </w:p>
    <w:p>
      <w:r>
        <w:rPr>
          <w:sz w:val="20"/>
        </w:rPr>
        <w:t>In Live mode, the SQL query text and performance metrics are sent to OpenAI GPT-4o via the API. No actual data rows, schema definitions, or customer PII are ever sent — only the SQL strings and timing/wait statistics visible in your performance dashboard.</w:t>
      </w:r>
    </w:p>
    <w:p/>
    <w:p>
      <w:r>
        <w:rPr>
          <w:b/>
          <w:color w:val="0A84FF"/>
          <w:sz w:val="20"/>
        </w:rPr>
        <w:t>Q: How accurate is the Demo mode classification?</w:t>
      </w:r>
    </w:p>
    <w:p>
      <w:r>
        <w:rPr>
          <w:sz w:val="20"/>
        </w:rPr>
        <w:t>Demo mode uses rule-based heuristics tuned per engine — it correctly identifies the dominant root cause in ~85% of real-world cases. For nuanced scenarios (e.g. combined parameter sniffing + vacuum bloat), Live mode GPT-4o analysis provides higher accuracy and context-aware recommendations.</w:t>
      </w:r>
    </w:p>
    <w:p/>
    <w:p>
      <w:r>
        <w:rPr>
          <w:b/>
          <w:color w:val="0A84FF"/>
          <w:sz w:val="20"/>
        </w:rPr>
        <w:t>Q: Can we integrate this with our existing monitoring tools?</w:t>
      </w:r>
    </w:p>
    <w:p>
      <w:r>
        <w:rPr>
          <w:sz w:val="20"/>
        </w:rPr>
        <w:t>Yes — the backend exposes a REST API (/api/triage/analyze) that accepts JSON/text input and returns structured classifications + runbooks. This can be called from PagerDuty webhooks, Slack bots, or any custom automation.</w:t>
      </w:r>
    </w:p>
    <w:p/>
    <w:p>
      <w:r>
        <w:rPr>
          <w:b/>
          <w:color w:val="0A84FF"/>
          <w:sz w:val="20"/>
        </w:rPr>
        <w:t>Q: What does 'DBA Chat' do in Live mode?</w:t>
      </w:r>
    </w:p>
    <w:p>
      <w:r>
        <w:rPr>
          <w:sz w:val="20"/>
        </w:rPr>
        <w:t>After analysis, a chat interface appears next to each query's runbook. Ask follow-up questions like 'What index columns should I add?', 'How do I check this in the AWS console?', or 'What's the risk of running VACUUM during peak hours?' — GPT-4o has the full incident context.</w:t>
      </w:r>
    </w:p>
    <w:p/>
    <w:p>
      <w:r>
        <w:rPr>
          <w:b/>
          <w:color w:val="0A84FF"/>
          <w:sz w:val="20"/>
        </w:rPr>
        <w:t>Q: Can we add our own custom root cause types?</w:t>
      </w:r>
    </w:p>
    <w:p>
      <w:r>
        <w:rPr>
          <w:sz w:val="20"/>
        </w:rPr>
        <w:t>Yes — the classifier_node heuristics are in backend/agents/classifier_node.py and the runbook templates are in runbook_node.py. Both are plain Python dicts, easily extended.</w:t>
      </w:r>
    </w:p>
    <w:p/>
    <w:p>
      <w:r>
        <w:rPr>
          <w:b/>
          <w:color w:val="0A84FF"/>
          <w:sz w:val="20"/>
        </w:rPr>
        <w:t>Q: Are the DB credentials secure?</w:t>
      </w:r>
    </w:p>
    <w:p>
      <w:r>
        <w:rPr>
          <w:sz w:val="20"/>
        </w:rPr>
        <w:t>Credentials are held in browser memory (React state) only. They are sent to the backend only in the POST body for each query execution — never written to disk, never logged, and the password is scrubbed from any error messages before they reach the browser. Use a dedicated read-only database user as best practice.</w:t>
      </w:r>
    </w:p>
    <w:p/>
    <w:p>
      <w:r>
        <w:rPr>
          <w:b/>
          <w:color w:val="0A84FF"/>
          <w:sz w:val="20"/>
        </w:rPr>
        <w:t>Q: What SQL can be run through the DB Connector?</w:t>
      </w:r>
    </w:p>
    <w:p>
      <w:r>
        <w:rPr>
          <w:sz w:val="20"/>
        </w:rPr>
        <w:t>Only SELECT, EXPLAIN, SHOW, DESCRIBE, ANALYZE, and WITH (CTE) statements are allowed. A multi-layer security check enforces this: the first keyword must be in the allowlist, and a regex blocklist rejects INSERT, UPDATE, DELETE, DROP, CREATE, ALTER, TRUNCATE, and other dangerous keywords anywhere in the query — even inside subqueries or CTEs.</w:t>
      </w:r>
    </w:p>
    <w:p/>
    <w:p>
      <w:r>
        <w:rPr>
          <w:b/>
          <w:color w:val="0A84FF"/>
          <w:sz w:val="20"/>
        </w:rPr>
        <w:t>Q: What happens to the ServiceNow article after publishing?</w:t>
      </w:r>
    </w:p>
    <w:p>
      <w:r>
        <w:rPr>
          <w:sz w:val="20"/>
        </w:rPr>
        <w:t>The article is created as a 'draft' in the ServiceNow Knowledge Base with a 2-year validity period. It must be reviewed and approved by a DBA or KB administrator before it becomes visible to users. The article includes the full runbook with all diagnostic SQL steps, AWS console tool references, severity rating, and root cause summary.</w:t>
      </w:r>
    </w:p>
    <w:p/>
    <w:p>
      <w:r>
        <w:br w:type="page"/>
      </w:r>
    </w:p>
    <w:p>
      <w:pPr>
        <w:jc w:val="center"/>
      </w:pPr>
      <w:r>
        <w:rPr>
          <w:color w:val="8090A0"/>
          <w:sz w:val="18"/>
        </w:rPr>
        <w:t>DB Performance AI Agent  •  https://dbperf.aieksops.com  •  Built on AWS + LangGraph + OpenAI GPT-4o</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