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ChangeGuard AI - Day 2 Technical and Interview Notes</w:t>
      </w:r>
    </w:p>
    <w:p>
      <w:pPr>
        <w:pStyle w:val="Subtitle"/>
      </w:pPr>
      <w:r>
        <w:t>Release-readiness domain rules, API orchestration, Angular Mission Control, and test evidence</w:t>
      </w:r>
    </w:p>
    <w:p>
      <w:pPr>
        <w:pStyle w:val="Heading2"/>
      </w:pPr>
      <w:r>
        <w:t>1. Day 2 Objective</w:t>
      </w:r>
    </w:p>
    <w:p>
      <w:pPr/>
      <w:r>
        <w:t>The objective was to implement the first real ChangeGuard business capability: evaluate whether a change request is ready to move from QA Testing to Release Approval. The feature had to explain its decision, remain protected by automated tests, and appear as a visible Angular Mission Control card.</w:t>
      </w:r>
    </w:p>
    <w:p>
      <w:pPr>
        <w:pStyle w:val="BodyText"/>
      </w:pPr>
      <w:r>
        <w:t>Verified business scenario:</w:t>
      </w:r>
    </w:p>
    <w:p>
      <w:pPr>
        <w:pStyle w:val="SourceCode"/>
      </w:pPr>
      <w:r>
        <w:t>CG-101 - Payment validation update</w:t>
        <w:br/>
        <w:t>Priority: Critical</w:t>
        <w:br/>
        <w:t>Status: QA Testing</w:t>
        <w:br/>
        <w:t>QA evidence: Missing</w:t>
        <w:br/>
        <w:t>Rollback plan: Missing</w:t>
        <w:br/>
        <w:t>Result: 45% ready - RELEASE BLOCKED</w:t>
      </w:r>
    </w:p>
    <w:p>
      <w:pPr>
        <w:pStyle w:val="Heading2"/>
      </w:pPr>
      <w:r>
        <w:t>2. Completed Vertical Slice</w:t>
      </w:r>
    </w:p>
    <w:p>
      <w:pPr>
        <w:pStyle w:val="SourceCode"/>
      </w:pPr>
      <w:r>
        <w:t>Angular card</w:t>
        <w:br/>
        <w:t>-&gt; ReleaseReadinessService</w:t>
        <w:br/>
        <w:t>-&gt; HTTPS GET /api/change-requests/demo/release-readiness</w:t>
        <w:br/>
        <w:t>-&gt; ChangeRequestsController</w:t>
        <w:br/>
        <w:t>-&gt; IReleaseReadinessService</w:t>
        <w:br/>
        <w:t>-&gt; DemoReleaseReadinessService</w:t>
        <w:br/>
        <w:t>-&gt; ChangeRequest.AssessReleaseReadiness()</w:t>
        <w:br/>
        <w:t>-&gt; ReleaseReadinessAssessment</w:t>
        <w:br/>
        <w:t>-&gt; Typed JSON</w:t>
        <w:br/>
        <w:t>-&gt; Observable + AsyncPipe</w:t>
        <w:br/>
        <w:t>-&gt; 45% RELEASE BLOCKED UI</w:t>
      </w:r>
    </w:p>
    <w:p>
      <w:pPr/>
      <w:r>
        <w:t>This is a vertical slice because one business capability was implemented and verified through the Domain, Application, API, and Angular layers.</w:t>
      </w:r>
    </w:p>
    <w:p>
      <w:pPr>
        <w:pStyle w:val="BodyText"/>
      </w:pPr>
      <w:r>
        <w:t>Memory line:</w:t>
      </w:r>
    </w:p>
    <w:p>
      <w:pPr>
        <w:pStyle w:val="SourceCode"/>
      </w:pPr>
      <w:r>
        <w:t>Domain decides; Application coordinates; API delivers; Angular presents.</w:t>
      </w:r>
    </w:p>
    <w:p>
      <w:pPr>
        <w:pStyle w:val="Heading2"/>
      </w:pPr>
      <w:r>
        <w:t>3. Business Rule and Acceptance Criteria</w:t>
      </w:r>
    </w:p>
    <w:p>
      <w:pPr>
        <w:pStyle w:val="Heading3"/>
      </w:pPr>
      <w:r>
        <w:t>Release-readiness rule</w:t>
      </w:r>
    </w:p>
    <w:p>
      <w:pPr/>
      <w:r>
        <w:t>A request in QA Testing cannot move to Release Approval when mandatory QA evidence or a rollback plan is missing. The readiness score is explanatory; mandatory blockers control the workflow decision.</w:t>
      </w:r>
    </w:p>
    <w:tbl>
      <w:tblPr>
        <w:tblStyle w:val="TableGrid"/>
        <w:tblW w:type="dxa" w:w="9866"/>
        <w:jc w:val="left"/>
        <w:tblLayout w:type="fixed"/>
        <w:tblLook w:firstColumn="1" w:firstRow="1" w:lastColumn="0" w:lastRow="0" w:noHBand="0" w:noVBand="1" w:val="04A0"/>
        <w:tblInd w:type="dxa" w:w="120"/>
      </w:tblPr>
      <w:tblGrid>
        <w:gridCol w:w="3313"/>
        <w:gridCol w:w="1728"/>
        <w:gridCol w:w="4825"/>
      </w:tblGrid>
      <w:tr>
        <w:trPr>
          <w:tblHeader w:val="true"/>
        </w:trPr>
        <w:tc>
          <w:tcPr>
            <w:tcW w:type="dxa" w:w="3313"/>
            <w:vAlign w:val="center"/>
            <w:shd w:fill="1F4E78"/>
            <w:tcMar>
              <w:top w:w="100" w:type="dxa"/>
              <w:bottom w:w="100" w:type="dxa"/>
              <w:start w:w="120" w:type="dxa"/>
              <w:end w:w="120" w:type="dxa"/>
            </w:tcMar>
          </w:tcPr>
          <w:p>
            <w:pPr>
              <w:spacing w:after="0" w:line="252" w:lineRule="auto"/>
            </w:pPr>
            <w:r/>
            <w:r>
              <w:rPr>
                <w:rFonts w:ascii="Aptos" w:hAnsi="Aptos"/>
                <w:b/>
                <w:color w:val="FFFFFF"/>
                <w:sz w:val="18"/>
              </w:rPr>
              <w:t>Condition</w:t>
            </w:r>
          </w:p>
        </w:tc>
        <w:tc>
          <w:tcPr>
            <w:tcW w:type="dxa" w:w="1728"/>
            <w:vAlign w:val="center"/>
            <w:shd w:fill="1F4E78"/>
            <w:tcMar>
              <w:top w:w="100" w:type="dxa"/>
              <w:bottom w:w="100" w:type="dxa"/>
              <w:start w:w="120" w:type="dxa"/>
              <w:end w:w="120" w:type="dxa"/>
            </w:tcMar>
          </w:tcPr>
          <w:p>
            <w:pPr>
              <w:spacing w:after="0" w:line="252" w:lineRule="auto"/>
            </w:pPr>
            <w:r/>
            <w:r>
              <w:rPr>
                <w:rFonts w:ascii="Aptos" w:hAnsi="Aptos"/>
                <w:b/>
                <w:color w:val="FFFFFF"/>
                <w:sz w:val="18"/>
              </w:rPr>
              <w:t>Score effect</w:t>
            </w:r>
          </w:p>
        </w:tc>
        <w:tc>
          <w:tcPr>
            <w:tcW w:type="dxa" w:w="4825"/>
            <w:vAlign w:val="center"/>
            <w:shd w:fill="1F4E78"/>
            <w:tcMar>
              <w:top w:w="100" w:type="dxa"/>
              <w:bottom w:w="100" w:type="dxa"/>
              <w:start w:w="120" w:type="dxa"/>
              <w:end w:w="120" w:type="dxa"/>
            </w:tcMar>
          </w:tcPr>
          <w:p>
            <w:pPr>
              <w:spacing w:after="0" w:line="252" w:lineRule="auto"/>
            </w:pPr>
            <w:r/>
            <w:r>
              <w:rPr>
                <w:rFonts w:ascii="Aptos" w:hAnsi="Aptos"/>
                <w:b/>
                <w:color w:val="FFFFFF"/>
                <w:sz w:val="18"/>
              </w:rPr>
              <w:t>Blocker</w:t>
            </w:r>
          </w:p>
        </w:tc>
      </w:tr>
      <w:tr>
        <w:trPr/>
        <w:tc>
          <w:tcPr>
            <w:tcW w:type="dxa" w:w="3313"/>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Starting readiness</w:t>
            </w:r>
          </w:p>
        </w:tc>
        <w:tc>
          <w:tcPr>
            <w:tcW w:type="dxa" w:w="1728"/>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100</w:t>
            </w:r>
          </w:p>
        </w:tc>
        <w:tc>
          <w:tcPr>
            <w:tcW w:type="dxa" w:w="482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None</w:t>
            </w:r>
          </w:p>
        </w:tc>
      </w:tr>
      <w:tr>
        <w:trPr/>
        <w:tc>
          <w:tcPr>
            <w:tcW w:type="dxa" w:w="3313"/>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QA evidence missing</w:t>
            </w:r>
          </w:p>
        </w:tc>
        <w:tc>
          <w:tcPr>
            <w:tcW w:type="dxa" w:w="1728"/>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-30</w:t>
            </w:r>
          </w:p>
        </w:tc>
        <w:tc>
          <w:tcPr>
            <w:tcW w:type="dxa" w:w="482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QA evidence is missing.</w:t>
            </w:r>
          </w:p>
        </w:tc>
      </w:tr>
      <w:tr>
        <w:trPr/>
        <w:tc>
          <w:tcPr>
            <w:tcW w:type="dxa" w:w="3313"/>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Rollback plan missing</w:t>
            </w:r>
          </w:p>
        </w:tc>
        <w:tc>
          <w:tcPr>
            <w:tcW w:type="dxa" w:w="1728"/>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-25</w:t>
            </w:r>
          </w:p>
        </w:tc>
        <w:tc>
          <w:tcPr>
            <w:tcW w:type="dxa" w:w="482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Rollback plan is missing.</w:t>
            </w:r>
          </w:p>
        </w:tc>
      </w:tr>
      <w:tr>
        <w:trPr/>
        <w:tc>
          <w:tcPr>
            <w:tcW w:type="dxa" w:w="3313"/>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Both missing</w:t>
            </w:r>
          </w:p>
        </w:tc>
        <w:tc>
          <w:tcPr>
            <w:tcW w:type="dxa" w:w="1728"/>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45 final score</w:t>
            </w:r>
          </w:p>
        </w:tc>
        <w:tc>
          <w:tcPr>
            <w:tcW w:type="dxa" w:w="482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Release blocked</w:t>
            </w:r>
          </w:p>
        </w:tc>
      </w:tr>
    </w:tbl>
    <w:p>
      <w:pPr>
        <w:spacing w:after="40"/>
      </w:pPr>
    </w:p>
    <w:p>
      <w:pPr>
        <w:pStyle w:val="Heading3"/>
      </w:pPr>
      <w:r>
        <w:t>Status versus blocker</w:t>
      </w:r>
    </w:p>
    <w:p>
      <w:pPr/>
      <w:r>
        <w:t>Status records where a request is in the workflow. A blocker explains why it cannot move forward. A request may therefore remain in QA Testing while being release-blocked.</w:t>
      </w:r>
    </w:p>
    <w:p>
      <w:pPr>
        <w:pStyle w:val="BodyText"/>
      </w:pPr>
      <w:r>
        <w:t>Memory line:</w:t>
      </w:r>
    </w:p>
    <w:p>
      <w:pPr>
        <w:pStyle w:val="SourceCode"/>
      </w:pPr>
      <w:r>
        <w:t>Status = Where is it? Blocker = Why can it not move?</w:t>
      </w:r>
    </w:p>
    <w:p>
      <w:pPr>
        <w:pStyle w:val="Heading2"/>
      </w:pPr>
      <w:r>
        <w:t>4. Concept Map</w:t>
      </w:r>
    </w:p>
    <w:tbl>
      <w:tblPr>
        <w:tblStyle w:val="TableGrid"/>
        <w:tblW w:type="dxa" w:w="9866"/>
        <w:jc w:val="left"/>
        <w:tblLayout w:type="fixed"/>
        <w:tblLook w:firstColumn="1" w:firstRow="1" w:lastColumn="0" w:lastRow="0" w:noHBand="0" w:noVBand="1" w:val="04A0"/>
        <w:tblInd w:type="dxa" w:w="120"/>
      </w:tblPr>
      <w:tblGrid>
        <w:gridCol w:w="2232"/>
        <w:gridCol w:w="3385"/>
        <w:gridCol w:w="4249"/>
      </w:tblGrid>
      <w:tr>
        <w:trPr>
          <w:tblHeader w:val="true"/>
        </w:trPr>
        <w:tc>
          <w:tcPr>
            <w:tcW w:type="dxa" w:w="2232"/>
            <w:vAlign w:val="center"/>
            <w:shd w:fill="1F4E78"/>
            <w:tcMar>
              <w:top w:w="100" w:type="dxa"/>
              <w:bottom w:w="100" w:type="dxa"/>
              <w:start w:w="120" w:type="dxa"/>
              <w:end w:w="120" w:type="dxa"/>
            </w:tcMar>
          </w:tcPr>
          <w:p>
            <w:pPr>
              <w:spacing w:after="0" w:line="252" w:lineRule="auto"/>
            </w:pPr>
            <w:r/>
            <w:r>
              <w:rPr>
                <w:rFonts w:ascii="Aptos" w:hAnsi="Aptos"/>
                <w:b/>
                <w:color w:val="FFFFFF"/>
                <w:sz w:val="18"/>
              </w:rPr>
              <w:t>Concept</w:t>
            </w:r>
          </w:p>
        </w:tc>
        <w:tc>
          <w:tcPr>
            <w:tcW w:type="dxa" w:w="3385"/>
            <w:vAlign w:val="center"/>
            <w:shd w:fill="1F4E78"/>
            <w:tcMar>
              <w:top w:w="100" w:type="dxa"/>
              <w:bottom w:w="100" w:type="dxa"/>
              <w:start w:w="120" w:type="dxa"/>
              <w:end w:w="120" w:type="dxa"/>
            </w:tcMar>
          </w:tcPr>
          <w:p>
            <w:pPr>
              <w:spacing w:after="0" w:line="252" w:lineRule="auto"/>
            </w:pPr>
            <w:r/>
            <w:r>
              <w:rPr>
                <w:rFonts w:ascii="Aptos" w:hAnsi="Aptos"/>
                <w:b/>
                <w:color w:val="FFFFFF"/>
                <w:sz w:val="18"/>
              </w:rPr>
              <w:t>Where used</w:t>
            </w:r>
          </w:p>
        </w:tc>
        <w:tc>
          <w:tcPr>
            <w:tcW w:type="dxa" w:w="4249"/>
            <w:vAlign w:val="center"/>
            <w:shd w:fill="1F4E78"/>
            <w:tcMar>
              <w:top w:w="100" w:type="dxa"/>
              <w:bottom w:w="100" w:type="dxa"/>
              <w:start w:w="120" w:type="dxa"/>
              <w:end w:w="120" w:type="dxa"/>
            </w:tcMar>
          </w:tcPr>
          <w:p>
            <w:pPr>
              <w:spacing w:after="0" w:line="252" w:lineRule="auto"/>
            </w:pPr>
            <w:r/>
            <w:r>
              <w:rPr>
                <w:rFonts w:ascii="Aptos" w:hAnsi="Aptos"/>
                <w:b/>
                <w:color w:val="FFFFFF"/>
                <w:sz w:val="18"/>
              </w:rPr>
              <w:t>Why used</w:t>
            </w:r>
          </w:p>
        </w:tc>
      </w:tr>
      <w:tr>
        <w:trPr/>
        <w:tc>
          <w:tcPr>
            <w:tcW w:type="dxa" w:w="2232"/>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Enum</w:t>
            </w:r>
          </w:p>
        </w:tc>
        <w:tc>
          <w:tcPr>
            <w:tcW w:type="dxa" w:w="338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ChangePriority and ChangeRequestStatus</w:t>
            </w:r>
          </w:p>
        </w:tc>
        <w:tc>
          <w:tcPr>
            <w:tcW w:type="dxa" w:w="4249"/>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Controlled, type-safe workflow vocabulary</w:t>
            </w:r>
          </w:p>
        </w:tc>
      </w:tr>
      <w:tr>
        <w:trPr/>
        <w:tc>
          <w:tcPr>
            <w:tcW w:type="dxa" w:w="2232"/>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Entity</w:t>
            </w:r>
          </w:p>
        </w:tc>
        <w:tc>
          <w:tcPr>
            <w:tcW w:type="dxa" w:w="338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ChangeRequest</w:t>
            </w:r>
          </w:p>
        </w:tc>
        <w:tc>
          <w:tcPr>
            <w:tcW w:type="dxa" w:w="4249"/>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Keep state and business behaviour together</w:t>
            </w:r>
          </w:p>
        </w:tc>
      </w:tr>
      <w:tr>
        <w:trPr/>
        <w:tc>
          <w:tcPr>
            <w:tcW w:type="dxa" w:w="2232"/>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Encapsulation</w:t>
            </w:r>
          </w:p>
        </w:tc>
        <w:tc>
          <w:tcPr>
            <w:tcW w:type="dxa" w:w="338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Private setters and behaviour methods</w:t>
            </w:r>
          </w:p>
        </w:tc>
        <w:tc>
          <w:tcPr>
            <w:tcW w:type="dxa" w:w="4249"/>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Prevent uncontrolled state changes</w:t>
            </w:r>
          </w:p>
        </w:tc>
      </w:tr>
      <w:tr>
        <w:trPr/>
        <w:tc>
          <w:tcPr>
            <w:tcW w:type="dxa" w:w="2232"/>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Derived data</w:t>
            </w:r>
          </w:p>
        </w:tc>
        <w:tc>
          <w:tcPr>
            <w:tcW w:type="dxa" w:w="338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Score and blockers</w:t>
            </w:r>
          </w:p>
        </w:tc>
        <w:tc>
          <w:tcPr>
            <w:tcW w:type="dxa" w:w="4249"/>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Avoid storing values that can become stale</w:t>
            </w:r>
          </w:p>
        </w:tc>
      </w:tr>
      <w:tr>
        <w:trPr/>
        <w:tc>
          <w:tcPr>
            <w:tcW w:type="dxa" w:w="2232"/>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Record</w:t>
            </w:r>
          </w:p>
        </w:tc>
        <w:tc>
          <w:tcPr>
            <w:tcW w:type="dxa" w:w="338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ReleaseReadinessAssessment and response DTO</w:t>
            </w:r>
          </w:p>
        </w:tc>
        <w:tc>
          <w:tcPr>
            <w:tcW w:type="dxa" w:w="4249"/>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Concise result-oriented contracts</w:t>
            </w:r>
          </w:p>
        </w:tc>
      </w:tr>
      <w:tr>
        <w:trPr/>
        <w:tc>
          <w:tcPr>
            <w:tcW w:type="dxa" w:w="2232"/>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Application service</w:t>
            </w:r>
          </w:p>
        </w:tc>
        <w:tc>
          <w:tcPr>
            <w:tcW w:type="dxa" w:w="338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DemoReleaseReadinessService</w:t>
            </w:r>
          </w:p>
        </w:tc>
        <w:tc>
          <w:tcPr>
            <w:tcW w:type="dxa" w:w="4249"/>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Orchestrate the use case outside HTTP</w:t>
            </w:r>
          </w:p>
        </w:tc>
      </w:tr>
      <w:tr>
        <w:trPr/>
        <w:tc>
          <w:tcPr>
            <w:tcW w:type="dxa" w:w="2232"/>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Dependency inversion</w:t>
            </w:r>
          </w:p>
        </w:tc>
        <w:tc>
          <w:tcPr>
            <w:tcW w:type="dxa" w:w="338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IReleaseReadinessService</w:t>
            </w:r>
          </w:p>
        </w:tc>
        <w:tc>
          <w:tcPr>
            <w:tcW w:type="dxa" w:w="4249"/>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Controller depends on an abstraction</w:t>
            </w:r>
          </w:p>
        </w:tc>
      </w:tr>
      <w:tr>
        <w:trPr/>
        <w:tc>
          <w:tcPr>
            <w:tcW w:type="dxa" w:w="2232"/>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Scoped DI</w:t>
            </w:r>
          </w:p>
        </w:tc>
        <w:tc>
          <w:tcPr>
            <w:tcW w:type="dxa" w:w="338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Program.cs registration</w:t>
            </w:r>
          </w:p>
        </w:tc>
        <w:tc>
          <w:tcPr>
            <w:tcW w:type="dxa" w:w="4249"/>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One application-service instance per request</w:t>
            </w:r>
          </w:p>
        </w:tc>
      </w:tr>
      <w:tr>
        <w:trPr/>
        <w:tc>
          <w:tcPr>
            <w:tcW w:type="dxa" w:w="2232"/>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Angular service</w:t>
            </w:r>
          </w:p>
        </w:tc>
        <w:tc>
          <w:tcPr>
            <w:tcW w:type="dxa" w:w="338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ReleaseReadinessService</w:t>
            </w:r>
          </w:p>
        </w:tc>
        <w:tc>
          <w:tcPr>
            <w:tcW w:type="dxa" w:w="4249"/>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Keep HTTP logic outside the component</w:t>
            </w:r>
          </w:p>
        </w:tc>
      </w:tr>
      <w:tr>
        <w:trPr/>
        <w:tc>
          <w:tcPr>
            <w:tcW w:type="dxa" w:w="2232"/>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Observable</w:t>
            </w:r>
          </w:p>
        </w:tc>
        <w:tc>
          <w:tcPr>
            <w:tcW w:type="dxa" w:w="338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viewState$</w:t>
            </w:r>
          </w:p>
        </w:tc>
        <w:tc>
          <w:tcPr>
            <w:tcW w:type="dxa" w:w="4249"/>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Represent loading, success, and error states</w:t>
            </w:r>
          </w:p>
        </w:tc>
      </w:tr>
      <w:tr>
        <w:trPr/>
        <w:tc>
          <w:tcPr>
            <w:tcW w:type="dxa" w:w="2232"/>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Angular control flow</w:t>
            </w:r>
          </w:p>
        </w:tc>
        <w:tc>
          <w:tcPr>
            <w:tcW w:type="dxa" w:w="3385"/>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@if and @for</w:t>
            </w:r>
          </w:p>
        </w:tc>
        <w:tc>
          <w:tcPr>
            <w:tcW w:type="dxa" w:w="4249"/>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Render state and blocker collection declaratively</w:t>
            </w:r>
          </w:p>
        </w:tc>
      </w:tr>
      <w:tr>
        <w:trPr/>
        <w:tc>
          <w:tcPr>
            <w:tcW w:type="dxa" w:w="2232"/>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Automated tests</w:t>
            </w:r>
          </w:p>
        </w:tc>
        <w:tc>
          <w:tcPr>
            <w:tcW w:type="dxa" w:w="3385"/>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xUnit and Angular tests</w:t>
            </w:r>
          </w:p>
        </w:tc>
        <w:tc>
          <w:tcPr>
            <w:tcW w:type="dxa" w:w="4249"/>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Protect business and UI behaviour</w:t>
            </w:r>
          </w:p>
        </w:tc>
      </w:tr>
    </w:tbl>
    <w:p>
      <w:pPr>
        <w:spacing w:after="40"/>
      </w:pPr>
    </w:p>
    <w:p>
      <w:pPr>
        <w:pStyle w:val="Heading2"/>
      </w:pPr>
      <w:r>
        <w:t>5. Domain Vocabulary with Enums</w:t>
      </w:r>
    </w:p>
    <w:p>
      <w:pPr>
        <w:pStyle w:val="Heading3"/>
      </w:pPr>
      <w:r>
        <w:t>What an enum is</w:t>
      </w:r>
    </w:p>
    <w:p>
      <w:pPr/>
      <w:r>
        <w:t>An enum defines a named set of related constants. It normally has an integral underlying representation, but its main value is controlled vocabulary and compile-time type safety.</w:t>
      </w:r>
    </w:p>
    <w:p>
      <w:pPr>
        <w:pStyle w:val="Heading3"/>
      </w:pPr>
      <w:r>
        <w:t>Where we used it</w:t>
      </w:r>
    </w:p>
    <w:p>
      <w:pPr>
        <w:pStyle w:val="ListBullet"/>
      </w:pPr>
      <w:r>
        <w:t>ChangePriority: Low, Medium, High, Critical.</w:t>
      </w:r>
    </w:p>
    <w:p>
      <w:pPr>
        <w:pStyle w:val="ListBullet"/>
      </w:pPr>
      <w:r>
        <w:t>ChangeRequestStatus: Draft, RequirementReview, InDevelopment, QaTesting, ReleaseApproval, Released, Rejected.</w:t>
      </w:r>
    </w:p>
    <w:p>
      <w:pPr>
        <w:pStyle w:val="Heading3"/>
      </w:pPr>
      <w:r>
        <w:t>Why we used it</w:t>
      </w:r>
    </w:p>
    <w:p>
      <w:pPr/>
      <w:r>
        <w:t>Free-text values could introduce spelling and casing variations such as Critical, critical, or Critcal. Enums prevent invalid values from being passed accidentally in normal compiled code.</w:t>
      </w:r>
    </w:p>
    <w:p>
      <w:pPr>
        <w:pStyle w:val="BodyText"/>
      </w:pPr>
      <w:r>
        <w:t>Trade-off: database and API compatibility must be managed carefully when enum members are renamed or reordered. Explicit numeric values help keep persistence stable.</w:t>
      </w:r>
    </w:p>
    <w:p>
      <w:pPr>
        <w:pStyle w:val="BodyText"/>
      </w:pPr>
      <w:r>
        <w:t>Memory line:</w:t>
      </w:r>
    </w:p>
    <w:p>
      <w:pPr>
        <w:pStyle w:val="SourceCode"/>
      </w:pPr>
      <w:r>
        <w:t>Enum = A controlled set of named choices.</w:t>
      </w:r>
    </w:p>
    <w:p>
      <w:pPr>
        <w:pStyle w:val="Heading2"/>
      </w:pPr>
      <w:r>
        <w:t>6. Entity, Encapsulation, and Guard Clauses</w:t>
      </w:r>
    </w:p>
    <w:p>
      <w:pPr>
        <w:pStyle w:val="Heading3"/>
      </w:pPr>
      <w:r>
        <w:t>ChangeRequest as an entity</w:t>
      </w:r>
    </w:p>
    <w:p>
      <w:pPr/>
      <w:r>
        <w:t>ChangeRequest represents a business object with identity-oriented data and behaviour. It owns the readiness decision instead of exposing its state as a passive data bag.</w:t>
      </w:r>
    </w:p>
    <w:p>
      <w:pPr>
        <w:pStyle w:val="Heading3"/>
      </w:pPr>
      <w:r>
        <w:t>Encapsulation</w:t>
      </w:r>
    </w:p>
    <w:p>
      <w:pPr/>
      <w:r>
        <w:t>HasQaEvidence, HasRollbackPlan, and Status are publicly readable but not freely writable. Outside code must use domain methods such as RecordQaEvidence() and RecordRollbackPlan().</w:t>
      </w:r>
    </w:p>
    <w:p>
      <w:pPr/>
      <w:r>
        <w:t>This means future audit timestamps, user information, validation, or domain events can be added inside the entity without changing every caller.</w:t>
      </w:r>
    </w:p>
    <w:p>
      <w:pPr>
        <w:pStyle w:val="Heading3"/>
      </w:pPr>
      <w:r>
        <w:t>Guard clauses</w:t>
      </w:r>
    </w:p>
    <w:p>
      <w:pPr/>
      <w:r>
        <w:t>The constructor rejects a blank reference number or title immediately. This prevents a ChangeRequest from being created in an obviously invalid state.</w:t>
      </w:r>
    </w:p>
    <w:p>
      <w:pPr>
        <w:pStyle w:val="BodyText"/>
      </w:pPr>
      <w:r>
        <w:t>Memory line:</w:t>
      </w:r>
    </w:p>
    <w:p>
      <w:pPr>
        <w:pStyle w:val="SourceCode"/>
      </w:pPr>
      <w:r>
        <w:t>Encapsulation = Protect state and expose meaningful behaviour.</w:t>
      </w:r>
    </w:p>
    <w:p>
      <w:pPr>
        <w:pStyle w:val="Heading2"/>
      </w:pPr>
      <w:r>
        <w:t>7. Derived Readiness Assessment</w:t>
      </w:r>
    </w:p>
    <w:p>
      <w:pPr>
        <w:pStyle w:val="Heading3"/>
      </w:pPr>
      <w:r>
        <w:t>Why score and blockers are calculated</w:t>
      </w:r>
    </w:p>
    <w:p>
      <w:pPr/>
      <w:r>
        <w:t>QA evidence and rollback-plan availability are facts. Readiness score, IsBlocked, and CanMoveToReleaseApproval are decisions derived from those facts. Storing all of them independently could create inconsistent or outdated data.</w:t>
      </w:r>
    </w:p>
    <w:p>
      <w:pPr>
        <w:pStyle w:val="SourceCode"/>
      </w:pPr>
      <w:r>
        <w:t>100</w:t>
        <w:br/>
        <w:t>- 30 when QA evidence is missing</w:t>
        <w:br/>
        <w:t>- 25 when the rollback plan is missing</w:t>
        <w:br/>
        <w:t>= 45 for CG-101</w:t>
      </w:r>
    </w:p>
    <w:p>
      <w:pPr/>
      <w:r>
        <w:t>Math.Max(0, score) protects the lower boundary as more rules are introduced later.</w:t>
      </w:r>
    </w:p>
    <w:p>
      <w:pPr>
        <w:pStyle w:val="Heading3"/>
      </w:pPr>
      <w:r>
        <w:t>ReleaseReadinessAssessment record</w:t>
      </w:r>
    </w:p>
    <w:p>
      <w:pPr/>
      <w:r>
        <w:t>The assessment is an immutable result containing the score and a read-only blocker list. IsBlocked is calculated from whether blockers exist, and CanMoveToReleaseApproval is its opposite. This avoids storing mutually inconsistent Boolean values.</w:t>
      </w:r>
    </w:p>
    <w:p>
      <w:pPr>
        <w:pStyle w:val="BodyText"/>
      </w:pPr>
      <w:r>
        <w:t>Memory line:</w:t>
      </w:r>
    </w:p>
    <w:p>
      <w:pPr>
        <w:pStyle w:val="SourceCode"/>
      </w:pPr>
      <w:r>
        <w:t>Store facts; calculate decisions.</w:t>
      </w:r>
    </w:p>
    <w:p>
      <w:pPr>
        <w:pStyle w:val="Heading2"/>
      </w:pPr>
      <w:r>
        <w:t>8. Application Layer and DTO</w:t>
      </w:r>
    </w:p>
    <w:p>
      <w:pPr>
        <w:pStyle w:val="Heading3"/>
      </w:pPr>
      <w:r>
        <w:t>Application service</w:t>
      </w:r>
    </w:p>
    <w:p>
      <w:pPr/>
      <w:r>
        <w:t>DemoReleaseReadinessService coordinates the use case. It creates the temporary CG-101 scenario, asks the Domain to assess it, and maps the result to a response contract.</w:t>
      </w:r>
    </w:p>
    <w:p>
      <w:pPr/>
      <w:r>
        <w:t>The Application layer does not decide the score itself. Keeping the rule in Domain prevents controllers, jobs, or future message consumers from implementing different versions of the same business rule.</w:t>
      </w:r>
    </w:p>
    <w:p>
      <w:pPr>
        <w:pStyle w:val="Heading3"/>
      </w:pPr>
      <w:r>
        <w:t>DTO</w:t>
      </w:r>
    </w:p>
    <w:p>
      <w:pPr/>
      <w:r>
        <w:t>ReleaseReadinessResponse is a Data Transfer Object containing only the fields required by the API consumer. It prevents the complete domain entity from being exposed directly.</w:t>
      </w:r>
    </w:p>
    <w:p>
      <w:pPr>
        <w:pStyle w:val="Heading3"/>
      </w:pPr>
      <w:r>
        <w:t>Why the method is synchronous today</w:t>
      </w:r>
    </w:p>
    <w:p>
      <w:pPr/>
      <w:r>
        <w:t>The demo service performs no database, file, network, or other asynchronous I/O. Adding async and Task without asynchronous work would add ceremony without benefit. The method can become asynchronous when persistence is introduced.</w:t>
      </w:r>
    </w:p>
    <w:p>
      <w:pPr>
        <w:pStyle w:val="BodyText"/>
      </w:pPr>
      <w:r>
        <w:t>Memory line:</w:t>
      </w:r>
    </w:p>
    <w:p>
      <w:pPr>
        <w:pStyle w:val="SourceCode"/>
      </w:pPr>
      <w:r>
        <w:t>Do not add async when there is nothing asynchronous to await.</w:t>
      </w:r>
    </w:p>
    <w:p>
      <w:pPr>
        <w:pStyle w:val="Heading2"/>
      </w:pPr>
      <w:r>
        <w:t>9. Dependency Inversion and ASP.NET Core DI</w:t>
      </w:r>
    </w:p>
    <w:p>
      <w:pPr>
        <w:pStyle w:val="Heading3"/>
      </w:pPr>
      <w:r>
        <w:t>Dependency inversion</w:t>
      </w:r>
    </w:p>
    <w:p>
      <w:pPr/>
      <w:r>
        <w:t>ChangeRequestsController depends on IReleaseReadinessService rather than directly creating DemoReleaseReadinessService. The dependency is not removed; it is inverted toward an abstraction.</w:t>
      </w:r>
    </w:p>
    <w:p>
      <w:pPr/>
      <w:r>
        <w:t>This allows a test fake or future database-backed implementation to replace the demo service without changing the controller.</w:t>
      </w:r>
    </w:p>
    <w:p>
      <w:pPr>
        <w:pStyle w:val="Heading3"/>
      </w:pPr>
      <w:r>
        <w:t>Scoped registration</w:t>
      </w:r>
    </w:p>
    <w:p>
      <w:pPr>
        <w:pStyle w:val="SourceCode"/>
      </w:pPr>
      <w:r>
        <w:t>builder.Services.AddScoped&lt;</w:t>
        <w:br/>
        <w:t xml:space="preserve">    IReleaseReadinessService,</w:t>
        <w:br/>
        <w:t xml:space="preserve">    DemoReleaseReadinessService&gt;();</w:t>
      </w:r>
    </w:p>
    <w:p>
      <w:pPr/>
      <w:r>
        <w:t>Scoped creates one service instance within an HTTP request. It also aligns with future EF Core DbContext usage, which is commonly scoped.</w:t>
      </w:r>
    </w:p>
    <w:p>
      <w:pPr>
        <w:pStyle w:val="BodyText"/>
      </w:pPr>
      <w:r>
        <w:t>Memory line:</w:t>
      </w:r>
    </w:p>
    <w:p>
      <w:pPr>
        <w:pStyle w:val="SourceCode"/>
      </w:pPr>
      <w:r>
        <w:t>Register -&gt; Resolve -&gt; Inject -&gt; Execute.</w:t>
      </w:r>
    </w:p>
    <w:p>
      <w:pPr>
        <w:pStyle w:val="Heading2"/>
      </w:pPr>
      <w:r>
        <w:t>10. Controller, Routing, and Typed Response</w:t>
      </w:r>
    </w:p>
    <w:p>
      <w:pPr/>
      <w:r>
        <w:t>ChangeRequestsController is the HTTP entry point. It delegates business work to the Application service and returns the typed response as HTTP 200.</w:t>
      </w:r>
    </w:p>
    <w:p>
      <w:pPr>
        <w:pStyle w:val="SourceCode"/>
      </w:pPr>
      <w:r>
        <w:t>GET /api/change-requests/demo/release-readiness</w:t>
      </w:r>
    </w:p>
    <w:p>
      <w:pPr>
        <w:pStyle w:val="ListBullet"/>
      </w:pPr>
      <w:r>
        <w:t>[ApiController] enables API-controller conventions.</w:t>
      </w:r>
    </w:p>
    <w:p>
      <w:pPr>
        <w:pStyle w:val="ListBullet"/>
      </w:pPr>
      <w:r>
        <w:t>[Route("api/change-requests")] defines the controller route.</w:t>
      </w:r>
    </w:p>
    <w:p>
      <w:pPr>
        <w:pStyle w:val="ListBullet"/>
      </w:pPr>
      <w:r>
        <w:t>[HttpGet("demo/release-readiness")] defines the GET action route.</w:t>
      </w:r>
    </w:p>
    <w:p>
      <w:pPr>
        <w:pStyle w:val="ListBullet"/>
      </w:pPr>
      <w:r>
        <w:t>[ProducesResponseType] documents the successful response type.</w:t>
      </w:r>
    </w:p>
    <w:p>
      <w:pPr>
        <w:pStyle w:val="ListBullet"/>
      </w:pPr>
      <w:r>
        <w:t>[AllowAnonymous] permits this temporary demonstration endpoint without authentication.</w:t>
      </w:r>
    </w:p>
    <w:p>
      <w:pPr>
        <w:pStyle w:val="BodyText"/>
      </w:pPr>
      <w:r>
        <w:t>Trade-off: the demo endpoint uses in-memory sample data. A production endpoint must load an authorised request from persistence and return appropriate 404/403 results.</w:t>
      </w:r>
    </w:p>
    <w:p>
      <w:pPr>
        <w:pStyle w:val="Heading2"/>
      </w:pPr>
      <w:r>
        <w:t>11. Angular Feature Structure and Typed Contract</w:t>
      </w:r>
    </w:p>
    <w:p>
      <w:pPr/>
      <w:r>
        <w:t>The release-readiness code is grouped under src/app/features/release-readiness with models, services, and components folders. Feature grouping keeps related frontend code discoverable as the application grows.</w:t>
      </w:r>
    </w:p>
    <w:p>
      <w:pPr>
        <w:pStyle w:val="Heading3"/>
      </w:pPr>
      <w:r>
        <w:t>TypeScript interface</w:t>
      </w:r>
    </w:p>
    <w:p>
      <w:pPr/>
      <w:r>
        <w:t>ReleaseReadinessResponse describes the JSON shape at compile time. It improves editor assistance and catches incorrect property types or names during development.</w:t>
      </w:r>
    </w:p>
    <w:p>
      <w:pPr>
        <w:pStyle w:val="BodyText"/>
      </w:pPr>
      <w:r>
        <w:t>A TypeScript interface disappears at runtime. It does not validate untrusted JSON by itself; runtime validation may be added at high-trust boundaries.</w:t>
      </w:r>
    </w:p>
    <w:p>
      <w:pPr>
        <w:pStyle w:val="Heading2"/>
      </w:pPr>
      <w:r>
        <w:t>12. Angular Service, HttpClient, and Observable</w:t>
      </w:r>
    </w:p>
    <w:p>
      <w:pPr>
        <w:pStyle w:val="Heading3"/>
      </w:pPr>
      <w:r>
        <w:t>Angular service</w:t>
      </w:r>
    </w:p>
    <w:p>
      <w:pPr/>
      <w:r>
        <w:t>ReleaseReadinessService owns the endpoint and GET request so that the visual component does not construct URLs or perform HTTP operations directly.</w:t>
      </w:r>
    </w:p>
    <w:p>
      <w:pPr>
        <w:pStyle w:val="SourceCode"/>
      </w:pPr>
      <w:r>
        <w:t>getDemoReleaseReadiness(): Observable&lt;ReleaseReadinessResponse&gt; {</w:t>
        <w:br/>
        <w:t xml:space="preserve">  return this.http.get&lt;ReleaseReadinessResponse&gt;(this.endpoint);</w:t>
        <w:br/>
        <w:t>}</w:t>
      </w:r>
    </w:p>
    <w:p>
      <w:pPr>
        <w:pStyle w:val="Heading3"/>
      </w:pPr>
      <w:r>
        <w:t>Observable and view state</w:t>
      </w:r>
    </w:p>
    <w:p>
      <w:pPr/>
      <w:r>
        <w:t>HttpClient returns an Observable. The component maps the HTTP result into a view state representing loading, success, or error.</w:t>
      </w:r>
    </w:p>
    <w:p>
      <w:pPr>
        <w:pStyle w:val="ListBullet"/>
      </w:pPr>
      <w:r>
        <w:t>startWith supplies the initial loading state.</w:t>
      </w:r>
    </w:p>
    <w:p>
      <w:pPr>
        <w:pStyle w:val="ListBullet"/>
      </w:pPr>
      <w:r>
        <w:t>map converts the API response into the success view state.</w:t>
      </w:r>
    </w:p>
    <w:p>
      <w:pPr>
        <w:pStyle w:val="ListBullet"/>
      </w:pPr>
      <w:r>
        <w:t>catchError converts a failed request into a user-visible error state.</w:t>
      </w:r>
    </w:p>
    <w:p>
      <w:pPr>
        <w:pStyle w:val="ListBullet"/>
      </w:pPr>
      <w:r>
        <w:t>AsyncPipe subscribes in the template and manages unsubscription.</w:t>
      </w:r>
    </w:p>
    <w:p>
      <w:pPr>
        <w:pStyle w:val="BodyText"/>
      </w:pPr>
      <w:r>
        <w:t>Memory line:</w:t>
      </w:r>
    </w:p>
    <w:p>
      <w:pPr>
        <w:pStyle w:val="SourceCode"/>
      </w:pPr>
      <w:r>
        <w:t>Service requests data; component presents data.</w:t>
      </w:r>
    </w:p>
    <w:p>
      <w:pPr>
        <w:pStyle w:val="Heading2"/>
      </w:pPr>
      <w:r>
        <w:t>13. Angular Component and Template Control Flow</w:t>
      </w:r>
    </w:p>
    <w:p>
      <w:pPr>
        <w:pStyle w:val="Heading3"/>
      </w:pPr>
      <w:r>
        <w:t>Standalone child component</w:t>
      </w:r>
    </w:p>
    <w:p>
      <w:pPr/>
      <w:r>
        <w:t>ReleaseReadinessCardComponent is imported by AppComponent and owns its TypeScript behaviour, HTML template, and scoped SCSS styling.</w:t>
      </w:r>
    </w:p>
    <w:p>
      <w:pPr>
        <w:pStyle w:val="Heading3"/>
      </w:pPr>
      <w:r>
        <w:t>Template features used</w:t>
      </w:r>
    </w:p>
    <w:p>
      <w:pPr>
        <w:pStyle w:val="ListBullet"/>
      </w:pPr>
      <w:r>
        <w:t>Interpolation displays values such as {{ request.score }}.</w:t>
      </w:r>
    </w:p>
    <w:p>
      <w:pPr>
        <w:pStyle w:val="ListBullet"/>
      </w:pPr>
      <w:r>
        <w:t>Property/class binding applies blocked styles from request.isBlocked.</w:t>
      </w:r>
    </w:p>
    <w:p>
      <w:pPr>
        <w:pStyle w:val="ListBullet"/>
      </w:pPr>
      <w:r>
        <w:t>@if selects loading, error, success, and all-clear sections.</w:t>
      </w:r>
    </w:p>
    <w:p>
      <w:pPr>
        <w:pStyle w:val="ListBullet"/>
      </w:pPr>
      <w:r>
        <w:t>@for renders each blocker from the blockers collection.</w:t>
      </w:r>
    </w:p>
    <w:p>
      <w:pPr>
        <w:pStyle w:val="Heading3"/>
      </w:pPr>
      <w:r>
        <w:t>OnPush change detection</w:t>
      </w:r>
    </w:p>
    <w:p>
      <w:pPr/>
      <w:r>
        <w:t>OnPush reduces unnecessary checks when component state changes predictably. Observable emissions consumed by AsyncPipe notify Angular when the template requires an update.</w:t>
      </w:r>
    </w:p>
    <w:p>
      <w:pPr>
        <w:pStyle w:val="Heading2"/>
      </w:pPr>
      <w:r>
        <w:t>14. Environment Configuration, Origins, and HTTPS</w:t>
      </w:r>
    </w:p>
    <w:p>
      <w:pPr/>
      <w:r>
        <w:t>The Angular development environment now points to the actual HTTPS API address:</w:t>
      </w:r>
    </w:p>
    <w:p>
      <w:pPr>
        <w:pStyle w:val="SourceCode"/>
      </w:pPr>
      <w:r>
        <w:t>apiBaseUrl: 'https://localhost:7110/api'</w:t>
      </w:r>
    </w:p>
    <w:p>
      <w:pPr/>
      <w:r>
        <w:t>Angular runs from http://localhost:4200. The scheme, host, and port together form an origin. Because the Angular and API origins differ, the API CORS policy permits the Angular development origin.</w:t>
      </w:r>
    </w:p>
    <w:p>
      <w:pPr>
        <w:pStyle w:val="BodyText"/>
      </w:pPr>
      <w:r>
        <w:t>Environment values are compiled into browser-delivered JavaScript. They may contain public configuration such as a base URL, but never passwords, connection strings, signing keys, private API keys, or client secrets.</w:t>
      </w:r>
    </w:p>
    <w:p>
      <w:pPr>
        <w:pStyle w:val="BodyText"/>
      </w:pPr>
      <w:r>
        <w:t>Memory line:</w:t>
      </w:r>
    </w:p>
    <w:p>
      <w:pPr>
        <w:pStyle w:val="SourceCode"/>
      </w:pPr>
      <w:r>
        <w:t>Origin = Scheme + Host + Port.</w:t>
      </w:r>
    </w:p>
    <w:p>
      <w:pPr>
        <w:pStyle w:val="Heading2"/>
      </w:pPr>
      <w:r>
        <w:t>15. Testing Strategy</w:t>
      </w:r>
    </w:p>
    <w:p>
      <w:pPr>
        <w:pStyle w:val="Heading3"/>
      </w:pPr>
      <w:r>
        <w:t>xUnit and AAA</w:t>
      </w:r>
    </w:p>
    <w:p>
      <w:pPr/>
      <w:r>
        <w:t>Domain tests follow Arrange, Act, Assert. They create a request, execute AssessReleaseReadiness(), and verify score, blockers, and workflow eligibility.</w:t>
      </w:r>
    </w:p>
    <w:p>
      <w:pPr>
        <w:pStyle w:val="ListBullet"/>
      </w:pPr>
      <w:r>
        <w:t>Both artifacts missing produces score 45 and two blockers.</w:t>
      </w:r>
    </w:p>
    <w:p>
      <w:pPr>
        <w:pStyle w:val="ListBullet"/>
      </w:pPr>
      <w:r>
        <w:t>Only rollback plan missing produces score 75.</w:t>
      </w:r>
    </w:p>
    <w:p>
      <w:pPr>
        <w:pStyle w:val="ListBullet"/>
      </w:pPr>
      <w:r>
        <w:t>All mandatory artifacts present produces score 100 and allows approval.</w:t>
      </w:r>
    </w:p>
    <w:p>
      <w:pPr>
        <w:pStyle w:val="ListBullet"/>
      </w:pPr>
      <w:r>
        <w:t>A request outside QA Testing remains blocked even with score 100.</w:t>
      </w:r>
    </w:p>
    <w:p>
      <w:pPr>
        <w:pStyle w:val="Heading3"/>
      </w:pPr>
      <w:r>
        <w:t>Red-Green-Refactor demonstration</w:t>
      </w:r>
    </w:p>
    <w:p>
      <w:pPr/>
      <w:r>
        <w:t>The QA-evidence penalty was intentionally changed from 30 to 20. Compilation succeeded, but the test failed with Expected 45 and Actual 55. Restoring 30 returned the suite to green.</w:t>
      </w:r>
    </w:p>
    <w:p>
      <w:pPr>
        <w:pStyle w:val="BodyText"/>
      </w:pPr>
      <w:r>
        <w:t>Memory line:</w:t>
      </w:r>
    </w:p>
    <w:p>
      <w:pPr>
        <w:pStyle w:val="SourceCode"/>
      </w:pPr>
      <w:r>
        <w:t>Compilation checks code validity; tests check expected behaviour.</w:t>
      </w:r>
    </w:p>
    <w:p>
      <w:pPr>
        <w:pStyle w:val="Heading3"/>
      </w:pPr>
      <w:r>
        <w:t>Angular HTTP service test</w:t>
      </w:r>
    </w:p>
    <w:p>
      <w:pPr/>
      <w:r>
        <w:t>HttpTestingController verifies the exact GET URL and method, then flushes a controlled response. No real API process is required.</w:t>
      </w:r>
    </w:p>
    <w:p>
      <w:pPr>
        <w:pStyle w:val="Heading3"/>
      </w:pPr>
      <w:r>
        <w:t>Angular component test</w:t>
      </w:r>
    </w:p>
    <w:p>
      <w:pPr/>
      <w:r>
        <w:t>The test replaces ReleaseReadinessService with a fake returning of(response). It verifies CG-101, 45%, RELEASE BLOCKED, both blocker messages, the blocked CSS class, and two rendered list items.</w:t>
      </w:r>
    </w:p>
    <w:p>
      <w:pPr>
        <w:pStyle w:val="Heading2"/>
      </w:pPr>
      <w:r>
        <w:t>16. Test, Build, and Runtime Evidence</w:t>
      </w:r>
    </w:p>
    <w:tbl>
      <w:tblPr>
        <w:tblStyle w:val="TableGrid"/>
        <w:tblW w:type="dxa" w:w="9866"/>
        <w:jc w:val="left"/>
        <w:tblLayout w:type="fixed"/>
        <w:tblLook w:firstColumn="1" w:firstRow="1" w:lastColumn="0" w:lastRow="0" w:noHBand="0" w:noVBand="1" w:val="04A0"/>
        <w:tblInd w:type="dxa" w:w="120"/>
      </w:tblPr>
      <w:tblGrid>
        <w:gridCol w:w="2376"/>
        <w:gridCol w:w="1944"/>
        <w:gridCol w:w="5546"/>
      </w:tblGrid>
      <w:tr>
        <w:trPr>
          <w:tblHeader w:val="true"/>
        </w:trPr>
        <w:tc>
          <w:tcPr>
            <w:tcW w:type="dxa" w:w="2376"/>
            <w:vAlign w:val="center"/>
            <w:shd w:fill="1F4E78"/>
            <w:tcMar>
              <w:top w:w="100" w:type="dxa"/>
              <w:bottom w:w="100" w:type="dxa"/>
              <w:start w:w="120" w:type="dxa"/>
              <w:end w:w="120" w:type="dxa"/>
            </w:tcMar>
          </w:tcPr>
          <w:p>
            <w:pPr>
              <w:spacing w:after="0" w:line="252" w:lineRule="auto"/>
            </w:pPr>
            <w:r/>
            <w:r>
              <w:rPr>
                <w:rFonts w:ascii="Aptos" w:hAnsi="Aptos"/>
                <w:b/>
                <w:color w:val="FFFFFF"/>
                <w:sz w:val="18"/>
              </w:rPr>
              <w:t>Verification</w:t>
            </w:r>
          </w:p>
        </w:tc>
        <w:tc>
          <w:tcPr>
            <w:tcW w:type="dxa" w:w="1944"/>
            <w:vAlign w:val="center"/>
            <w:shd w:fill="1F4E78"/>
            <w:tcMar>
              <w:top w:w="100" w:type="dxa"/>
              <w:bottom w:w="100" w:type="dxa"/>
              <w:start w:w="120" w:type="dxa"/>
              <w:end w:w="120" w:type="dxa"/>
            </w:tcMar>
          </w:tcPr>
          <w:p>
            <w:pPr>
              <w:spacing w:after="0" w:line="252" w:lineRule="auto"/>
            </w:pPr>
            <w:r/>
            <w:r>
              <w:rPr>
                <w:rFonts w:ascii="Aptos" w:hAnsi="Aptos"/>
                <w:b/>
                <w:color w:val="FFFFFF"/>
                <w:sz w:val="18"/>
              </w:rPr>
              <w:t>Result</w:t>
            </w:r>
          </w:p>
        </w:tc>
        <w:tc>
          <w:tcPr>
            <w:tcW w:type="dxa" w:w="5546"/>
            <w:vAlign w:val="center"/>
            <w:shd w:fill="1F4E78"/>
            <w:tcMar>
              <w:top w:w="100" w:type="dxa"/>
              <w:bottom w:w="100" w:type="dxa"/>
              <w:start w:w="120" w:type="dxa"/>
              <w:end w:w="120" w:type="dxa"/>
            </w:tcMar>
          </w:tcPr>
          <w:p>
            <w:pPr>
              <w:spacing w:after="0" w:line="252" w:lineRule="auto"/>
            </w:pPr>
            <w:r/>
            <w:r>
              <w:rPr>
                <w:rFonts w:ascii="Aptos" w:hAnsi="Aptos"/>
                <w:b/>
                <w:color w:val="FFFFFF"/>
                <w:sz w:val="18"/>
              </w:rPr>
              <w:t>What it proved</w:t>
            </w:r>
          </w:p>
        </w:tc>
      </w:tr>
      <w:tr>
        <w:trPr/>
        <w:tc>
          <w:tcPr>
            <w:tcW w:type="dxa" w:w="2376"/>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Backend xUnit suite</w:t>
            </w:r>
          </w:p>
        </w:tc>
        <w:tc>
          <w:tcPr>
            <w:tcW w:type="dxa" w:w="1944"/>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5 passed, 0 failed</w:t>
            </w:r>
          </w:p>
        </w:tc>
        <w:tc>
          <w:tcPr>
            <w:tcW w:type="dxa" w:w="5546"/>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Domain readiness rules plus existing health controller</w:t>
            </w:r>
          </w:p>
        </w:tc>
      </w:tr>
      <w:tr>
        <w:trPr/>
        <w:tc>
          <w:tcPr>
            <w:tcW w:type="dxa" w:w="2376"/>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Angular unit suite</w:t>
            </w:r>
          </w:p>
        </w:tc>
        <w:tc>
          <w:tcPr>
            <w:tcW w:type="dxa" w:w="1944"/>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5 passed, 0 failed</w:t>
            </w:r>
          </w:p>
        </w:tc>
        <w:tc>
          <w:tcPr>
            <w:tcW w:type="dxa" w:w="5546"/>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Health service/root component plus new service/card</w:t>
            </w:r>
          </w:p>
        </w:tc>
      </w:tr>
      <w:tr>
        <w:trPr/>
        <w:tc>
          <w:tcPr>
            <w:tcW w:type="dxa" w:w="2376"/>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Angular production build</w:t>
            </w:r>
          </w:p>
        </w:tc>
        <w:tc>
          <w:tcPr>
            <w:tcW w:type="dxa" w:w="1944"/>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Succeeded</w:t>
            </w:r>
          </w:p>
        </w:tc>
        <w:tc>
          <w:tcPr>
            <w:tcW w:type="dxa" w:w="5546"/>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Complete frontend compilation</w:t>
            </w:r>
          </w:p>
        </w:tc>
      </w:tr>
      <w:tr>
        <w:trPr/>
        <w:tc>
          <w:tcPr>
            <w:tcW w:type="dxa" w:w="2376"/>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ASP.NET Core build</w:t>
            </w:r>
          </w:p>
        </w:tc>
        <w:tc>
          <w:tcPr>
            <w:tcW w:type="dxa" w:w="1944"/>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0 failed</w:t>
            </w:r>
          </w:p>
        </w:tc>
        <w:tc>
          <w:tcPr>
            <w:tcW w:type="dxa" w:w="5546"/>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All five .NET projects compile</w:t>
            </w:r>
          </w:p>
        </w:tc>
      </w:tr>
      <w:tr>
        <w:trPr/>
        <w:tc>
          <w:tcPr>
            <w:tcW w:type="dxa" w:w="2376"/>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API verification</w:t>
            </w:r>
          </w:p>
        </w:tc>
        <w:tc>
          <w:tcPr>
            <w:tcW w:type="dxa" w:w="1944"/>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Expected JSON</w:t>
            </w:r>
          </w:p>
        </w:tc>
        <w:tc>
          <w:tcPr>
            <w:tcW w:type="dxa" w:w="5546"/>
            <w:vAlign w:val="center"/>
            <w:shd w:fill="FFFFFF"/>
            <w:tcMar>
              <w:top w:w="100" w:type="dxa"/>
              <w:bottom w:w="100" w:type="dxa"/>
              <w:start w:w="120" w:type="dxa"/>
              <w:end w:w="120" w:type="dxa"/>
            </w:tcMar>
          </w:tcPr>
          <w:p>
            <w:pPr>
              <w:spacing w:after="0" w:line="252" w:lineRule="auto"/>
            </w:pPr>
            <w:r/>
            <w:r>
              <w:rPr>
                <w:rFonts w:ascii="Aptos" w:hAnsi="Aptos"/>
                <w:b w:val="0"/>
                <w:color w:val="20242A"/>
                <w:sz w:val="18"/>
              </w:rPr>
              <w:t>Controller, DI, Application, and Domain integration</w:t>
            </w:r>
          </w:p>
        </w:tc>
      </w:tr>
      <w:tr>
        <w:trPr/>
        <w:tc>
          <w:tcPr>
            <w:tcW w:type="dxa" w:w="2376"/>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Browser verification</w:t>
            </w:r>
          </w:p>
        </w:tc>
        <w:tc>
          <w:tcPr>
            <w:tcW w:type="dxa" w:w="1944"/>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Healthy + 45% blocked card</w:t>
            </w:r>
          </w:p>
        </w:tc>
        <w:tc>
          <w:tcPr>
            <w:tcW w:type="dxa" w:w="5546"/>
            <w:vAlign w:val="center"/>
            <w:shd w:fill="F2F4F7"/>
            <w:tcMar>
              <w:top w:w="100" w:type="dxa"/>
              <w:bottom w:w="100" w:type="dxa"/>
              <w:start w:w="120" w:type="dxa"/>
              <w:end w:w="120" w:type="dxa"/>
            </w:tcMar>
          </w:tcPr>
          <w:p>
            <w:pPr>
              <w:spacing w:after="0" w:line="252" w:lineRule="auto"/>
            </w:pPr>
            <w:r/>
            <w:r>
              <w:rPr>
                <w:rFonts w:ascii="Aptos" w:hAnsi="Aptos"/>
                <w:b w:val="0"/>
                <w:color w:val="20242A"/>
                <w:sz w:val="18"/>
              </w:rPr>
              <w:t>Real Angular-to-API vertical slice</w:t>
            </w:r>
          </w:p>
        </w:tc>
      </w:tr>
    </w:tbl>
    <w:p>
      <w:pPr>
        <w:spacing w:after="40"/>
      </w:pPr>
    </w:p>
    <w:p>
      <w:pPr>
        <w:pStyle w:val="Heading2"/>
      </w:pPr>
      <w:r>
        <w:t>17. Troubleshooting Lesson: HTTP on an HTTPS Port</w:t>
      </w:r>
    </w:p>
    <w:p>
      <w:pPr/>
      <w:r>
        <w:rPr>
          <w:b/>
        </w:rPr>
        <w:t xml:space="preserve">Symptom: </w:t>
      </w:r>
      <w:r>
        <w:t>Both Angular cards displayed connection errors although the API URLs returned expected JSON when opened directly.</w:t>
      </w:r>
    </w:p>
    <w:p>
      <w:pPr/>
      <w:r>
        <w:rPr>
          <w:b/>
        </w:rPr>
        <w:t xml:space="preserve">Evidence: </w:t>
      </w:r>
      <w:r>
        <w:t>Browser DevTools showed requests to http://localhost:7110 with net::ERR_EMPTY_RESPONSE.</w:t>
      </w:r>
    </w:p>
    <w:p>
      <w:pPr/>
      <w:r>
        <w:rPr>
          <w:b/>
        </w:rPr>
        <w:t xml:space="preserve">Root cause: </w:t>
      </w:r>
      <w:r>
        <w:t>Port 7110 was listening for HTTPS, but Angular used the HTTP scheme. The server closed the invalid protocol connection.</w:t>
      </w:r>
    </w:p>
    <w:p>
      <w:pPr/>
      <w:r>
        <w:rPr>
          <w:b/>
        </w:rPr>
        <w:t xml:space="preserve">Fix: </w:t>
      </w:r>
      <w:r>
        <w:t>Changed environment.development.ts to https://localhost:7110/api and restarted/refreshed Angular.</w:t>
      </w:r>
    </w:p>
    <w:p>
      <w:pPr/>
      <w:r>
        <w:rPr>
          <w:b/>
        </w:rPr>
        <w:t xml:space="preserve">Verification: </w:t>
      </w:r>
      <w:r>
        <w:t>Network requests used HTTPS, Platform Status displayed Healthy, and the release card displayed 45% and both blockers.</w:t>
      </w:r>
    </w:p>
    <w:p>
      <w:pPr/>
      <w:r>
        <w:rPr>
          <w:b/>
        </w:rPr>
        <w:t xml:space="preserve">Prevention: </w:t>
      </w:r>
      <w:r>
        <w:t>Treat scheme, host, and port as one configuration unit; verify the API listening addresses before updating the frontend.</w:t>
      </w:r>
    </w:p>
    <w:p>
      <w:pPr>
        <w:pStyle w:val="Heading2"/>
      </w:pPr>
      <w:r>
        <w:t>18. Security, Performance, and Reliability Notes</w:t>
      </w:r>
    </w:p>
    <w:p>
      <w:pPr>
        <w:pStyle w:val="Heading3"/>
      </w:pPr>
      <w:r>
        <w:t>Security</w:t>
      </w:r>
    </w:p>
    <w:p>
      <w:pPr>
        <w:pStyle w:val="ListBullet"/>
      </w:pPr>
      <w:r>
        <w:t>The demo endpoint is anonymous only for the learning slice; production change data requires authentication and role-based authorisation.</w:t>
      </w:r>
    </w:p>
    <w:p>
      <w:pPr>
        <w:pStyle w:val="ListBullet"/>
      </w:pPr>
      <w:r>
        <w:t>CORS controls browser origins; it does not authenticate users or grant business permissions.</w:t>
      </w:r>
    </w:p>
    <w:p>
      <w:pPr>
        <w:pStyle w:val="ListBullet"/>
      </w:pPr>
      <w:r>
        <w:t>No secrets were introduced into Angular environment files.</w:t>
      </w:r>
    </w:p>
    <w:p>
      <w:pPr>
        <w:pStyle w:val="ListBullet"/>
      </w:pPr>
      <w:r>
        <w:t>HTTPS is used for local API calls after trusting the development certificate.</w:t>
      </w:r>
    </w:p>
    <w:p>
      <w:pPr>
        <w:pStyle w:val="Heading3"/>
      </w:pPr>
      <w:r>
        <w:t>Performance and reliability</w:t>
      </w:r>
    </w:p>
    <w:p>
      <w:pPr>
        <w:pStyle w:val="ListBullet"/>
      </w:pPr>
      <w:r>
        <w:t>Derived readiness is currently a small in-memory calculation; no performance claim was made without measurement.</w:t>
      </w:r>
    </w:p>
    <w:p>
      <w:pPr>
        <w:pStyle w:val="ListBullet"/>
      </w:pPr>
      <w:r>
        <w:t>OnPush and AsyncPipe support predictable Angular rendering and subscription cleanup.</w:t>
      </w:r>
    </w:p>
    <w:p>
      <w:pPr>
        <w:pStyle w:val="ListBullet"/>
      </w:pPr>
      <w:r>
        <w:t>The Application method remains synchronous because no I/O exists yet.</w:t>
      </w:r>
    </w:p>
    <w:p>
      <w:pPr>
        <w:pStyle w:val="ListBullet"/>
      </w:pPr>
      <w:r>
        <w:t>The UI presents an explicit error state rather than failing silently.</w:t>
      </w:r>
    </w:p>
    <w:p>
      <w:pPr>
        <w:pStyle w:val="Heading2"/>
      </w:pPr>
      <w:r>
        <w:t>19. Implemented, Reviewed, and Planned</w:t>
      </w:r>
    </w:p>
    <w:p>
      <w:pPr>
        <w:pStyle w:val="Heading3"/>
      </w:pPr>
      <w:r>
        <w:t>Implemented and verified</w:t>
      </w:r>
    </w:p>
    <w:p>
      <w:pPr>
        <w:pStyle w:val="ListBullet"/>
      </w:pPr>
      <w:r>
        <w:t>Feature branch feature/release-readiness.</w:t>
      </w:r>
    </w:p>
    <w:p>
      <w:pPr>
        <w:pStyle w:val="ListBullet"/>
      </w:pPr>
      <w:r>
        <w:t>Priority and workflow-status enums.</w:t>
      </w:r>
    </w:p>
    <w:p>
      <w:pPr>
        <w:pStyle w:val="ListBullet"/>
      </w:pPr>
      <w:r>
        <w:t>ChangeRequest entity with encapsulated evidence state.</w:t>
      </w:r>
    </w:p>
    <w:p>
      <w:pPr>
        <w:pStyle w:val="ListBullet"/>
      </w:pPr>
      <w:r>
        <w:t>Readiness score, blocker explanations, and release gate.</w:t>
      </w:r>
    </w:p>
    <w:p>
      <w:pPr>
        <w:pStyle w:val="ListBullet"/>
      </w:pPr>
      <w:r>
        <w:t>Application DTO, interface, and demo service.</w:t>
      </w:r>
    </w:p>
    <w:p>
      <w:pPr>
        <w:pStyle w:val="ListBullet"/>
      </w:pPr>
      <w:r>
        <w:t>Scoped DI registration and typed API endpoint.</w:t>
      </w:r>
    </w:p>
    <w:p>
      <w:pPr>
        <w:pStyle w:val="ListBullet"/>
      </w:pPr>
      <w:r>
        <w:t>Angular feature model, service, card, loading/error states, and styling.</w:t>
      </w:r>
    </w:p>
    <w:p>
      <w:pPr>
        <w:pStyle w:val="ListBullet"/>
      </w:pPr>
      <w:r>
        <w:t>Five backend tests and five Angular tests passing.</w:t>
      </w:r>
    </w:p>
    <w:p>
      <w:pPr>
        <w:pStyle w:val="ListBullet"/>
      </w:pPr>
      <w:r>
        <w:t>Real browser-to-API verification over HTTPS.</w:t>
      </w:r>
    </w:p>
    <w:p>
      <w:pPr>
        <w:pStyle w:val="Heading3"/>
      </w:pPr>
      <w:r>
        <w:t>Reviewed but not implemented</w:t>
      </w:r>
    </w:p>
    <w:p>
      <w:pPr>
        <w:pStyle w:val="ListBullet"/>
      </w:pPr>
      <w:r>
        <w:t>Database repository and EF Core persistence.</w:t>
      </w:r>
    </w:p>
    <w:p>
      <w:pPr>
        <w:pStyle w:val="ListBullet"/>
      </w:pPr>
      <w:r>
        <w:t>Authenticated user and role enforcement.</w:t>
      </w:r>
    </w:p>
    <w:p>
      <w:pPr>
        <w:pStyle w:val="ListBullet"/>
      </w:pPr>
      <w:r>
        <w:t>Actual workflow-transition command and audit record.</w:t>
      </w:r>
    </w:p>
    <w:p>
      <w:pPr>
        <w:pStyle w:val="ListBullet"/>
      </w:pPr>
      <w:r>
        <w:t>Uploaded QA evidence and rollback-plan documents.</w:t>
      </w:r>
    </w:p>
    <w:p>
      <w:pPr>
        <w:pStyle w:val="ListBullet"/>
      </w:pPr>
      <w:r>
        <w:t>Configurable scoring weights.</w:t>
      </w:r>
    </w:p>
    <w:p>
      <w:pPr>
        <w:pStyle w:val="Heading3"/>
      </w:pPr>
      <w:r>
        <w:t>Planned next</w:t>
      </w:r>
    </w:p>
    <w:p>
      <w:pPr/>
      <w:r>
        <w:t>Persist change requests and readiness facts, then implement controlled workflow transitions with audit history. The demo service will be replaced behind IReleaseReadinessService without changing the controller contract.</w:t>
      </w:r>
    </w:p>
    <w:p>
      <w:pPr>
        <w:pStyle w:val="Heading2"/>
      </w:pPr>
      <w:r>
        <w:t>20. Interview Questions and Answers</w:t>
      </w:r>
    </w:p>
    <w:p>
      <w:pPr>
        <w:pStyle w:val="Heading3"/>
      </w:pPr>
      <w:r>
        <w:t>Q1. Why are score and blockers calculated instead of stored?</w:t>
      </w:r>
    </w:p>
    <w:p>
      <w:pPr/>
      <w:r>
        <w:t>The evidence flags are source facts, while score and blockers are derived decisions. Calculating them from the current facts avoids stale or contradictory stored values and keeps one source of truth.</w:t>
      </w:r>
    </w:p>
    <w:p>
      <w:pPr>
        <w:pStyle w:val="Heading3"/>
      </w:pPr>
      <w:r>
        <w:t>Q2. What is the difference between status and blocker?</w:t>
      </w:r>
    </w:p>
    <w:p>
      <w:pPr/>
      <w:r>
        <w:t>Status identifies the current workflow stage. A blocker explains why the request cannot advance. CG-101 is in QA Testing but blocked because mandatory artifacts are missing.</w:t>
      </w:r>
    </w:p>
    <w:p>
      <w:pPr>
        <w:pStyle w:val="Heading3"/>
      </w:pPr>
      <w:r>
        <w:t>Q3. Why use private setters?</w:t>
      </w:r>
    </w:p>
    <w:p>
      <w:pPr/>
      <w:r>
        <w:t>The properties remain readable, but outside code cannot change them arbitrarily. Callers use meaningful domain methods, allowing validation, auditing, and future domain events to remain inside the entity.</w:t>
      </w:r>
    </w:p>
    <w:p>
      <w:pPr>
        <w:pStyle w:val="Heading3"/>
      </w:pPr>
      <w:r>
        <w:t>Q4. Why is the business rule in Domain rather than the controller?</w:t>
      </w:r>
    </w:p>
    <w:p>
      <w:pPr/>
      <w:r>
        <w:t>The rule must remain consistent regardless of whether it is triggered through HTTP, a background job, or a future message consumer. The controller should translate HTTP concerns and delegate business decisions.</w:t>
      </w:r>
    </w:p>
    <w:p>
      <w:pPr>
        <w:pStyle w:val="Heading3"/>
      </w:pPr>
      <w:r>
        <w:t>Q5. What did dependency inversion change?</w:t>
      </w:r>
    </w:p>
    <w:p>
      <w:pPr/>
      <w:r>
        <w:t>The controller now depends on IReleaseReadinessService rather than constructing a concrete demo service. Program.cs supplies the implementation, improving replacement and testability.</w:t>
      </w:r>
    </w:p>
    <w:p>
      <w:pPr>
        <w:pStyle w:val="Heading3"/>
      </w:pPr>
      <w:r>
        <w:t>Q6. Why use Scoped lifetime?</w:t>
      </w:r>
    </w:p>
    <w:p>
      <w:pPr/>
      <w:r>
        <w:t>Scoped gives one application-service instance per HTTP request and aligns with a future scoped EF Core DbContext. The current stateless service could technically be transient, but scoped supports the expected request unit of work.</w:t>
      </w:r>
    </w:p>
    <w:p>
      <w:pPr>
        <w:pStyle w:val="Heading3"/>
      </w:pPr>
      <w:r>
        <w:t>Q7. Why is the Application method not async?</w:t>
      </w:r>
    </w:p>
    <w:p>
      <w:pPr/>
      <w:r>
        <w:t>It performs no asynchronous I/O. Async should be introduced when the service awaits a database or external call, not merely to make a method look modern.</w:t>
      </w:r>
    </w:p>
    <w:p>
      <w:pPr>
        <w:pStyle w:val="Heading3"/>
      </w:pPr>
      <w:r>
        <w:t>Q8. What does HttpTestingController verify?</w:t>
      </w:r>
    </w:p>
    <w:p>
      <w:pPr/>
      <w:r>
        <w:t>It intercepts Angular HTTP requests, verifies the expected URL and method, returns controlled data, and ensures no unexpected request remains outstanding.</w:t>
      </w:r>
    </w:p>
    <w:p>
      <w:pPr>
        <w:pStyle w:val="Heading3"/>
      </w:pPr>
      <w:r>
        <w:t>Q9. Why did compilation pass when the readiness score was wrong?</w:t>
      </w:r>
    </w:p>
    <w:p>
      <w:pPr/>
      <w:r>
        <w:t>The code was syntactically valid and type-correct. The compiler does not know that the approved business result is 45; the unit test provides that behavioural expectation.</w:t>
      </w:r>
    </w:p>
    <w:p>
      <w:pPr>
        <w:pStyle w:val="Heading3"/>
      </w:pPr>
      <w:r>
        <w:t>Q10. What caused ERR_EMPTY_RESPONSE?</w:t>
      </w:r>
    </w:p>
    <w:p>
      <w:pPr/>
      <w:r>
        <w:t>Angular sent plain HTTP to port 7110, which was configured for HTTPS. Matching the scheme with the API listening address fixed the connection.</w:t>
      </w:r>
    </w:p>
    <w:p>
      <w:pPr>
        <w:pStyle w:val="Heading3"/>
      </w:pPr>
      <w:r>
        <w:t>Q11. How do @if and @for help the component?</w:t>
      </w:r>
    </w:p>
    <w:p>
      <w:pPr/>
      <w:r>
        <w:t>@if selects loading, error, success, and all-clear sections. @for renders the blocker collection without manually creating DOM elements.</w:t>
      </w:r>
    </w:p>
    <w:p>
      <w:pPr>
        <w:pStyle w:val="Heading3"/>
      </w:pPr>
      <w:r>
        <w:t>Q12. What does the current vertical slice not prove?</w:t>
      </w:r>
    </w:p>
    <w:p>
      <w:pPr/>
      <w:r>
        <w:t>It does not prove persistence, authentication, authorisation, actual file upload, concurrent workflow transitions, production deployment, or end-to-end browser automation.</w:t>
      </w:r>
    </w:p>
    <w:p>
      <w:pPr>
        <w:pStyle w:val="Heading2"/>
      </w:pPr>
      <w:r>
        <w:t>21. Ninety-Second Project Explanation</w:t>
      </w:r>
    </w:p>
    <w:p>
      <w:pPr/>
      <w:r>
        <w:t>On Day 2, I implemented ChangeGuard's first business vertical slice: release-readiness assessment. A ChangeRequest entity contains controlled priority and status values and encapsulates evidence state. The Domain calculates a readiness result instead of storing duplicated score and blocker fields. For CG-101, missing QA evidence and rollback plan reduce the score from 100 to 45 and block release approval. The Application layer orchestrates the use case and maps it to a DTO, while the ASP.NET Core controller depends on an injected interface. Angular calls the HTTPS endpoint through a typed service and renders loading, error, score, decision, and blocker states in a standalone component. I protected the rules with xUnit and Angular tests, including a red-green experiment where an incorrect penalty produced the expected test failure. I also diagnosed an HTTP-versus-HTTPS port mismatch using browser DevTools. Persistence and authentication remain planned and are not claimed as completed.</w:t>
      </w:r>
    </w:p>
    <w:p>
      <w:pPr>
        <w:pStyle w:val="Heading2"/>
      </w:pPr>
      <w:r>
        <w:t>22. Client Status Update</w:t>
      </w:r>
    </w:p>
    <w:p>
      <w:pPr/>
      <w:r>
        <w:t>Completed: the release-readiness proof of concept now evaluates CG-101 and displays a 45% blocked decision with clear reasons. Evidence: five backend tests and five Angular tests pass, both applications build, the API returns typed JSON, and the browser displays the live result. Current limitation: the request is demo data and is not yet persisted or secured. Next action: add persistence and a controlled workflow-transition use case with audit history.</w:t>
      </w:r>
    </w:p>
    <w:p>
      <w:pPr>
        <w:pStyle w:val="Heading2"/>
      </w:pPr>
      <w:r>
        <w:t>23. Fifteen-Minute Revision Routine</w:t>
      </w:r>
    </w:p>
    <w:p>
      <w:pPr>
        <w:pStyle w:val="ListNumber"/>
      </w:pPr>
      <w:r>
        <w:t>Minutes 1-2: Explain the business scenario, score, and two mandatory blockers.</w:t>
      </w:r>
    </w:p>
    <w:p>
      <w:pPr>
        <w:pStyle w:val="ListNumber"/>
      </w:pPr>
      <w:r>
        <w:t>Minutes 3-5: Draw the Domain -&gt; Application -&gt; API -&gt; Angular dependency flow.</w:t>
      </w:r>
    </w:p>
    <w:p>
      <w:pPr>
        <w:pStyle w:val="ListNumber"/>
      </w:pPr>
      <w:r>
        <w:t>Minutes 6-8: Explain entity, encapsulation, derived data, and status versus blocker.</w:t>
      </w:r>
    </w:p>
    <w:p>
      <w:pPr>
        <w:pStyle w:val="ListNumber"/>
      </w:pPr>
      <w:r>
        <w:t>Minutes 9-11: Explain DI, Scoped lifetime, DTO, controller routing, and why the method is synchronous.</w:t>
      </w:r>
    </w:p>
    <w:p>
      <w:pPr>
        <w:pStyle w:val="ListNumber"/>
      </w:pPr>
      <w:r>
        <w:t>Minutes 12-13: Explain Observable, AsyncPipe, @if, @for, and OnPush.</w:t>
      </w:r>
    </w:p>
    <w:p>
      <w:pPr>
        <w:pStyle w:val="ListNumber"/>
      </w:pPr>
      <w:r>
        <w:t>Minute 14: Explain xUnit, HttpTestingController, component fake, and Red-Green-Refactor.</w:t>
      </w:r>
    </w:p>
    <w:p>
      <w:pPr>
        <w:pStyle w:val="ListNumber"/>
      </w:pPr>
      <w:r>
        <w:t>Minute 15: State what is implemented versus still planned.</w:t>
      </w:r>
    </w:p>
    <w:p>
      <w:pPr>
        <w:pStyle w:val="Heading2"/>
      </w:pPr>
      <w:r>
        <w:t>24. End-of-Day Checklist</w:t>
      </w:r>
    </w:p>
    <w:p>
      <w:pPr>
        <w:pStyle w:val="ListBullet"/>
      </w:pPr>
      <w:r>
        <w:t>Business rule and scoring policy documented.</w:t>
      </w:r>
    </w:p>
    <w:p>
      <w:pPr>
        <w:pStyle w:val="ListBullet"/>
      </w:pPr>
      <w:r>
        <w:t>Domain vocabulary and entity behaviour implemented.</w:t>
      </w:r>
    </w:p>
    <w:p>
      <w:pPr>
        <w:pStyle w:val="ListBullet"/>
      </w:pPr>
      <w:r>
        <w:t>Application and API boundaries implemented.</w:t>
      </w:r>
    </w:p>
    <w:p>
      <w:pPr>
        <w:pStyle w:val="ListBullet"/>
      </w:pPr>
      <w:r>
        <w:t>Angular Mission Control card implemented.</w:t>
      </w:r>
    </w:p>
    <w:p>
      <w:pPr>
        <w:pStyle w:val="ListBullet"/>
      </w:pPr>
      <w:r>
        <w:t>Backend and Angular tests passing.</w:t>
      </w:r>
    </w:p>
    <w:p>
      <w:pPr>
        <w:pStyle w:val="ListBullet"/>
      </w:pPr>
      <w:r>
        <w:t>Real HTTPS browser flow verified.</w:t>
      </w:r>
    </w:p>
    <w:p>
      <w:pPr>
        <w:pStyle w:val="ListBullet"/>
      </w:pPr>
      <w:r>
        <w:t>Protocol-mismatch troubleshooting documented.</w:t>
      </w:r>
    </w:p>
    <w:p>
      <w:pPr>
        <w:pStyle w:val="ListBullet"/>
      </w:pPr>
      <w:r>
        <w:t>Implemented and planned claims separated.</w:t>
      </w:r>
    </w:p>
    <w:p>
      <w:pPr>
        <w:pStyle w:val="ListBullet"/>
      </w:pPr>
      <w:r>
        <w:t>Day 2 Word notes and revision guide reviewed.</w:t>
      </w:r>
    </w:p>
    <w:p>
      <w:pPr>
        <w:pStyle w:val="ListBullet"/>
      </w:pPr>
      <w:r>
        <w:t>Professional feature-branch commit prepared.</w:t>
      </w:r>
    </w:p>
    <w:sectPr w:rsidR="00FC693F" w:rsidRPr="0006063C" w:rsidSect="00034616">
      <w:headerReference r:id="rId9" w:type="default"/>
      <w:footerReference r:id="rId10" w:type="default"/>
      <w:pgSz w:h="16838" w:w="11906"/>
      <w:pgMar w:bottom="907" w:footer="397" w:gutter="0" w:header="397" w:left="1020" w:right="1020"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73"/>
        <w:sz w:val="17"/>
      </w:rPr>
      <w:t xml:space="preserve">Ashutosh Parmar  |  Page </w:t>
    </w:r>
    <w:r>
      <w:rPr>
        <w:rFonts w:ascii="Aptos" w:hAnsi="Aptos" w:eastAsia="Aptos"/>
        <w:color w:val="5B657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1F4E78"/>
        <w:sz w:val="17"/>
      </w:rPr>
      <w:t>CHANGEGUARD AI  |  TECHNICAL LEARNING SERIES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Aptos" w:eastAsia="Aptos" w:hAnsi="Aptos"/>
      <w:b w:val="0"/>
      <w:color w:val="20242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Aptos Display" w:asciiTheme="majorHAnsi" w:cstheme="majorBidi" w:eastAsia="Aptos Display" w:eastAsiaTheme="majorEastAsia" w:hAnsi="Aptos Display"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Aptos Display" w:asciiTheme="majorHAnsi" w:cstheme="majorBidi" w:eastAsia="Aptos Display" w:eastAsiaTheme="majorEastAsia" w:hAnsi="Aptos Display" w:hAnsiTheme="majorHAnsi"/>
      <w:b/>
      <w:bCs/>
      <w:color w:val="1F4E78"/>
      <w:sz w:val="27"/>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Display" w:asciiTheme="majorHAnsi" w:cstheme="majorBidi" w:eastAsia="Aptos Display" w:eastAsiaTheme="majorEastAsia" w:hAnsi="Aptos Display" w:hAnsiTheme="majorHAnsi"/>
      <w:b/>
      <w:bCs/>
      <w:color w:val="1F4E78"/>
      <w:sz w:val="23"/>
    </w:rPr>
  </w:style>
  <w:style w:styleId="Heading4" w:type="paragraph">
    <w:name w:val="heading 4"/>
    <w:basedOn w:val="Normal"/>
    <w:next w:val="Normal"/>
    <w:link w:val="Heading4Char"/>
    <w:uiPriority w:val="9"/>
    <w:semiHidden/>
    <w:unhideWhenUsed/>
    <w:qFormat/>
    <w:rsid w:val="00FC693F"/>
    <w:pPr>
      <w:keepNext/>
      <w:keepLines/>
      <w:spacing w:after="40" w:before="140"/>
      <w:outlineLvl w:val="3"/>
    </w:pPr>
    <w:rPr>
      <w:rFonts w:ascii="Aptos Display" w:asciiTheme="majorHAnsi" w:cstheme="majorBidi" w:eastAsia="Aptos Display" w:eastAsiaTheme="majorEastAsia" w:hAnsi="Aptos Display" w:hAnsiTheme="majorHAnsi"/>
      <w:b/>
      <w:bCs/>
      <w:i/>
      <w:iCs/>
      <w:color w:val="5B657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0" w:line="240" w:lineRule="auto"/>
      <w:contextualSpacing/>
    </w:pPr>
    <w:rPr>
      <w:rFonts w:ascii="Aptos Display" w:asciiTheme="majorHAnsi" w:cstheme="majorBidi" w:eastAsia="Aptos Display" w:eastAsiaTheme="majorEastAsia" w:hAnsi="Aptos Display" w:hAnsiTheme="majorHAnsi"/>
      <w:b/>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20"/>
    </w:pPr>
    <w:rPr>
      <w:rFonts w:ascii="Aptos" w:asciiTheme="majorHAnsi" w:cstheme="majorBidi" w:eastAsia="Aptos" w:eastAsiaTheme="majorEastAsia" w:hAnsi="Aptos" w:hAnsiTheme="majorHAnsi"/>
      <w:b w:val="0"/>
      <w:i/>
      <w:iCs/>
      <w:color w:val="5B6573"/>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40" w:before="100"/>
      <w:ind w:left="340" w:right="170"/>
    </w:pPr>
    <w:rPr>
      <w:rFonts w:ascii="Aptos" w:eastAsia="Aptos" w:hAnsi="Aptos"/>
      <w:b w:val="0"/>
      <w:i/>
      <w:iCs/>
      <w:color w:val="1F4E78"/>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20" w:before="80" w:line="240" w:lineRule="auto"/>
      <w:ind w:left="198" w:right="142"/>
    </w:pPr>
    <w:rPr>
      <w:rFonts w:ascii="Consolas" w:eastAsia="Consolas" w:hAnsi="Consolas"/>
      <w:b w:val="0"/>
      <w:color w:val="263238"/>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ChangeGuard AI - Day 2 Technical and Interview Notes</dc:title>
  <dc:creator>Ashutosh Parmar</dc:creator>
  <cp:keywords>ChangeGuard AI, Day 2, .NET, Angular, interview revision</cp:keywords>
  <dcterms:created xsi:type="dcterms:W3CDTF">2026-08-17T19:13:27Z</dcterms:created>
  <dcterms:modified xsi:type="dcterms:W3CDTF">2026-08-17T19:13:27Z</dcterms:modified>
  <dc:subject>Detailed notes for the release-readiness vertical slice</dc:subject>
  <dc:description>Generated as part of the ChangeGuard AI learning project.</dc:description>
</cp:coreProperties>
</file>

<file path=docProps/custom.xml><?xml version="1.0" encoding="utf-8"?>
<Properties xmlns="http://schemas.openxmlformats.org/officeDocument/2006/custom-properties" xmlns:vt="http://schemas.openxmlformats.org/officeDocument/2006/docPropsVTypes"/>
</file>