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100"/>
      </w:pPr>
      <w:r>
        <w:rPr>
          <w:rFonts w:ascii="Aptos" w:hAnsi="Aptos"/>
          <w:b/>
          <w:i w:val="0"/>
          <w:caps/>
          <w:color w:val="255CE8"/>
          <w:sz w:val="18"/>
        </w:rPr>
        <w:t>CHANGEGUARD AI - DAY 3</w:t>
      </w:r>
    </w:p>
    <w:p>
      <w:pPr>
        <w:pStyle w:val="Title"/>
      </w:pPr>
      <w:r>
        <w:t>Persistent Release Readiness</w:t>
      </w:r>
    </w:p>
    <w:p>
      <w:pPr>
        <w:pStyle w:val="Subtitle"/>
      </w:pPr>
      <w:r>
        <w:t>Technical notes: SQL Server, EF Core, repositories, async API contracts and Angular integration</w:t>
      </w:r>
    </w:p>
    <w:p>
      <w:pPr>
        <w:spacing w:after="40"/>
      </w:pPr>
      <w:r>
        <w:rPr>
          <w:rFonts w:ascii="Aptos" w:hAnsi="Aptos"/>
          <w:b/>
          <w:i w:val="0"/>
          <w:color w:val="173B67"/>
          <w:sz w:val="19"/>
        </w:rPr>
        <w:t>Mission:</w:t>
      </w:r>
      <w:r>
        <w:rPr>
          <w:rFonts w:ascii="Aptos" w:hAnsi="Aptos"/>
          <w:b w:val="0"/>
          <w:i w:val="0"/>
          <w:color w:val="64748B"/>
          <w:sz w:val="19"/>
        </w:rPr>
        <w:t xml:space="preserve"> Replace temporary in-memory data with verified SQL Server persistence</w:t>
      </w:r>
    </w:p>
    <w:p>
      <w:pPr>
        <w:spacing w:after="40"/>
      </w:pPr>
      <w:r>
        <w:rPr>
          <w:rFonts w:ascii="Aptos" w:hAnsi="Aptos"/>
          <w:b/>
          <w:i w:val="0"/>
          <w:color w:val="173B67"/>
          <w:sz w:val="19"/>
        </w:rPr>
        <w:t>Audience:</w:t>
      </w:r>
      <w:r>
        <w:rPr>
          <w:rFonts w:ascii="Aptos" w:hAnsi="Aptos"/>
          <w:b w:val="0"/>
          <w:i w:val="0"/>
          <w:color w:val="64748B"/>
          <w:sz w:val="19"/>
        </w:rPr>
        <w:t xml:space="preserve"> End-of-day revision and .NET full-stack interviews</w:t>
      </w:r>
    </w:p>
    <w:p>
      <w:pPr>
        <w:spacing w:after="40"/>
      </w:pPr>
      <w:r>
        <w:rPr>
          <w:rFonts w:ascii="Aptos" w:hAnsi="Aptos"/>
          <w:b/>
          <w:i w:val="0"/>
          <w:color w:val="173B67"/>
          <w:sz w:val="19"/>
        </w:rPr>
        <w:t>Evidence:</w:t>
      </w:r>
      <w:r>
        <w:rPr>
          <w:rFonts w:ascii="Aptos" w:hAnsi="Aptos"/>
          <w:b w:val="0"/>
          <w:i w:val="0"/>
          <w:color w:val="64748B"/>
          <w:sz w:val="19"/>
        </w:rPr>
        <w:t xml:space="preserve"> 8 backend tests, 5 Angular tests, production builds, HTTP 200 and controlled HTTP 404</w:t>
      </w:r>
    </w:p>
    <w:p>
      <w:pPr>
        <w:spacing w:before="100" w:after="160" w:line="274" w:lineRule="auto"/>
        <w:ind w:left="115" w:right="86"/>
        <w:shd w:fill="EAF7F0" w:val="clear"/>
        <w:pBdr>
          <w:left w:val="single" w:sz="18" w:space="8" w:color="16794B"/>
        </w:pBdr>
      </w:pPr>
      <w:r>
        <w:rPr>
          <w:rFonts w:ascii="Aptos" w:hAnsi="Aptos"/>
          <w:b/>
          <w:i w:val="0"/>
          <w:color w:val="16794B"/>
          <w:sz w:val="20"/>
        </w:rPr>
        <w:t xml:space="preserve">Day 3 outcome: </w:t>
      </w:r>
      <w:r>
        <w:rPr>
          <w:rFonts w:ascii="Aptos" w:hAnsi="Aptos"/>
          <w:b w:val="0"/>
          <w:i w:val="0"/>
          <w:color w:val="1E293B"/>
          <w:sz w:val="20"/>
        </w:rPr>
        <w:t>CG-101 now survives an API restart because the release-readiness endpoint reads a persisted ChangeRequest from SQL Server LocalDB. The Angular card consumes the new endpoint and still shows a score of 45 with two release blockers.</w:t>
      </w:r>
    </w:p>
    <w:p>
      <w:pPr>
        <w:pStyle w:val="Heading1"/>
      </w:pPr>
      <w:r>
        <w:t>1. What the Day 3 vertical slice proved</w:t>
      </w:r>
    </w:p>
    <w:p>
      <w:r>
        <w:rPr>
          <w:rFonts w:ascii="Aptos" w:hAnsi="Aptos"/>
          <w:b w:val="0"/>
          <w:i w:val="0"/>
          <w:color w:val="1E293B"/>
          <w:sz w:val="21"/>
        </w:rPr>
        <w:t>The system moved from a demonstration object created inside application code to a real database-backed read flow. Every layer now has one clear responsibility.</w:t>
      </w:r>
    </w:p>
    <w:p>
      <w:pPr>
        <w:numPr>
          <w:ilvl w:val="0"/>
          <w:numId w:val="10"/>
        </w:numPr>
        <w:spacing w:after="80" w:line="283" w:lineRule="auto"/>
      </w:pPr>
      <w:r>
        <w:t>Angular requests release readiness for reference CG-101.</w:t>
      </w:r>
    </w:p>
    <w:p>
      <w:pPr>
        <w:numPr>
          <w:ilvl w:val="0"/>
          <w:numId w:val="10"/>
        </w:numPr>
        <w:spacing w:after="80" w:line="283" w:lineRule="auto"/>
      </w:pPr>
      <w:r>
        <w:t>The ASP.NET Core controller receives the reference number and delegates to the application service.</w:t>
      </w:r>
    </w:p>
    <w:p>
      <w:pPr>
        <w:numPr>
          <w:ilvl w:val="0"/>
          <w:numId w:val="10"/>
        </w:numPr>
        <w:spacing w:after="80" w:line="283" w:lineRule="auto"/>
      </w:pPr>
      <w:r>
        <w:t>The application service asks an application-owned repository interface for the ChangeRequest.</w:t>
      </w:r>
    </w:p>
    <w:p>
      <w:pPr>
        <w:numPr>
          <w:ilvl w:val="0"/>
          <w:numId w:val="10"/>
        </w:numPr>
        <w:spacing w:after="80" w:line="283" w:lineRule="auto"/>
      </w:pPr>
      <w:r>
        <w:t>The Infrastructure repository uses EF Core and SQL Server to load the row without change tracking.</w:t>
      </w:r>
    </w:p>
    <w:p>
      <w:pPr>
        <w:numPr>
          <w:ilvl w:val="0"/>
          <w:numId w:val="10"/>
        </w:numPr>
        <w:spacing w:after="80" w:line="283" w:lineRule="auto"/>
      </w:pPr>
      <w:r>
        <w:t>The Domain entity calculates release readiness from its current state.</w:t>
      </w:r>
    </w:p>
    <w:p>
      <w:pPr>
        <w:numPr>
          <w:ilvl w:val="0"/>
          <w:numId w:val="10"/>
        </w:numPr>
        <w:spacing w:after="80" w:line="283" w:lineRule="auto"/>
      </w:pPr>
      <w:r>
        <w:t>The application service maps the domain result to a response DTO.</w:t>
      </w:r>
    </w:p>
    <w:p>
      <w:pPr>
        <w:numPr>
          <w:ilvl w:val="0"/>
          <w:numId w:val="10"/>
        </w:numPr>
        <w:spacing w:after="80" w:line="283" w:lineRule="auto"/>
      </w:pPr>
      <w:r>
        <w:t>The API returns HTTP 200 for CG-101 or ProblemDetails with HTTP 404 when the reference does not exist.</w:t>
      </w:r>
    </w:p>
    <w:p>
      <w:pPr>
        <w:numPr>
          <w:ilvl w:val="0"/>
          <w:numId w:val="10"/>
        </w:numPr>
        <w:spacing w:after="80" w:line="283" w:lineRule="auto"/>
      </w:pPr>
      <w:r>
        <w:t>Angular renders either the blocked-release card or its error state.</w:t>
      </w:r>
    </w:p>
    <w:p>
      <w:pPr>
        <w:spacing w:before="100" w:after="160" w:line="274" w:lineRule="auto"/>
        <w:ind w:left="115" w:right="86"/>
        <w:shd w:fill="EAF1FF" w:val="clear"/>
        <w:pBdr>
          <w:left w:val="single" w:sz="18" w:space="8" w:color="255CE8"/>
        </w:pBdr>
      </w:pPr>
      <w:r>
        <w:rPr>
          <w:rFonts w:ascii="Aptos" w:hAnsi="Aptos"/>
          <w:b/>
          <w:i w:val="0"/>
          <w:color w:val="255CE8"/>
          <w:sz w:val="20"/>
        </w:rPr>
        <w:t xml:space="preserve">Architecture memory line: </w:t>
      </w:r>
      <w:r>
        <w:rPr>
          <w:rFonts w:ascii="Aptos" w:hAnsi="Aptos"/>
          <w:b w:val="0"/>
          <w:i w:val="0"/>
          <w:color w:val="1E293B"/>
          <w:sz w:val="20"/>
        </w:rPr>
        <w:t>UI calls API; API delegates; Application coordinates; Infrastructure retrieves; Domain decides.</w:t>
      </w:r>
    </w:p>
    <w:p>
      <w:pPr>
        <w:pStyle w:val="Heading1"/>
      </w:pPr>
      <w:r>
        <w:t>2. Why persistence changed the business value</w:t>
      </w:r>
    </w:p>
    <w:p>
      <w:r>
        <w:rPr>
          <w:rFonts w:ascii="Aptos" w:hAnsi="Aptos"/>
          <w:b w:val="0"/>
          <w:i w:val="0"/>
          <w:color w:val="1E293B"/>
          <w:sz w:val="21"/>
        </w:rPr>
        <w:t>Before Day 3, CG-101 was recreated each time the application service ran. That was useful for proving the release-readiness rule, but the data was temporary and could not support a real workflow.</w:t>
      </w:r>
    </w:p>
    <w:p>
      <w:pPr>
        <w:numPr>
          <w:ilvl w:val="0"/>
          <w:numId w:val="11"/>
        </w:numPr>
        <w:spacing w:after="80" w:line="283" w:lineRule="auto"/>
      </w:pPr>
      <w:r>
        <w:t>A database provides durable state across process restarts.</w:t>
      </w:r>
    </w:p>
    <w:p>
      <w:pPr>
        <w:numPr>
          <w:ilvl w:val="0"/>
          <w:numId w:val="11"/>
        </w:numPr>
        <w:spacing w:after="80" w:line="283" w:lineRule="auto"/>
      </w:pPr>
      <w:r>
        <w:t>A unique business reference prevents two records from representing the same change request.</w:t>
      </w:r>
    </w:p>
    <w:p>
      <w:pPr>
        <w:numPr>
          <w:ilvl w:val="0"/>
          <w:numId w:val="11"/>
        </w:numPr>
        <w:spacing w:after="80" w:line="283" w:lineRule="auto"/>
      </w:pPr>
      <w:r>
        <w:t>Schema constraints protect data even if an application path contains a defect.</w:t>
      </w:r>
    </w:p>
    <w:p>
      <w:pPr>
        <w:numPr>
          <w:ilvl w:val="0"/>
          <w:numId w:val="11"/>
        </w:numPr>
        <w:spacing w:after="80" w:line="283" w:lineRule="auto"/>
      </w:pPr>
      <w:r>
        <w:t>A repository boundary keeps business orchestration independent from EF Core.</w:t>
      </w:r>
    </w:p>
    <w:p>
      <w:pPr>
        <w:numPr>
          <w:ilvl w:val="0"/>
          <w:numId w:val="11"/>
        </w:numPr>
        <w:spacing w:after="80" w:line="283" w:lineRule="auto"/>
      </w:pPr>
      <w:r>
        <w:t>HTTP 404 clearly communicates that a requested business resource does not exist.</w:t>
      </w:r>
    </w:p>
    <w:p>
      <w:pPr>
        <w:pStyle w:val="Heading1"/>
      </w:pPr>
      <w:r>
        <w:t>3. SQL Server LocalDB</w:t>
      </w:r>
    </w:p>
    <w:p>
      <w:r>
        <w:rPr>
          <w:rFonts w:ascii="Aptos" w:hAnsi="Aptos"/>
          <w:b w:val="0"/>
          <w:i w:val="0"/>
          <w:color w:val="1E293B"/>
          <w:sz w:val="21"/>
        </w:rPr>
        <w:t>SQL Server LocalDB is a developer-focused SQL Server instance available on the workstation. It gives the project a real relational database engine without requiring a separately managed shared server.</w:t>
      </w:r>
    </w:p>
    <w:tbl>
      <w:tblPr>
        <w:tblStyle w:val="TableGrid"/>
        <w:tblW w:type="dxa" w:w="9020"/>
        <w:tblLayout w:type="fixed"/>
        <w:tblLook w:firstColumn="1" w:firstRow="1" w:lastColumn="0" w:lastRow="0" w:noHBand="0" w:noVBand="1" w:val="04A0"/>
        <w:jc w:val="left"/>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Ind w:w="120" w:type="dxa"/>
      </w:tblPr>
      <w:tblGrid>
        <w:gridCol w:w="2255"/>
        <w:gridCol w:w="6765"/>
      </w:tblGrid>
      <w:tr>
        <w:trPr>
          <w:tblHeader w:val="true"/>
          <w:cantSplit w:val="true"/>
        </w:trPr>
        <w:tc>
          <w:tcPr>
            <w:tcW w:type="dxa" w:w="2255"/>
            <w:shd w:fill="EAF1FF" w:val="clear"/>
            <w:vAlign w:val="center"/>
            <w:tcMar>
              <w:top w:w="90" w:type="dxa"/>
              <w:start w:w="120" w:type="dxa"/>
              <w:bottom w:w="90" w:type="dxa"/>
              <w:end w:w="120" w:type="dxa"/>
            </w:tcMar>
          </w:tcPr>
          <w:p>
            <w:pPr>
              <w:spacing w:after="0"/>
              <w:jc w:val="left"/>
            </w:pPr>
            <w:r>
              <w:rPr>
                <w:rFonts w:ascii="Aptos" w:hAnsi="Aptos"/>
                <w:b/>
                <w:i w:val="0"/>
                <w:color w:val="0B1739"/>
                <w:sz w:val="18"/>
              </w:rPr>
              <w:t>Item</w:t>
            </w:r>
          </w:p>
        </w:tc>
        <w:tc>
          <w:tcPr>
            <w:tcW w:type="dxa" w:w="6765"/>
            <w:shd w:fill="EAF1FF" w:val="clear"/>
            <w:vAlign w:val="center"/>
            <w:tcMar>
              <w:top w:w="90" w:type="dxa"/>
              <w:start w:w="120" w:type="dxa"/>
              <w:bottom w:w="90" w:type="dxa"/>
              <w:end w:w="120" w:type="dxa"/>
            </w:tcMar>
          </w:tcPr>
          <w:p>
            <w:pPr>
              <w:spacing w:after="0"/>
              <w:jc w:val="left"/>
            </w:pPr>
            <w:r>
              <w:rPr>
                <w:rFonts w:ascii="Aptos" w:hAnsi="Aptos"/>
                <w:b/>
                <w:i w:val="0"/>
                <w:color w:val="0B1739"/>
                <w:sz w:val="18"/>
              </w:rPr>
              <w:t>Day 3 value</w:t>
            </w:r>
          </w:p>
        </w:tc>
      </w:tr>
      <w:tr>
        <w:trPr>
          <w:cantSplit w:val="true"/>
        </w:trPr>
        <w:tc>
          <w:tcPr>
            <w:tcW w:type="dxa" w:w="2255"/>
            <w:vAlign w:val="center"/>
            <w:tcMar>
              <w:top w:w="90" w:type="dxa"/>
              <w:start w:w="120" w:type="dxa"/>
              <w:bottom w:w="90" w:type="dxa"/>
              <w:end w:w="120" w:type="dxa"/>
            </w:tcMar>
          </w:tcPr>
          <w:p>
            <w:pPr>
              <w:spacing w:after="0" w:line="259" w:lineRule="auto"/>
            </w:pPr>
            <w:r>
              <w:rPr>
                <w:rFonts w:ascii="Aptos" w:hAnsi="Aptos"/>
                <w:b w:val="0"/>
                <w:i w:val="0"/>
                <w:color w:val="1E293B"/>
                <w:sz w:val="18"/>
              </w:rPr>
              <w:t>Server</w:t>
            </w:r>
          </w:p>
        </w:tc>
        <w:tc>
          <w:tcPr>
            <w:tcW w:type="dxa" w:w="6765"/>
            <w:vAlign w:val="center"/>
            <w:tcMar>
              <w:top w:w="90" w:type="dxa"/>
              <w:start w:w="120" w:type="dxa"/>
              <w:bottom w:w="90" w:type="dxa"/>
              <w:end w:w="120" w:type="dxa"/>
            </w:tcMar>
          </w:tcPr>
          <w:p>
            <w:pPr>
              <w:spacing w:after="0" w:line="259" w:lineRule="auto"/>
            </w:pPr>
            <w:r>
              <w:rPr>
                <w:rFonts w:ascii="Aptos" w:hAnsi="Aptos"/>
                <w:b w:val="0"/>
                <w:i w:val="0"/>
                <w:color w:val="1E293B"/>
                <w:sz w:val="18"/>
              </w:rPr>
              <w:t>(localdb)\MSSQLLocalDB</w:t>
            </w:r>
          </w:p>
        </w:tc>
      </w:tr>
      <w:tr>
        <w:trPr>
          <w:cantSplit w:val="true"/>
        </w:trPr>
        <w:tc>
          <w:tcPr>
            <w:tcW w:type="dxa" w:w="2255"/>
            <w:vAlign w:val="center"/>
            <w:tcMar>
              <w:top w:w="90" w:type="dxa"/>
              <w:start w:w="120" w:type="dxa"/>
              <w:bottom w:w="90" w:type="dxa"/>
              <w:end w:w="120" w:type="dxa"/>
            </w:tcMar>
          </w:tcPr>
          <w:p>
            <w:pPr>
              <w:spacing w:after="0" w:line="259" w:lineRule="auto"/>
            </w:pPr>
            <w:r>
              <w:rPr>
                <w:rFonts w:ascii="Aptos" w:hAnsi="Aptos"/>
                <w:b w:val="0"/>
                <w:i w:val="0"/>
                <w:color w:val="1E293B"/>
                <w:sz w:val="18"/>
              </w:rPr>
              <w:t>Database</w:t>
            </w:r>
          </w:p>
        </w:tc>
        <w:tc>
          <w:tcPr>
            <w:tcW w:type="dxa" w:w="6765"/>
            <w:vAlign w:val="center"/>
            <w:tcMar>
              <w:top w:w="90" w:type="dxa"/>
              <w:start w:w="120" w:type="dxa"/>
              <w:bottom w:w="90" w:type="dxa"/>
              <w:end w:w="120" w:type="dxa"/>
            </w:tcMar>
          </w:tcPr>
          <w:p>
            <w:pPr>
              <w:spacing w:after="0" w:line="259" w:lineRule="auto"/>
            </w:pPr>
            <w:r>
              <w:rPr>
                <w:rFonts w:ascii="Aptos" w:hAnsi="Aptos"/>
                <w:b w:val="0"/>
                <w:i w:val="0"/>
                <w:color w:val="1E293B"/>
                <w:sz w:val="18"/>
              </w:rPr>
              <w:t>ChangeGuardDb</w:t>
            </w:r>
          </w:p>
        </w:tc>
      </w:tr>
      <w:tr>
        <w:trPr>
          <w:cantSplit w:val="true"/>
        </w:trPr>
        <w:tc>
          <w:tcPr>
            <w:tcW w:type="dxa" w:w="2255"/>
            <w:vAlign w:val="center"/>
            <w:tcMar>
              <w:top w:w="90" w:type="dxa"/>
              <w:start w:w="120" w:type="dxa"/>
              <w:bottom w:w="90" w:type="dxa"/>
              <w:end w:w="120" w:type="dxa"/>
            </w:tcMar>
          </w:tcPr>
          <w:p>
            <w:pPr>
              <w:spacing w:after="0" w:line="259" w:lineRule="auto"/>
            </w:pPr>
            <w:r>
              <w:rPr>
                <w:rFonts w:ascii="Aptos" w:hAnsi="Aptos"/>
                <w:b w:val="0"/>
                <w:i w:val="0"/>
                <w:color w:val="1E293B"/>
                <w:sz w:val="18"/>
              </w:rPr>
              <w:t>Application table</w:t>
            </w:r>
          </w:p>
        </w:tc>
        <w:tc>
          <w:tcPr>
            <w:tcW w:type="dxa" w:w="6765"/>
            <w:vAlign w:val="center"/>
            <w:tcMar>
              <w:top w:w="90" w:type="dxa"/>
              <w:start w:w="120" w:type="dxa"/>
              <w:bottom w:w="90" w:type="dxa"/>
              <w:end w:w="120" w:type="dxa"/>
            </w:tcMar>
          </w:tcPr>
          <w:p>
            <w:pPr>
              <w:spacing w:after="0" w:line="259" w:lineRule="auto"/>
            </w:pPr>
            <w:r>
              <w:rPr>
                <w:rFonts w:ascii="Aptos" w:hAnsi="Aptos"/>
                <w:b w:val="0"/>
                <w:i w:val="0"/>
                <w:color w:val="1E293B"/>
                <w:sz w:val="18"/>
              </w:rPr>
              <w:t>dbo.ChangeRequests</w:t>
            </w:r>
          </w:p>
        </w:tc>
      </w:tr>
      <w:tr>
        <w:trPr>
          <w:cantSplit w:val="true"/>
        </w:trPr>
        <w:tc>
          <w:tcPr>
            <w:tcW w:type="dxa" w:w="2255"/>
            <w:vAlign w:val="center"/>
            <w:tcMar>
              <w:top w:w="90" w:type="dxa"/>
              <w:start w:w="120" w:type="dxa"/>
              <w:bottom w:w="90" w:type="dxa"/>
              <w:end w:w="120" w:type="dxa"/>
            </w:tcMar>
          </w:tcPr>
          <w:p>
            <w:pPr>
              <w:spacing w:after="0" w:line="259" w:lineRule="auto"/>
            </w:pPr>
            <w:r>
              <w:rPr>
                <w:rFonts w:ascii="Aptos" w:hAnsi="Aptos"/>
                <w:b w:val="0"/>
                <w:i w:val="0"/>
                <w:color w:val="1E293B"/>
                <w:sz w:val="18"/>
              </w:rPr>
              <w:t>Migration history</w:t>
            </w:r>
          </w:p>
        </w:tc>
        <w:tc>
          <w:tcPr>
            <w:tcW w:type="dxa" w:w="6765"/>
            <w:vAlign w:val="center"/>
            <w:tcMar>
              <w:top w:w="90" w:type="dxa"/>
              <w:start w:w="120" w:type="dxa"/>
              <w:bottom w:w="90" w:type="dxa"/>
              <w:end w:w="120" w:type="dxa"/>
            </w:tcMar>
          </w:tcPr>
          <w:p>
            <w:pPr>
              <w:spacing w:after="0" w:line="259" w:lineRule="auto"/>
            </w:pPr>
            <w:r>
              <w:rPr>
                <w:rFonts w:ascii="Aptos" w:hAnsi="Aptos"/>
                <w:b w:val="0"/>
                <w:i w:val="0"/>
                <w:color w:val="1E293B"/>
                <w:sz w:val="18"/>
              </w:rPr>
              <w:t>dbo.__EFMigrationsHistory</w:t>
            </w:r>
          </w:p>
        </w:tc>
      </w:tr>
      <w:tr>
        <w:trPr>
          <w:cantSplit w:val="true"/>
        </w:trPr>
        <w:tc>
          <w:tcPr>
            <w:tcW w:type="dxa" w:w="2255"/>
            <w:vAlign w:val="center"/>
            <w:tcMar>
              <w:top w:w="90" w:type="dxa"/>
              <w:start w:w="120" w:type="dxa"/>
              <w:bottom w:w="90" w:type="dxa"/>
              <w:end w:w="120" w:type="dxa"/>
            </w:tcMar>
          </w:tcPr>
          <w:p>
            <w:pPr>
              <w:spacing w:after="0" w:line="259" w:lineRule="auto"/>
            </w:pPr>
            <w:r>
              <w:rPr>
                <w:rFonts w:ascii="Aptos" w:hAnsi="Aptos"/>
                <w:b w:val="0"/>
                <w:i w:val="0"/>
                <w:color w:val="1E293B"/>
                <w:sz w:val="18"/>
              </w:rPr>
              <w:t>Other database seen</w:t>
            </w:r>
          </w:p>
        </w:tc>
        <w:tc>
          <w:tcPr>
            <w:tcW w:type="dxa" w:w="6765"/>
            <w:vAlign w:val="center"/>
            <w:tcMar>
              <w:top w:w="90" w:type="dxa"/>
              <w:start w:w="120" w:type="dxa"/>
              <w:bottom w:w="90" w:type="dxa"/>
              <w:end w:w="120" w:type="dxa"/>
            </w:tcMar>
          </w:tcPr>
          <w:p>
            <w:pPr>
              <w:spacing w:after="0" w:line="259" w:lineRule="auto"/>
            </w:pPr>
            <w:r>
              <w:rPr>
                <w:rFonts w:ascii="Aptos" w:hAnsi="Aptos"/>
                <w:b w:val="0"/>
                <w:i w:val="0"/>
                <w:color w:val="1E293B"/>
                <w:sz w:val="18"/>
              </w:rPr>
              <w:t>FreelanceSupportDesk - unrelated and deliberately untouched</w:t>
            </w:r>
          </w:p>
        </w:tc>
      </w:tr>
    </w:tbl>
    <w:p>
      <w:pPr>
        <w:spacing w:after="40"/>
      </w:pPr>
    </w:p>
    <w:p>
      <w:pPr>
        <w:spacing w:before="100" w:after="160" w:line="274" w:lineRule="auto"/>
        <w:ind w:left="115" w:right="86"/>
        <w:shd w:fill="FFF7DF" w:val="clear"/>
        <w:pBdr>
          <w:left w:val="single" w:sz="18" w:space="8" w:color="9A6700"/>
        </w:pBdr>
      </w:pPr>
      <w:r>
        <w:rPr>
          <w:rFonts w:ascii="Aptos" w:hAnsi="Aptos"/>
          <w:b/>
          <w:i w:val="0"/>
          <w:color w:val="9A6700"/>
          <w:sz w:val="20"/>
        </w:rPr>
        <w:t xml:space="preserve">Interview point: </w:t>
      </w:r>
      <w:r>
        <w:rPr>
          <w:rFonts w:ascii="Aptos" w:hAnsi="Aptos"/>
          <w:b w:val="0"/>
          <w:i w:val="0"/>
          <w:color w:val="1E293B"/>
          <w:sz w:val="20"/>
        </w:rPr>
        <w:t>LocalDB is suitable for local development. A shared test or production environment normally uses a managed or full SQL Server instance with protected credentials, backups, monitoring and access controls.</w:t>
      </w:r>
    </w:p>
    <w:p>
      <w:pPr>
        <w:pStyle w:val="Heading1"/>
      </w:pPr>
      <w:r>
        <w:t>4. EF Core packages and project placement</w:t>
      </w:r>
    </w:p>
    <w:tbl>
      <w:tblPr>
        <w:tblStyle w:val="TableGrid"/>
        <w:tblW w:type="dxa" w:w="9020"/>
        <w:tblLayout w:type="fixed"/>
        <w:tblLook w:firstColumn="1" w:firstRow="1" w:lastColumn="0" w:lastRow="0" w:noHBand="0" w:noVBand="1" w:val="04A0"/>
        <w:jc w:val="left"/>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Ind w:w="120" w:type="dxa"/>
      </w:tblPr>
      <w:tblGrid>
        <w:gridCol w:w="3100"/>
        <w:gridCol w:w="1800"/>
        <w:gridCol w:w="4120"/>
      </w:tblGrid>
      <w:tr>
        <w:trPr>
          <w:tblHeader w:val="true"/>
          <w:cantSplit w:val="true"/>
        </w:trPr>
        <w:tc>
          <w:tcPr>
            <w:tcW w:type="dxa" w:w="3100"/>
            <w:shd w:fill="EAF1FF" w:val="clear"/>
            <w:vAlign w:val="center"/>
            <w:tcMar>
              <w:top w:w="90" w:type="dxa"/>
              <w:start w:w="120" w:type="dxa"/>
              <w:bottom w:w="90" w:type="dxa"/>
              <w:end w:w="120" w:type="dxa"/>
            </w:tcMar>
          </w:tcPr>
          <w:p>
            <w:pPr>
              <w:spacing w:after="0"/>
              <w:jc w:val="left"/>
            </w:pPr>
            <w:r>
              <w:rPr>
                <w:rFonts w:ascii="Aptos" w:hAnsi="Aptos"/>
                <w:b/>
                <w:i w:val="0"/>
                <w:color w:val="0B1739"/>
                <w:sz w:val="18"/>
              </w:rPr>
              <w:t>Package</w:t>
            </w:r>
          </w:p>
        </w:tc>
        <w:tc>
          <w:tcPr>
            <w:tcW w:type="dxa" w:w="1800"/>
            <w:shd w:fill="EAF1FF" w:val="clear"/>
            <w:vAlign w:val="center"/>
            <w:tcMar>
              <w:top w:w="90" w:type="dxa"/>
              <w:start w:w="120" w:type="dxa"/>
              <w:bottom w:w="90" w:type="dxa"/>
              <w:end w:w="120" w:type="dxa"/>
            </w:tcMar>
          </w:tcPr>
          <w:p>
            <w:pPr>
              <w:spacing w:after="0"/>
              <w:jc w:val="left"/>
            </w:pPr>
            <w:r>
              <w:rPr>
                <w:rFonts w:ascii="Aptos" w:hAnsi="Aptos"/>
                <w:b/>
                <w:i w:val="0"/>
                <w:color w:val="0B1739"/>
                <w:sz w:val="18"/>
              </w:rPr>
              <w:t>Project</w:t>
            </w:r>
          </w:p>
        </w:tc>
        <w:tc>
          <w:tcPr>
            <w:tcW w:type="dxa" w:w="4120"/>
            <w:shd w:fill="EAF1FF" w:val="clear"/>
            <w:vAlign w:val="center"/>
            <w:tcMar>
              <w:top w:w="90" w:type="dxa"/>
              <w:start w:w="120" w:type="dxa"/>
              <w:bottom w:w="90" w:type="dxa"/>
              <w:end w:w="120" w:type="dxa"/>
            </w:tcMar>
          </w:tcPr>
          <w:p>
            <w:pPr>
              <w:spacing w:after="0"/>
              <w:jc w:val="left"/>
            </w:pPr>
            <w:r>
              <w:rPr>
                <w:rFonts w:ascii="Aptos" w:hAnsi="Aptos"/>
                <w:b/>
                <w:i w:val="0"/>
                <w:color w:val="0B1739"/>
                <w:sz w:val="18"/>
              </w:rPr>
              <w:t>Purpose</w:t>
            </w:r>
          </w:p>
        </w:tc>
      </w:tr>
      <w:tr>
        <w:trPr>
          <w:cantSplit w:val="true"/>
        </w:trPr>
        <w:tc>
          <w:tcPr>
            <w:tcW w:type="dxa" w:w="3100"/>
            <w:vAlign w:val="center"/>
            <w:tcMar>
              <w:top w:w="90" w:type="dxa"/>
              <w:start w:w="120" w:type="dxa"/>
              <w:bottom w:w="90" w:type="dxa"/>
              <w:end w:w="120" w:type="dxa"/>
            </w:tcMar>
          </w:tcPr>
          <w:p>
            <w:pPr>
              <w:spacing w:after="0" w:line="259" w:lineRule="auto"/>
            </w:pPr>
            <w:r>
              <w:rPr>
                <w:rFonts w:ascii="Aptos" w:hAnsi="Aptos"/>
                <w:b w:val="0"/>
                <w:i w:val="0"/>
                <w:color w:val="1E293B"/>
                <w:sz w:val="18"/>
              </w:rPr>
              <w:t>Microsoft.EntityFrameworkCore.SqlServer 10.0.11</w:t>
            </w:r>
          </w:p>
        </w:tc>
        <w:tc>
          <w:tcPr>
            <w:tcW w:type="dxa" w:w="1800"/>
            <w:vAlign w:val="center"/>
            <w:tcMar>
              <w:top w:w="90" w:type="dxa"/>
              <w:start w:w="120" w:type="dxa"/>
              <w:bottom w:w="90" w:type="dxa"/>
              <w:end w:w="120" w:type="dxa"/>
            </w:tcMar>
          </w:tcPr>
          <w:p>
            <w:pPr>
              <w:spacing w:after="0" w:line="259" w:lineRule="auto"/>
            </w:pPr>
            <w:r>
              <w:rPr>
                <w:rFonts w:ascii="Aptos" w:hAnsi="Aptos"/>
                <w:b w:val="0"/>
                <w:i w:val="0"/>
                <w:color w:val="1E293B"/>
                <w:sz w:val="18"/>
              </w:rPr>
              <w:t>Infrastructure</w:t>
            </w:r>
          </w:p>
        </w:tc>
        <w:tc>
          <w:tcPr>
            <w:tcW w:type="dxa" w:w="4120"/>
            <w:vAlign w:val="center"/>
            <w:tcMar>
              <w:top w:w="90" w:type="dxa"/>
              <w:start w:w="120" w:type="dxa"/>
              <w:bottom w:w="90" w:type="dxa"/>
              <w:end w:w="120" w:type="dxa"/>
            </w:tcMar>
          </w:tcPr>
          <w:p>
            <w:pPr>
              <w:spacing w:after="0" w:line="259" w:lineRule="auto"/>
            </w:pPr>
            <w:r>
              <w:rPr>
                <w:rFonts w:ascii="Aptos" w:hAnsi="Aptos"/>
                <w:b w:val="0"/>
                <w:i w:val="0"/>
                <w:color w:val="1E293B"/>
                <w:sz w:val="18"/>
              </w:rPr>
              <w:t>SQL Server provider and EF query/persistence support</w:t>
            </w:r>
          </w:p>
        </w:tc>
      </w:tr>
      <w:tr>
        <w:trPr>
          <w:cantSplit w:val="true"/>
        </w:trPr>
        <w:tc>
          <w:tcPr>
            <w:tcW w:type="dxa" w:w="3100"/>
            <w:vAlign w:val="center"/>
            <w:tcMar>
              <w:top w:w="90" w:type="dxa"/>
              <w:start w:w="120" w:type="dxa"/>
              <w:bottom w:w="90" w:type="dxa"/>
              <w:end w:w="120" w:type="dxa"/>
            </w:tcMar>
          </w:tcPr>
          <w:p>
            <w:pPr>
              <w:spacing w:after="0" w:line="259" w:lineRule="auto"/>
            </w:pPr>
            <w:r>
              <w:rPr>
                <w:rFonts w:ascii="Aptos" w:hAnsi="Aptos"/>
                <w:b w:val="0"/>
                <w:i w:val="0"/>
                <w:color w:val="1E293B"/>
                <w:sz w:val="18"/>
              </w:rPr>
              <w:t>Microsoft.EntityFrameworkCore.Design 10.0.11</w:t>
            </w:r>
          </w:p>
        </w:tc>
        <w:tc>
          <w:tcPr>
            <w:tcW w:type="dxa" w:w="1800"/>
            <w:vAlign w:val="center"/>
            <w:tcMar>
              <w:top w:w="90" w:type="dxa"/>
              <w:start w:w="120" w:type="dxa"/>
              <w:bottom w:w="90" w:type="dxa"/>
              <w:end w:w="120" w:type="dxa"/>
            </w:tcMar>
          </w:tcPr>
          <w:p>
            <w:pPr>
              <w:spacing w:after="0" w:line="259" w:lineRule="auto"/>
            </w:pPr>
            <w:r>
              <w:rPr>
                <w:rFonts w:ascii="Aptos" w:hAnsi="Aptos"/>
                <w:b w:val="0"/>
                <w:i w:val="0"/>
                <w:color w:val="1E293B"/>
                <w:sz w:val="18"/>
              </w:rPr>
              <w:t>Infrastructure</w:t>
            </w:r>
          </w:p>
        </w:tc>
        <w:tc>
          <w:tcPr>
            <w:tcW w:type="dxa" w:w="4120"/>
            <w:vAlign w:val="center"/>
            <w:tcMar>
              <w:top w:w="90" w:type="dxa"/>
              <w:start w:w="120" w:type="dxa"/>
              <w:bottom w:w="90" w:type="dxa"/>
              <w:end w:w="120" w:type="dxa"/>
            </w:tcMar>
          </w:tcPr>
          <w:p>
            <w:pPr>
              <w:spacing w:after="0" w:line="259" w:lineRule="auto"/>
            </w:pPr>
            <w:r>
              <w:rPr>
                <w:rFonts w:ascii="Aptos" w:hAnsi="Aptos"/>
                <w:b w:val="0"/>
                <w:i w:val="0"/>
                <w:color w:val="1E293B"/>
                <w:sz w:val="18"/>
              </w:rPr>
              <w:t>Design-time services used while creating migrations</w:t>
            </w:r>
          </w:p>
        </w:tc>
      </w:tr>
      <w:tr>
        <w:trPr>
          <w:cantSplit w:val="true"/>
        </w:trPr>
        <w:tc>
          <w:tcPr>
            <w:tcW w:type="dxa" w:w="3100"/>
            <w:vAlign w:val="center"/>
            <w:tcMar>
              <w:top w:w="90" w:type="dxa"/>
              <w:start w:w="120" w:type="dxa"/>
              <w:bottom w:w="90" w:type="dxa"/>
              <w:end w:w="120" w:type="dxa"/>
            </w:tcMar>
          </w:tcPr>
          <w:p>
            <w:pPr>
              <w:spacing w:after="0" w:line="259" w:lineRule="auto"/>
            </w:pPr>
            <w:r>
              <w:rPr>
                <w:rFonts w:ascii="Aptos" w:hAnsi="Aptos"/>
                <w:b w:val="0"/>
                <w:i w:val="0"/>
                <w:color w:val="1E293B"/>
                <w:sz w:val="18"/>
              </w:rPr>
              <w:t>Microsoft.EntityFrameworkCore.Design 10.0.11</w:t>
            </w:r>
          </w:p>
        </w:tc>
        <w:tc>
          <w:tcPr>
            <w:tcW w:type="dxa" w:w="1800"/>
            <w:vAlign w:val="center"/>
            <w:tcMar>
              <w:top w:w="90" w:type="dxa"/>
              <w:start w:w="120" w:type="dxa"/>
              <w:bottom w:w="90" w:type="dxa"/>
              <w:end w:w="120" w:type="dxa"/>
            </w:tcMar>
          </w:tcPr>
          <w:p>
            <w:pPr>
              <w:spacing w:after="0" w:line="259" w:lineRule="auto"/>
            </w:pPr>
            <w:r>
              <w:rPr>
                <w:rFonts w:ascii="Aptos" w:hAnsi="Aptos"/>
                <w:b w:val="0"/>
                <w:i w:val="0"/>
                <w:color w:val="1E293B"/>
                <w:sz w:val="18"/>
              </w:rPr>
              <w:t>API</w:t>
            </w:r>
          </w:p>
        </w:tc>
        <w:tc>
          <w:tcPr>
            <w:tcW w:type="dxa" w:w="4120"/>
            <w:vAlign w:val="center"/>
            <w:tcMar>
              <w:top w:w="90" w:type="dxa"/>
              <w:start w:w="120" w:type="dxa"/>
              <w:bottom w:w="90" w:type="dxa"/>
              <w:end w:w="120" w:type="dxa"/>
            </w:tcMar>
          </w:tcPr>
          <w:p>
            <w:pPr>
              <w:spacing w:after="0" w:line="259" w:lineRule="auto"/>
            </w:pPr>
            <w:r>
              <w:rPr>
                <w:rFonts w:ascii="Aptos" w:hAnsi="Aptos"/>
                <w:b w:val="0"/>
                <w:i w:val="0"/>
                <w:color w:val="1E293B"/>
                <w:sz w:val="18"/>
              </w:rPr>
              <w:t>Required because API is the startup project used by EF tooling</w:t>
            </w:r>
          </w:p>
        </w:tc>
      </w:tr>
    </w:tbl>
    <w:p>
      <w:pPr>
        <w:spacing w:after="40"/>
      </w:pPr>
    </w:p>
    <w:p>
      <w:r>
        <w:rPr>
          <w:rFonts w:ascii="Aptos" w:hAnsi="Aptos"/>
          <w:b w:val="0"/>
          <w:i w:val="0"/>
          <w:color w:val="1E293B"/>
          <w:sz w:val="21"/>
        </w:rPr>
        <w:t>The Domain and Application projects do not reference EF Core. This preserves the dependency direction: technical persistence details point inward toward business abstractions, while the business layers do not point outward to a database framework.</w:t>
      </w:r>
    </w:p>
    <w:p>
      <w:pPr>
        <w:pStyle w:val="Heading1"/>
      </w:pPr>
      <w:r>
        <w:t>5. Preparing the Domain entity for EF Core</w:t>
      </w:r>
    </w:p>
    <w:p>
      <w:pPr>
        <w:pStyle w:val="Heading2"/>
      </w:pPr>
      <w:r>
        <w:t>5.1 Technical identity and business identity</w:t>
      </w:r>
    </w:p>
    <w:tbl>
      <w:tblPr>
        <w:tblStyle w:val="TableGrid"/>
        <w:tblW w:type="dxa" w:w="9020"/>
        <w:tblLayout w:type="fixed"/>
        <w:tblLook w:firstColumn="1" w:firstRow="1" w:lastColumn="0" w:lastRow="0" w:noHBand="0" w:noVBand="1" w:val="04A0"/>
        <w:jc w:val="left"/>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Ind w:w="120" w:type="dxa"/>
      </w:tblPr>
      <w:tblGrid>
        <w:gridCol w:w="1900"/>
        <w:gridCol w:w="4000"/>
        <w:gridCol w:w="3120"/>
      </w:tblGrid>
      <w:tr>
        <w:trPr>
          <w:tblHeader w:val="true"/>
          <w:cantSplit w:val="true"/>
        </w:trPr>
        <w:tc>
          <w:tcPr>
            <w:tcW w:type="dxa" w:w="1900"/>
            <w:shd w:fill="EAF1FF" w:val="clear"/>
            <w:vAlign w:val="center"/>
            <w:tcMar>
              <w:top w:w="90" w:type="dxa"/>
              <w:start w:w="120" w:type="dxa"/>
              <w:bottom w:w="90" w:type="dxa"/>
              <w:end w:w="120" w:type="dxa"/>
            </w:tcMar>
          </w:tcPr>
          <w:p>
            <w:pPr>
              <w:spacing w:after="0"/>
              <w:jc w:val="left"/>
            </w:pPr>
            <w:r>
              <w:rPr>
                <w:rFonts w:ascii="Aptos" w:hAnsi="Aptos"/>
                <w:b/>
                <w:i w:val="0"/>
                <w:color w:val="0B1739"/>
                <w:sz w:val="18"/>
              </w:rPr>
              <w:t>Property</w:t>
            </w:r>
          </w:p>
        </w:tc>
        <w:tc>
          <w:tcPr>
            <w:tcW w:type="dxa" w:w="4000"/>
            <w:shd w:fill="EAF1FF" w:val="clear"/>
            <w:vAlign w:val="center"/>
            <w:tcMar>
              <w:top w:w="90" w:type="dxa"/>
              <w:start w:w="120" w:type="dxa"/>
              <w:bottom w:w="90" w:type="dxa"/>
              <w:end w:w="120" w:type="dxa"/>
            </w:tcMar>
          </w:tcPr>
          <w:p>
            <w:pPr>
              <w:spacing w:after="0"/>
              <w:jc w:val="left"/>
            </w:pPr>
            <w:r>
              <w:rPr>
                <w:rFonts w:ascii="Aptos" w:hAnsi="Aptos"/>
                <w:b/>
                <w:i w:val="0"/>
                <w:color w:val="0B1739"/>
                <w:sz w:val="18"/>
              </w:rPr>
              <w:t>Meaning</w:t>
            </w:r>
          </w:p>
        </w:tc>
        <w:tc>
          <w:tcPr>
            <w:tcW w:type="dxa" w:w="3120"/>
            <w:shd w:fill="EAF1FF" w:val="clear"/>
            <w:vAlign w:val="center"/>
            <w:tcMar>
              <w:top w:w="90" w:type="dxa"/>
              <w:start w:w="120" w:type="dxa"/>
              <w:bottom w:w="90" w:type="dxa"/>
              <w:end w:w="120" w:type="dxa"/>
            </w:tcMar>
          </w:tcPr>
          <w:p>
            <w:pPr>
              <w:spacing w:after="0"/>
              <w:jc w:val="left"/>
            </w:pPr>
            <w:r>
              <w:rPr>
                <w:rFonts w:ascii="Aptos" w:hAnsi="Aptos"/>
                <w:b/>
                <w:i w:val="0"/>
                <w:color w:val="0B1739"/>
                <w:sz w:val="18"/>
              </w:rPr>
              <w:t>Rule</w:t>
            </w:r>
          </w:p>
        </w:tc>
      </w:tr>
      <w:tr>
        <w:trPr>
          <w:cantSplit w:val="true"/>
        </w:trPr>
        <w:tc>
          <w:tcPr>
            <w:tcW w:type="dxa" w:w="1900"/>
            <w:vAlign w:val="center"/>
            <w:tcMar>
              <w:top w:w="90" w:type="dxa"/>
              <w:start w:w="120" w:type="dxa"/>
              <w:bottom w:w="90" w:type="dxa"/>
              <w:end w:w="120" w:type="dxa"/>
            </w:tcMar>
          </w:tcPr>
          <w:p>
            <w:pPr>
              <w:spacing w:after="0" w:line="259" w:lineRule="auto"/>
            </w:pPr>
            <w:r>
              <w:rPr>
                <w:rFonts w:ascii="Aptos" w:hAnsi="Aptos"/>
                <w:b w:val="0"/>
                <w:i w:val="0"/>
                <w:color w:val="1E293B"/>
                <w:sz w:val="18"/>
              </w:rPr>
              <w:t>Id</w:t>
            </w:r>
          </w:p>
        </w:tc>
        <w:tc>
          <w:tcPr>
            <w:tcW w:type="dxa" w:w="4000"/>
            <w:vAlign w:val="center"/>
            <w:tcMar>
              <w:top w:w="90" w:type="dxa"/>
              <w:start w:w="120" w:type="dxa"/>
              <w:bottom w:w="90" w:type="dxa"/>
              <w:end w:w="120" w:type="dxa"/>
            </w:tcMar>
          </w:tcPr>
          <w:p>
            <w:pPr>
              <w:spacing w:after="0" w:line="259" w:lineRule="auto"/>
            </w:pPr>
            <w:r>
              <w:rPr>
                <w:rFonts w:ascii="Aptos" w:hAnsi="Aptos"/>
                <w:b w:val="0"/>
                <w:i w:val="0"/>
                <w:color w:val="1E293B"/>
                <w:sz w:val="18"/>
              </w:rPr>
              <w:t>Technical database identity</w:t>
            </w:r>
          </w:p>
        </w:tc>
        <w:tc>
          <w:tcPr>
            <w:tcW w:type="dxa" w:w="3120"/>
            <w:vAlign w:val="center"/>
            <w:tcMar>
              <w:top w:w="90" w:type="dxa"/>
              <w:start w:w="120" w:type="dxa"/>
              <w:bottom w:w="90" w:type="dxa"/>
              <w:end w:w="120" w:type="dxa"/>
            </w:tcMar>
          </w:tcPr>
          <w:p>
            <w:pPr>
              <w:spacing w:after="0" w:line="259" w:lineRule="auto"/>
            </w:pPr>
            <w:r>
              <w:rPr>
                <w:rFonts w:ascii="Aptos" w:hAnsi="Aptos"/>
                <w:b w:val="0"/>
                <w:i w:val="0"/>
                <w:color w:val="1E293B"/>
                <w:sz w:val="18"/>
              </w:rPr>
              <w:t>Non-empty GUID; primary key</w:t>
            </w:r>
          </w:p>
        </w:tc>
      </w:tr>
      <w:tr>
        <w:trPr>
          <w:cantSplit w:val="true"/>
        </w:trPr>
        <w:tc>
          <w:tcPr>
            <w:tcW w:type="dxa" w:w="1900"/>
            <w:vAlign w:val="center"/>
            <w:tcMar>
              <w:top w:w="90" w:type="dxa"/>
              <w:start w:w="120" w:type="dxa"/>
              <w:bottom w:w="90" w:type="dxa"/>
              <w:end w:w="120" w:type="dxa"/>
            </w:tcMar>
          </w:tcPr>
          <w:p>
            <w:pPr>
              <w:spacing w:after="0" w:line="259" w:lineRule="auto"/>
            </w:pPr>
            <w:r>
              <w:rPr>
                <w:rFonts w:ascii="Aptos" w:hAnsi="Aptos"/>
                <w:b w:val="0"/>
                <w:i w:val="0"/>
                <w:color w:val="1E293B"/>
                <w:sz w:val="18"/>
              </w:rPr>
              <w:t>ReferenceNumber</w:t>
            </w:r>
          </w:p>
        </w:tc>
        <w:tc>
          <w:tcPr>
            <w:tcW w:type="dxa" w:w="4000"/>
            <w:vAlign w:val="center"/>
            <w:tcMar>
              <w:top w:w="90" w:type="dxa"/>
              <w:start w:w="120" w:type="dxa"/>
              <w:bottom w:w="90" w:type="dxa"/>
              <w:end w:w="120" w:type="dxa"/>
            </w:tcMar>
          </w:tcPr>
          <w:p>
            <w:pPr>
              <w:spacing w:after="0" w:line="259" w:lineRule="auto"/>
            </w:pPr>
            <w:r>
              <w:rPr>
                <w:rFonts w:ascii="Aptos" w:hAnsi="Aptos"/>
                <w:b w:val="0"/>
                <w:i w:val="0"/>
                <w:color w:val="1E293B"/>
                <w:sz w:val="18"/>
              </w:rPr>
              <w:t>Human/business identity such as CG-101</w:t>
            </w:r>
          </w:p>
        </w:tc>
        <w:tc>
          <w:tcPr>
            <w:tcW w:type="dxa" w:w="3120"/>
            <w:vAlign w:val="center"/>
            <w:tcMar>
              <w:top w:w="90" w:type="dxa"/>
              <w:start w:w="120" w:type="dxa"/>
              <w:bottom w:w="90" w:type="dxa"/>
              <w:end w:w="120" w:type="dxa"/>
            </w:tcMar>
          </w:tcPr>
          <w:p>
            <w:pPr>
              <w:spacing w:after="0" w:line="259" w:lineRule="auto"/>
            </w:pPr>
            <w:r>
              <w:rPr>
                <w:rFonts w:ascii="Aptos" w:hAnsi="Aptos"/>
                <w:b w:val="0"/>
                <w:i w:val="0"/>
                <w:color w:val="1E293B"/>
                <w:sz w:val="18"/>
              </w:rPr>
              <w:t>Required and protected by a unique index</w:t>
            </w:r>
          </w:p>
        </w:tc>
      </w:tr>
      <w:tr>
        <w:trPr>
          <w:cantSplit w:val="true"/>
        </w:trPr>
        <w:tc>
          <w:tcPr>
            <w:tcW w:type="dxa" w:w="1900"/>
            <w:vAlign w:val="center"/>
            <w:tcMar>
              <w:top w:w="90" w:type="dxa"/>
              <w:start w:w="120" w:type="dxa"/>
              <w:bottom w:w="90" w:type="dxa"/>
              <w:end w:w="120" w:type="dxa"/>
            </w:tcMar>
          </w:tcPr>
          <w:p>
            <w:pPr>
              <w:spacing w:after="0" w:line="259" w:lineRule="auto"/>
            </w:pPr>
            <w:r>
              <w:rPr>
                <w:rFonts w:ascii="Aptos" w:hAnsi="Aptos"/>
                <w:b w:val="0"/>
                <w:i w:val="0"/>
                <w:color w:val="1E293B"/>
                <w:sz w:val="18"/>
              </w:rPr>
              <w:t>CreatedUtc</w:t>
            </w:r>
          </w:p>
        </w:tc>
        <w:tc>
          <w:tcPr>
            <w:tcW w:type="dxa" w:w="4000"/>
            <w:vAlign w:val="center"/>
            <w:tcMar>
              <w:top w:w="90" w:type="dxa"/>
              <w:start w:w="120" w:type="dxa"/>
              <w:bottom w:w="90" w:type="dxa"/>
              <w:end w:w="120" w:type="dxa"/>
            </w:tcMar>
          </w:tcPr>
          <w:p>
            <w:pPr>
              <w:spacing w:after="0" w:line="259" w:lineRule="auto"/>
            </w:pPr>
            <w:r>
              <w:rPr>
                <w:rFonts w:ascii="Aptos" w:hAnsi="Aptos"/>
                <w:b w:val="0"/>
                <w:i w:val="0"/>
                <w:color w:val="1E293B"/>
                <w:sz w:val="18"/>
              </w:rPr>
              <w:t>Audit timestamp</w:t>
            </w:r>
          </w:p>
        </w:tc>
        <w:tc>
          <w:tcPr>
            <w:tcW w:type="dxa" w:w="3120"/>
            <w:vAlign w:val="center"/>
            <w:tcMar>
              <w:top w:w="90" w:type="dxa"/>
              <w:start w:w="120" w:type="dxa"/>
              <w:bottom w:w="90" w:type="dxa"/>
              <w:end w:w="120" w:type="dxa"/>
            </w:tcMar>
          </w:tcPr>
          <w:p>
            <w:pPr>
              <w:spacing w:after="0" w:line="259" w:lineRule="auto"/>
            </w:pPr>
            <w:r>
              <w:rPr>
                <w:rFonts w:ascii="Aptos" w:hAnsi="Aptos"/>
                <w:b w:val="0"/>
                <w:i w:val="0"/>
                <w:color w:val="1E293B"/>
                <w:sz w:val="18"/>
              </w:rPr>
              <w:t>Assigned when the entity is created</w:t>
            </w:r>
          </w:p>
        </w:tc>
      </w:tr>
    </w:tbl>
    <w:p>
      <w:pPr>
        <w:spacing w:after="40"/>
      </w:pPr>
    </w:p>
    <w:p>
      <w:r>
        <w:rPr>
          <w:rFonts w:ascii="Aptos" w:hAnsi="Aptos"/>
          <w:b w:val="0"/>
          <w:i w:val="0"/>
          <w:color w:val="1E293B"/>
          <w:sz w:val="21"/>
        </w:rPr>
        <w:t>A primary key identifies the row internally. A unique business key expresses a real business invariant. They solve related but different problems, so ChangeGuard keeps both.</w:t>
      </w:r>
    </w:p>
    <w:p>
      <w:pPr>
        <w:pStyle w:val="Heading2"/>
      </w:pPr>
      <w:r>
        <w:t>5.2 Private parameterless constructor</w:t>
      </w:r>
    </w:p>
    <w:p>
      <w:r>
        <w:rPr>
          <w:rFonts w:ascii="Aptos" w:hAnsi="Aptos"/>
          <w:b w:val="0"/>
          <w:i w:val="0"/>
          <w:color w:val="1E293B"/>
          <w:sz w:val="21"/>
        </w:rPr>
        <w:t>EF Core needs a way to reconstruct an entity when reading database values. A private parameterless constructor allows EF Core to materialize the object while preventing normal application code from bypassing the validated public constructor.</w:t>
      </w:r>
    </w:p>
    <w:p>
      <w:pPr>
        <w:spacing w:before="80" w:after="160" w:line="240" w:lineRule="auto"/>
        <w:ind w:left="173" w:right="86"/>
        <w:shd w:fill="F5F7FA" w:val="clear"/>
        <w:pBdr>
          <w:left w:val="single" w:sz="12" w:space="8" w:color="CBD5E1"/>
        </w:pBdr>
      </w:pPr>
      <w:r>
        <w:rPr>
          <w:rFonts w:ascii="Consolas" w:hAnsi="Consolas"/>
          <w:b w:val="0"/>
          <w:i w:val="0"/>
          <w:color w:val="0B1739"/>
          <w:sz w:val="17"/>
        </w:rPr>
        <w:t>private ChangeRequest()</w:t>
        <w:br/>
        <w:t>{</w:t>
        <w:br/>
        <w:t xml:space="preserve">    ReferenceNumber = string.Empty;</w:t>
        <w:br/>
        <w:t xml:space="preserve">    Title = string.Empty;</w:t>
        <w:br/>
        <w:t>}</w:t>
      </w:r>
    </w:p>
    <w:p>
      <w:pPr>
        <w:pStyle w:val="Heading2"/>
      </w:pPr>
      <w:r>
        <w:t>5.3 Private setters</w:t>
      </w:r>
    </w:p>
    <w:p>
      <w:r>
        <w:rPr>
          <w:rFonts w:ascii="Aptos" w:hAnsi="Aptos"/>
          <w:b w:val="0"/>
          <w:i w:val="0"/>
          <w:color w:val="1E293B"/>
          <w:sz w:val="21"/>
        </w:rPr>
        <w:t>Private setters support encapsulation. Outside callers can read the state but cannot perform arbitrary assignments such as setting HasQaEvidence to true. State changes occur through meaningful domain methods such as RecordQaEvidence(). EF Core can still populate mapped properties.</w:t>
      </w:r>
    </w:p>
    <w:p>
      <w:pPr>
        <w:spacing w:before="100" w:after="160" w:line="274" w:lineRule="auto"/>
        <w:ind w:left="115" w:right="86"/>
        <w:shd w:fill="EAF1FF" w:val="clear"/>
        <w:pBdr>
          <w:left w:val="single" w:sz="18" w:space="8" w:color="255CE8"/>
        </w:pBdr>
      </w:pPr>
      <w:r>
        <w:rPr>
          <w:rFonts w:ascii="Aptos" w:hAnsi="Aptos"/>
          <w:b/>
          <w:i w:val="0"/>
          <w:color w:val="255CE8"/>
          <w:sz w:val="20"/>
        </w:rPr>
        <w:t xml:space="preserve">Interview memory line: </w:t>
      </w:r>
      <w:r>
        <w:rPr>
          <w:rFonts w:ascii="Aptos" w:hAnsi="Aptos"/>
          <w:b w:val="0"/>
          <w:i w:val="0"/>
          <w:color w:val="1E293B"/>
          <w:sz w:val="20"/>
        </w:rPr>
        <w:t>A private setter protects the invariant; a domain method explains the business action.</w:t>
      </w:r>
    </w:p>
    <w:p>
      <w:pPr>
        <w:pStyle w:val="Heading2"/>
      </w:pPr>
      <w:r>
        <w:t>5.4 Computed values are not persisted</w:t>
      </w:r>
    </w:p>
    <w:p>
      <w:r>
        <w:rPr>
          <w:rFonts w:ascii="Aptos" w:hAnsi="Aptos"/>
          <w:b w:val="0"/>
          <w:i w:val="0"/>
          <w:color w:val="1E293B"/>
          <w:sz w:val="21"/>
        </w:rPr>
        <w:t>Release-readiness Score, IsBlocked and CanMoveToReleaseApproval are calculated from current business state. They were deliberately not stored because calculated values can become stale when rules or inputs change. The Domain remains the single source of truth for the calculation.</w:t>
      </w:r>
    </w:p>
    <w:p>
      <w:pPr>
        <w:pStyle w:val="Heading1"/>
      </w:pPr>
      <w:r>
        <w:t>6. DbContext and DbSet</w:t>
      </w:r>
    </w:p>
    <w:p>
      <w:pPr>
        <w:pStyle w:val="Heading2"/>
      </w:pPr>
      <w:r>
        <w:t>6.1 DbContext</w:t>
      </w:r>
    </w:p>
    <w:p>
      <w:r>
        <w:rPr>
          <w:rFonts w:ascii="Aptos" w:hAnsi="Aptos"/>
          <w:b w:val="0"/>
          <w:i w:val="0"/>
          <w:color w:val="1E293B"/>
          <w:sz w:val="21"/>
        </w:rPr>
        <w:t>ChangeGuardDbContext is EF Core's session with the database for a unit of work. It holds configuration, exposes entity sets, translates LINQ expressions and coordinates query or save operations.</w:t>
      </w:r>
    </w:p>
    <w:p>
      <w:pPr>
        <w:spacing w:before="100" w:after="160" w:line="274" w:lineRule="auto"/>
        <w:ind w:left="115" w:right="86"/>
        <w:shd w:fill="FFF7DF" w:val="clear"/>
        <w:pBdr>
          <w:left w:val="single" w:sz="18" w:space="8" w:color="9A6700"/>
        </w:pBdr>
      </w:pPr>
      <w:r>
        <w:rPr>
          <w:rFonts w:ascii="Aptos" w:hAnsi="Aptos"/>
          <w:b/>
          <w:i w:val="0"/>
          <w:color w:val="9A6700"/>
          <w:sz w:val="20"/>
        </w:rPr>
        <w:t xml:space="preserve">Correction: </w:t>
      </w:r>
      <w:r>
        <w:rPr>
          <w:rFonts w:ascii="Aptos" w:hAnsi="Aptos"/>
          <w:b w:val="0"/>
          <w:i w:val="0"/>
          <w:color w:val="1E293B"/>
          <w:sz w:val="20"/>
        </w:rPr>
        <w:t>A DbContext does not necessarily hold one database connection open for the entire HTTP request. It normally opens and closes the underlying connection as database operations require, while the DbContext itself remains scoped to the request.</w:t>
      </w:r>
    </w:p>
    <w:p>
      <w:pPr>
        <w:pStyle w:val="Heading2"/>
      </w:pPr>
      <w:r>
        <w:t>6.2 DbSet</w:t>
      </w:r>
    </w:p>
    <w:p>
      <w:r>
        <w:rPr>
          <w:rFonts w:ascii="Aptos" w:hAnsi="Aptos"/>
          <w:b w:val="0"/>
          <w:i w:val="0"/>
          <w:color w:val="1E293B"/>
          <w:sz w:val="21"/>
        </w:rPr>
        <w:t>DbSet&lt;ChangeRequest&gt; is the query and persistence entry point for ChangeRequest entities. It behaves like a queryable source, but it is not simply an in-memory List&lt;ChangeRequest&gt;.</w:t>
      </w:r>
    </w:p>
    <w:p>
      <w:pPr>
        <w:spacing w:before="80" w:after="160" w:line="240" w:lineRule="auto"/>
        <w:ind w:left="173" w:right="86"/>
        <w:shd w:fill="F5F7FA" w:val="clear"/>
        <w:pBdr>
          <w:left w:val="single" w:sz="12" w:space="8" w:color="CBD5E1"/>
        </w:pBdr>
      </w:pPr>
      <w:r>
        <w:rPr>
          <w:rFonts w:ascii="Consolas" w:hAnsi="Consolas"/>
          <w:b w:val="0"/>
          <w:i w:val="0"/>
          <w:color w:val="0B1739"/>
          <w:sz w:val="17"/>
        </w:rPr>
        <w:t>public DbSet&lt;ChangeRequest&gt; ChangeRequests =&gt; Set&lt;ChangeRequest&gt;();</w:t>
      </w:r>
    </w:p>
    <w:p>
      <w:pPr>
        <w:pStyle w:val="Heading2"/>
      </w:pPr>
      <w:r>
        <w:t>6.3 Change tracking</w:t>
      </w:r>
    </w:p>
    <w:p>
      <w:r>
        <w:rPr>
          <w:rFonts w:ascii="Aptos" w:hAnsi="Aptos"/>
          <w:b w:val="0"/>
          <w:i w:val="0"/>
          <w:color w:val="1E293B"/>
          <w:sz w:val="21"/>
        </w:rPr>
        <w:t>By default, EF Core tracks loaded entities so that later modifications can be detected and written during SaveChangesAsync(). Tracking consumes memory and adds bookkeeping. For a read-only release-readiness query, AsNoTracking() avoids that cost.</w:t>
      </w:r>
    </w:p>
    <w:tbl>
      <w:tblPr>
        <w:tblStyle w:val="TableGrid"/>
        <w:tblW w:type="dxa" w:w="9020"/>
        <w:tblLayout w:type="fixed"/>
        <w:tblLook w:firstColumn="1" w:firstRow="1" w:lastColumn="0" w:lastRow="0" w:noHBand="0" w:noVBand="1" w:val="04A0"/>
        <w:jc w:val="left"/>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Ind w:w="120" w:type="dxa"/>
      </w:tblPr>
      <w:tblGrid>
        <w:gridCol w:w="1800"/>
        <w:gridCol w:w="3800"/>
        <w:gridCol w:w="3420"/>
      </w:tblGrid>
      <w:tr>
        <w:trPr>
          <w:tblHeader w:val="true"/>
          <w:cantSplit w:val="true"/>
        </w:trPr>
        <w:tc>
          <w:tcPr>
            <w:tcW w:type="dxa" w:w="1800"/>
            <w:shd w:fill="EAF1FF" w:val="clear"/>
            <w:vAlign w:val="center"/>
            <w:tcMar>
              <w:top w:w="90" w:type="dxa"/>
              <w:start w:w="120" w:type="dxa"/>
              <w:bottom w:w="90" w:type="dxa"/>
              <w:end w:w="120" w:type="dxa"/>
            </w:tcMar>
          </w:tcPr>
          <w:p>
            <w:pPr>
              <w:spacing w:after="0"/>
              <w:jc w:val="left"/>
            </w:pPr>
            <w:r>
              <w:rPr>
                <w:rFonts w:ascii="Aptos" w:hAnsi="Aptos"/>
                <w:b/>
                <w:i w:val="0"/>
                <w:color w:val="0B1739"/>
                <w:sz w:val="18"/>
              </w:rPr>
              <w:t>Mode</w:t>
            </w:r>
          </w:p>
        </w:tc>
        <w:tc>
          <w:tcPr>
            <w:tcW w:type="dxa" w:w="3800"/>
            <w:shd w:fill="EAF1FF" w:val="clear"/>
            <w:vAlign w:val="center"/>
            <w:tcMar>
              <w:top w:w="90" w:type="dxa"/>
              <w:start w:w="120" w:type="dxa"/>
              <w:bottom w:w="90" w:type="dxa"/>
              <w:end w:w="120" w:type="dxa"/>
            </w:tcMar>
          </w:tcPr>
          <w:p>
            <w:pPr>
              <w:spacing w:after="0"/>
              <w:jc w:val="left"/>
            </w:pPr>
            <w:r>
              <w:rPr>
                <w:rFonts w:ascii="Aptos" w:hAnsi="Aptos"/>
                <w:b/>
                <w:i w:val="0"/>
                <w:color w:val="0B1739"/>
                <w:sz w:val="18"/>
              </w:rPr>
              <w:t>Use when</w:t>
            </w:r>
          </w:p>
        </w:tc>
        <w:tc>
          <w:tcPr>
            <w:tcW w:type="dxa" w:w="3420"/>
            <w:shd w:fill="EAF1FF" w:val="clear"/>
            <w:vAlign w:val="center"/>
            <w:tcMar>
              <w:top w:w="90" w:type="dxa"/>
              <w:start w:w="120" w:type="dxa"/>
              <w:bottom w:w="90" w:type="dxa"/>
              <w:end w:w="120" w:type="dxa"/>
            </w:tcMar>
          </w:tcPr>
          <w:p>
            <w:pPr>
              <w:spacing w:after="0"/>
              <w:jc w:val="left"/>
            </w:pPr>
            <w:r>
              <w:rPr>
                <w:rFonts w:ascii="Aptos" w:hAnsi="Aptos"/>
                <w:b/>
                <w:i w:val="0"/>
                <w:color w:val="0B1739"/>
                <w:sz w:val="18"/>
              </w:rPr>
              <w:t>Trade-off</w:t>
            </w:r>
          </w:p>
        </w:tc>
      </w:tr>
      <w:tr>
        <w:trPr>
          <w:cantSplit w:val="true"/>
        </w:trPr>
        <w:tc>
          <w:tcPr>
            <w:tcW w:type="dxa" w:w="1800"/>
            <w:vAlign w:val="center"/>
            <w:tcMar>
              <w:top w:w="90" w:type="dxa"/>
              <w:start w:w="120" w:type="dxa"/>
              <w:bottom w:w="90" w:type="dxa"/>
              <w:end w:w="120" w:type="dxa"/>
            </w:tcMar>
          </w:tcPr>
          <w:p>
            <w:pPr>
              <w:spacing w:after="0" w:line="259" w:lineRule="auto"/>
            </w:pPr>
            <w:r>
              <w:rPr>
                <w:rFonts w:ascii="Aptos" w:hAnsi="Aptos"/>
                <w:b w:val="0"/>
                <w:i w:val="0"/>
                <w:color w:val="1E293B"/>
                <w:sz w:val="18"/>
              </w:rPr>
              <w:t>Tracked query</w:t>
            </w:r>
          </w:p>
        </w:tc>
        <w:tc>
          <w:tcPr>
            <w:tcW w:type="dxa" w:w="3800"/>
            <w:vAlign w:val="center"/>
            <w:tcMar>
              <w:top w:w="90" w:type="dxa"/>
              <w:start w:w="120" w:type="dxa"/>
              <w:bottom w:w="90" w:type="dxa"/>
              <w:end w:w="120" w:type="dxa"/>
            </w:tcMar>
          </w:tcPr>
          <w:p>
            <w:pPr>
              <w:spacing w:after="0" w:line="259" w:lineRule="auto"/>
            </w:pPr>
            <w:r>
              <w:rPr>
                <w:rFonts w:ascii="Aptos" w:hAnsi="Aptos"/>
                <w:b w:val="0"/>
                <w:i w:val="0"/>
                <w:color w:val="1E293B"/>
                <w:sz w:val="18"/>
              </w:rPr>
              <w:t>The entity will be changed and saved</w:t>
            </w:r>
          </w:p>
        </w:tc>
        <w:tc>
          <w:tcPr>
            <w:tcW w:type="dxa" w:w="3420"/>
            <w:vAlign w:val="center"/>
            <w:tcMar>
              <w:top w:w="90" w:type="dxa"/>
              <w:start w:w="120" w:type="dxa"/>
              <w:bottom w:w="90" w:type="dxa"/>
              <w:end w:w="120" w:type="dxa"/>
            </w:tcMar>
          </w:tcPr>
          <w:p>
            <w:pPr>
              <w:spacing w:after="0" w:line="259" w:lineRule="auto"/>
            </w:pPr>
            <w:r>
              <w:rPr>
                <w:rFonts w:ascii="Aptos" w:hAnsi="Aptos"/>
                <w:b w:val="0"/>
                <w:i w:val="0"/>
                <w:color w:val="1E293B"/>
                <w:sz w:val="18"/>
              </w:rPr>
              <w:t>Convenient updates; additional tracking overhead</w:t>
            </w:r>
          </w:p>
        </w:tc>
      </w:tr>
      <w:tr>
        <w:trPr>
          <w:cantSplit w:val="true"/>
        </w:trPr>
        <w:tc>
          <w:tcPr>
            <w:tcW w:type="dxa" w:w="1800"/>
            <w:vAlign w:val="center"/>
            <w:tcMar>
              <w:top w:w="90" w:type="dxa"/>
              <w:start w:w="120" w:type="dxa"/>
              <w:bottom w:w="90" w:type="dxa"/>
              <w:end w:w="120" w:type="dxa"/>
            </w:tcMar>
          </w:tcPr>
          <w:p>
            <w:pPr>
              <w:spacing w:after="0" w:line="259" w:lineRule="auto"/>
            </w:pPr>
            <w:r>
              <w:rPr>
                <w:rFonts w:ascii="Aptos" w:hAnsi="Aptos"/>
                <w:b w:val="0"/>
                <w:i w:val="0"/>
                <w:color w:val="1E293B"/>
                <w:sz w:val="18"/>
              </w:rPr>
              <w:t>AsNoTracking</w:t>
            </w:r>
          </w:p>
        </w:tc>
        <w:tc>
          <w:tcPr>
            <w:tcW w:type="dxa" w:w="3800"/>
            <w:vAlign w:val="center"/>
            <w:tcMar>
              <w:top w:w="90" w:type="dxa"/>
              <w:start w:w="120" w:type="dxa"/>
              <w:bottom w:w="90" w:type="dxa"/>
              <w:end w:w="120" w:type="dxa"/>
            </w:tcMar>
          </w:tcPr>
          <w:p>
            <w:pPr>
              <w:spacing w:after="0" w:line="259" w:lineRule="auto"/>
            </w:pPr>
            <w:r>
              <w:rPr>
                <w:rFonts w:ascii="Aptos" w:hAnsi="Aptos"/>
                <w:b w:val="0"/>
                <w:i w:val="0"/>
                <w:color w:val="1E293B"/>
                <w:sz w:val="18"/>
              </w:rPr>
              <w:t>The operation only reads data</w:t>
            </w:r>
          </w:p>
        </w:tc>
        <w:tc>
          <w:tcPr>
            <w:tcW w:type="dxa" w:w="3420"/>
            <w:vAlign w:val="center"/>
            <w:tcMar>
              <w:top w:w="90" w:type="dxa"/>
              <w:start w:w="120" w:type="dxa"/>
              <w:bottom w:w="90" w:type="dxa"/>
              <w:end w:w="120" w:type="dxa"/>
            </w:tcMar>
          </w:tcPr>
          <w:p>
            <w:pPr>
              <w:spacing w:after="0" w:line="259" w:lineRule="auto"/>
            </w:pPr>
            <w:r>
              <w:rPr>
                <w:rFonts w:ascii="Aptos" w:hAnsi="Aptos"/>
                <w:b w:val="0"/>
                <w:i w:val="0"/>
                <w:color w:val="1E293B"/>
                <w:sz w:val="18"/>
              </w:rPr>
              <w:t>Lower overhead; changes are not automatically persisted</w:t>
            </w:r>
          </w:p>
        </w:tc>
      </w:tr>
    </w:tbl>
    <w:p>
      <w:pPr>
        <w:spacing w:after="40"/>
      </w:pPr>
    </w:p>
    <w:p>
      <w:pPr>
        <w:pStyle w:val="Heading1"/>
      </w:pPr>
      <w:r>
        <w:t>7. Fluent API entity configuration</w:t>
      </w:r>
    </w:p>
    <w:p>
      <w:r>
        <w:rPr>
          <w:rFonts w:ascii="Aptos" w:hAnsi="Aptos"/>
          <w:b w:val="0"/>
          <w:i w:val="0"/>
          <w:color w:val="1E293B"/>
          <w:sz w:val="21"/>
        </w:rPr>
        <w:t>ChangeRequestConfiguration belongs in Infrastructure because database column types, lengths, indexes and conversions are persistence concerns. Keeping EF attributes out of Domain avoids coupling business code to EF Core.</w:t>
      </w:r>
    </w:p>
    <w:tbl>
      <w:tblPr>
        <w:tblStyle w:val="TableGrid"/>
        <w:tblW w:type="dxa" w:w="9020"/>
        <w:tblLayout w:type="fixed"/>
        <w:tblLook w:firstColumn="1" w:firstRow="1" w:lastColumn="0" w:lastRow="0" w:noHBand="0" w:noVBand="1" w:val="04A0"/>
        <w:jc w:val="left"/>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Ind w:w="120" w:type="dxa"/>
      </w:tblPr>
      <w:tblGrid>
        <w:gridCol w:w="2200"/>
        <w:gridCol w:w="3000"/>
        <w:gridCol w:w="3820"/>
      </w:tblGrid>
      <w:tr>
        <w:trPr>
          <w:tblHeader w:val="true"/>
          <w:cantSplit w:val="true"/>
        </w:trPr>
        <w:tc>
          <w:tcPr>
            <w:tcW w:type="dxa" w:w="2200"/>
            <w:shd w:fill="EAF1FF" w:val="clear"/>
            <w:vAlign w:val="center"/>
            <w:tcMar>
              <w:top w:w="90" w:type="dxa"/>
              <w:start w:w="120" w:type="dxa"/>
              <w:bottom w:w="90" w:type="dxa"/>
              <w:end w:w="120" w:type="dxa"/>
            </w:tcMar>
          </w:tcPr>
          <w:p>
            <w:pPr>
              <w:spacing w:after="0"/>
              <w:jc w:val="left"/>
            </w:pPr>
            <w:r>
              <w:rPr>
                <w:rFonts w:ascii="Aptos" w:hAnsi="Aptos"/>
                <w:b/>
                <w:i w:val="0"/>
                <w:color w:val="0B1739"/>
                <w:sz w:val="18"/>
              </w:rPr>
              <w:t>Mapping</w:t>
            </w:r>
          </w:p>
        </w:tc>
        <w:tc>
          <w:tcPr>
            <w:tcW w:type="dxa" w:w="3000"/>
            <w:shd w:fill="EAF1FF" w:val="clear"/>
            <w:vAlign w:val="center"/>
            <w:tcMar>
              <w:top w:w="90" w:type="dxa"/>
              <w:start w:w="120" w:type="dxa"/>
              <w:bottom w:w="90" w:type="dxa"/>
              <w:end w:w="120" w:type="dxa"/>
            </w:tcMar>
          </w:tcPr>
          <w:p>
            <w:pPr>
              <w:spacing w:after="0"/>
              <w:jc w:val="left"/>
            </w:pPr>
            <w:r>
              <w:rPr>
                <w:rFonts w:ascii="Aptos" w:hAnsi="Aptos"/>
                <w:b/>
                <w:i w:val="0"/>
                <w:color w:val="0B1739"/>
                <w:sz w:val="18"/>
              </w:rPr>
              <w:t>Decision</w:t>
            </w:r>
          </w:p>
        </w:tc>
        <w:tc>
          <w:tcPr>
            <w:tcW w:type="dxa" w:w="3820"/>
            <w:shd w:fill="EAF1FF" w:val="clear"/>
            <w:vAlign w:val="center"/>
            <w:tcMar>
              <w:top w:w="90" w:type="dxa"/>
              <w:start w:w="120" w:type="dxa"/>
              <w:bottom w:w="90" w:type="dxa"/>
              <w:end w:w="120" w:type="dxa"/>
            </w:tcMar>
          </w:tcPr>
          <w:p>
            <w:pPr>
              <w:spacing w:after="0"/>
              <w:jc w:val="left"/>
            </w:pPr>
            <w:r>
              <w:rPr>
                <w:rFonts w:ascii="Aptos" w:hAnsi="Aptos"/>
                <w:b/>
                <w:i w:val="0"/>
                <w:color w:val="0B1739"/>
                <w:sz w:val="18"/>
              </w:rPr>
              <w:t>Reason</w:t>
            </w:r>
          </w:p>
        </w:tc>
      </w:tr>
      <w:tr>
        <w:trPr>
          <w:cantSplit w:val="true"/>
        </w:trPr>
        <w:tc>
          <w:tcPr>
            <w:tcW w:type="dxa" w:w="2200"/>
            <w:vAlign w:val="center"/>
            <w:tcMar>
              <w:top w:w="90" w:type="dxa"/>
              <w:start w:w="120" w:type="dxa"/>
              <w:bottom w:w="90" w:type="dxa"/>
              <w:end w:w="120" w:type="dxa"/>
            </w:tcMar>
          </w:tcPr>
          <w:p>
            <w:pPr>
              <w:spacing w:after="0" w:line="259" w:lineRule="auto"/>
            </w:pPr>
            <w:r>
              <w:rPr>
                <w:rFonts w:ascii="Aptos" w:hAnsi="Aptos"/>
                <w:b w:val="0"/>
                <w:i w:val="0"/>
                <w:color w:val="1E293B"/>
                <w:sz w:val="18"/>
              </w:rPr>
              <w:t>Table</w:t>
            </w:r>
          </w:p>
        </w:tc>
        <w:tc>
          <w:tcPr>
            <w:tcW w:type="dxa" w:w="3000"/>
            <w:vAlign w:val="center"/>
            <w:tcMar>
              <w:top w:w="90" w:type="dxa"/>
              <w:start w:w="120" w:type="dxa"/>
              <w:bottom w:w="90" w:type="dxa"/>
              <w:end w:w="120" w:type="dxa"/>
            </w:tcMar>
          </w:tcPr>
          <w:p>
            <w:pPr>
              <w:spacing w:after="0" w:line="259" w:lineRule="auto"/>
            </w:pPr>
            <w:r>
              <w:rPr>
                <w:rFonts w:ascii="Aptos" w:hAnsi="Aptos"/>
                <w:b w:val="0"/>
                <w:i w:val="0"/>
                <w:color w:val="1E293B"/>
                <w:sz w:val="18"/>
              </w:rPr>
              <w:t>ChangeRequests</w:t>
            </w:r>
          </w:p>
        </w:tc>
        <w:tc>
          <w:tcPr>
            <w:tcW w:type="dxa" w:w="3820"/>
            <w:vAlign w:val="center"/>
            <w:tcMar>
              <w:top w:w="90" w:type="dxa"/>
              <w:start w:w="120" w:type="dxa"/>
              <w:bottom w:w="90" w:type="dxa"/>
              <w:end w:w="120" w:type="dxa"/>
            </w:tcMar>
          </w:tcPr>
          <w:p>
            <w:pPr>
              <w:spacing w:after="0" w:line="259" w:lineRule="auto"/>
            </w:pPr>
            <w:r>
              <w:rPr>
                <w:rFonts w:ascii="Aptos" w:hAnsi="Aptos"/>
                <w:b w:val="0"/>
                <w:i w:val="0"/>
                <w:color w:val="1E293B"/>
                <w:sz w:val="18"/>
              </w:rPr>
              <w:t>Explicit schema intent</w:t>
            </w:r>
          </w:p>
        </w:tc>
      </w:tr>
      <w:tr>
        <w:trPr>
          <w:cantSplit w:val="true"/>
        </w:trPr>
        <w:tc>
          <w:tcPr>
            <w:tcW w:type="dxa" w:w="2200"/>
            <w:vAlign w:val="center"/>
            <w:tcMar>
              <w:top w:w="90" w:type="dxa"/>
              <w:start w:w="120" w:type="dxa"/>
              <w:bottom w:w="90" w:type="dxa"/>
              <w:end w:w="120" w:type="dxa"/>
            </w:tcMar>
          </w:tcPr>
          <w:p>
            <w:pPr>
              <w:spacing w:after="0" w:line="259" w:lineRule="auto"/>
            </w:pPr>
            <w:r>
              <w:rPr>
                <w:rFonts w:ascii="Aptos" w:hAnsi="Aptos"/>
                <w:b w:val="0"/>
                <w:i w:val="0"/>
                <w:color w:val="1E293B"/>
                <w:sz w:val="18"/>
              </w:rPr>
              <w:t>Id</w:t>
            </w:r>
          </w:p>
        </w:tc>
        <w:tc>
          <w:tcPr>
            <w:tcW w:type="dxa" w:w="3000"/>
            <w:vAlign w:val="center"/>
            <w:tcMar>
              <w:top w:w="90" w:type="dxa"/>
              <w:start w:w="120" w:type="dxa"/>
              <w:bottom w:w="90" w:type="dxa"/>
              <w:end w:w="120" w:type="dxa"/>
            </w:tcMar>
          </w:tcPr>
          <w:p>
            <w:pPr>
              <w:spacing w:after="0" w:line="259" w:lineRule="auto"/>
            </w:pPr>
            <w:r>
              <w:rPr>
                <w:rFonts w:ascii="Aptos" w:hAnsi="Aptos"/>
                <w:b w:val="0"/>
                <w:i w:val="0"/>
                <w:color w:val="1E293B"/>
                <w:sz w:val="18"/>
              </w:rPr>
              <w:t>Primary key; ValueGeneratedNever</w:t>
            </w:r>
          </w:p>
        </w:tc>
        <w:tc>
          <w:tcPr>
            <w:tcW w:type="dxa" w:w="3820"/>
            <w:vAlign w:val="center"/>
            <w:tcMar>
              <w:top w:w="90" w:type="dxa"/>
              <w:start w:w="120" w:type="dxa"/>
              <w:bottom w:w="90" w:type="dxa"/>
              <w:end w:w="120" w:type="dxa"/>
            </w:tcMar>
          </w:tcPr>
          <w:p>
            <w:pPr>
              <w:spacing w:after="0" w:line="259" w:lineRule="auto"/>
            </w:pPr>
            <w:r>
              <w:rPr>
                <w:rFonts w:ascii="Aptos" w:hAnsi="Aptos"/>
                <w:b w:val="0"/>
                <w:i w:val="0"/>
                <w:color w:val="1E293B"/>
                <w:sz w:val="18"/>
              </w:rPr>
              <w:t>The Domain creates the GUID</w:t>
            </w:r>
          </w:p>
        </w:tc>
      </w:tr>
      <w:tr>
        <w:trPr>
          <w:cantSplit w:val="true"/>
        </w:trPr>
        <w:tc>
          <w:tcPr>
            <w:tcW w:type="dxa" w:w="2200"/>
            <w:vAlign w:val="center"/>
            <w:tcMar>
              <w:top w:w="90" w:type="dxa"/>
              <w:start w:w="120" w:type="dxa"/>
              <w:bottom w:w="90" w:type="dxa"/>
              <w:end w:w="120" w:type="dxa"/>
            </w:tcMar>
          </w:tcPr>
          <w:p>
            <w:pPr>
              <w:spacing w:after="0" w:line="259" w:lineRule="auto"/>
            </w:pPr>
            <w:r>
              <w:rPr>
                <w:rFonts w:ascii="Aptos" w:hAnsi="Aptos"/>
                <w:b w:val="0"/>
                <w:i w:val="0"/>
                <w:color w:val="1E293B"/>
                <w:sz w:val="18"/>
              </w:rPr>
              <w:t>ReferenceNumber</w:t>
            </w:r>
          </w:p>
        </w:tc>
        <w:tc>
          <w:tcPr>
            <w:tcW w:type="dxa" w:w="3000"/>
            <w:vAlign w:val="center"/>
            <w:tcMar>
              <w:top w:w="90" w:type="dxa"/>
              <w:start w:w="120" w:type="dxa"/>
              <w:bottom w:w="90" w:type="dxa"/>
              <w:end w:w="120" w:type="dxa"/>
            </w:tcMar>
          </w:tcPr>
          <w:p>
            <w:pPr>
              <w:spacing w:after="0" w:line="259" w:lineRule="auto"/>
            </w:pPr>
            <w:r>
              <w:rPr>
                <w:rFonts w:ascii="Aptos" w:hAnsi="Aptos"/>
                <w:b w:val="0"/>
                <w:i w:val="0"/>
                <w:color w:val="1E293B"/>
                <w:sz w:val="18"/>
              </w:rPr>
              <w:t>Required, max 30, unique index</w:t>
            </w:r>
          </w:p>
        </w:tc>
        <w:tc>
          <w:tcPr>
            <w:tcW w:type="dxa" w:w="3820"/>
            <w:vAlign w:val="center"/>
            <w:tcMar>
              <w:top w:w="90" w:type="dxa"/>
              <w:start w:w="120" w:type="dxa"/>
              <w:bottom w:w="90" w:type="dxa"/>
              <w:end w:w="120" w:type="dxa"/>
            </w:tcMar>
          </w:tcPr>
          <w:p>
            <w:pPr>
              <w:spacing w:after="0" w:line="259" w:lineRule="auto"/>
            </w:pPr>
            <w:r>
              <w:rPr>
                <w:rFonts w:ascii="Aptos" w:hAnsi="Aptos"/>
                <w:b w:val="0"/>
                <w:i w:val="0"/>
                <w:color w:val="1E293B"/>
                <w:sz w:val="18"/>
              </w:rPr>
              <w:t>Protects business identity</w:t>
            </w:r>
          </w:p>
        </w:tc>
      </w:tr>
      <w:tr>
        <w:trPr>
          <w:cantSplit w:val="true"/>
        </w:trPr>
        <w:tc>
          <w:tcPr>
            <w:tcW w:type="dxa" w:w="2200"/>
            <w:vAlign w:val="center"/>
            <w:tcMar>
              <w:top w:w="90" w:type="dxa"/>
              <w:start w:w="120" w:type="dxa"/>
              <w:bottom w:w="90" w:type="dxa"/>
              <w:end w:w="120" w:type="dxa"/>
            </w:tcMar>
          </w:tcPr>
          <w:p>
            <w:pPr>
              <w:spacing w:after="0" w:line="259" w:lineRule="auto"/>
            </w:pPr>
            <w:r>
              <w:rPr>
                <w:rFonts w:ascii="Aptos" w:hAnsi="Aptos"/>
                <w:b w:val="0"/>
                <w:i w:val="0"/>
                <w:color w:val="1E293B"/>
                <w:sz w:val="18"/>
              </w:rPr>
              <w:t>Title</w:t>
            </w:r>
          </w:p>
        </w:tc>
        <w:tc>
          <w:tcPr>
            <w:tcW w:type="dxa" w:w="3000"/>
            <w:vAlign w:val="center"/>
            <w:tcMar>
              <w:top w:w="90" w:type="dxa"/>
              <w:start w:w="120" w:type="dxa"/>
              <w:bottom w:w="90" w:type="dxa"/>
              <w:end w:w="120" w:type="dxa"/>
            </w:tcMar>
          </w:tcPr>
          <w:p>
            <w:pPr>
              <w:spacing w:after="0" w:line="259" w:lineRule="auto"/>
            </w:pPr>
            <w:r>
              <w:rPr>
                <w:rFonts w:ascii="Aptos" w:hAnsi="Aptos"/>
                <w:b w:val="0"/>
                <w:i w:val="0"/>
                <w:color w:val="1E293B"/>
                <w:sz w:val="18"/>
              </w:rPr>
              <w:t>Required, max 200</w:t>
            </w:r>
          </w:p>
        </w:tc>
        <w:tc>
          <w:tcPr>
            <w:tcW w:type="dxa" w:w="3820"/>
            <w:vAlign w:val="center"/>
            <w:tcMar>
              <w:top w:w="90" w:type="dxa"/>
              <w:start w:w="120" w:type="dxa"/>
              <w:bottom w:w="90" w:type="dxa"/>
              <w:end w:w="120" w:type="dxa"/>
            </w:tcMar>
          </w:tcPr>
          <w:p>
            <w:pPr>
              <w:spacing w:after="0" w:line="259" w:lineRule="auto"/>
            </w:pPr>
            <w:r>
              <w:rPr>
                <w:rFonts w:ascii="Aptos" w:hAnsi="Aptos"/>
                <w:b w:val="0"/>
                <w:i w:val="0"/>
                <w:color w:val="1E293B"/>
                <w:sz w:val="18"/>
              </w:rPr>
              <w:t>Prevents unlimited/unexpected storage</w:t>
            </w:r>
          </w:p>
        </w:tc>
      </w:tr>
      <w:tr>
        <w:trPr>
          <w:cantSplit w:val="true"/>
        </w:trPr>
        <w:tc>
          <w:tcPr>
            <w:tcW w:type="dxa" w:w="2200"/>
            <w:vAlign w:val="center"/>
            <w:tcMar>
              <w:top w:w="90" w:type="dxa"/>
              <w:start w:w="120" w:type="dxa"/>
              <w:bottom w:w="90" w:type="dxa"/>
              <w:end w:w="120" w:type="dxa"/>
            </w:tcMar>
          </w:tcPr>
          <w:p>
            <w:pPr>
              <w:spacing w:after="0" w:line="259" w:lineRule="auto"/>
            </w:pPr>
            <w:r>
              <w:rPr>
                <w:rFonts w:ascii="Aptos" w:hAnsi="Aptos"/>
                <w:b w:val="0"/>
                <w:i w:val="0"/>
                <w:color w:val="1E293B"/>
                <w:sz w:val="18"/>
              </w:rPr>
              <w:t>Priority</w:t>
            </w:r>
          </w:p>
        </w:tc>
        <w:tc>
          <w:tcPr>
            <w:tcW w:type="dxa" w:w="3000"/>
            <w:vAlign w:val="center"/>
            <w:tcMar>
              <w:top w:w="90" w:type="dxa"/>
              <w:start w:w="120" w:type="dxa"/>
              <w:bottom w:w="90" w:type="dxa"/>
              <w:end w:w="120" w:type="dxa"/>
            </w:tcMar>
          </w:tcPr>
          <w:p>
            <w:pPr>
              <w:spacing w:after="0" w:line="259" w:lineRule="auto"/>
            </w:pPr>
            <w:r>
              <w:rPr>
                <w:rFonts w:ascii="Aptos" w:hAnsi="Aptos"/>
                <w:b w:val="0"/>
                <w:i w:val="0"/>
                <w:color w:val="1E293B"/>
                <w:sz w:val="18"/>
              </w:rPr>
              <w:t>String, max 20</w:t>
            </w:r>
          </w:p>
        </w:tc>
        <w:tc>
          <w:tcPr>
            <w:tcW w:type="dxa" w:w="3820"/>
            <w:vAlign w:val="center"/>
            <w:tcMar>
              <w:top w:w="90" w:type="dxa"/>
              <w:start w:w="120" w:type="dxa"/>
              <w:bottom w:w="90" w:type="dxa"/>
              <w:end w:w="120" w:type="dxa"/>
            </w:tcMar>
          </w:tcPr>
          <w:p>
            <w:pPr>
              <w:spacing w:after="0" w:line="259" w:lineRule="auto"/>
            </w:pPr>
            <w:r>
              <w:rPr>
                <w:rFonts w:ascii="Aptos" w:hAnsi="Aptos"/>
                <w:b w:val="0"/>
                <w:i w:val="0"/>
                <w:color w:val="1E293B"/>
                <w:sz w:val="18"/>
              </w:rPr>
              <w:t>Readable values such as Critical</w:t>
            </w:r>
          </w:p>
        </w:tc>
      </w:tr>
      <w:tr>
        <w:trPr>
          <w:cantSplit w:val="true"/>
        </w:trPr>
        <w:tc>
          <w:tcPr>
            <w:tcW w:type="dxa" w:w="2200"/>
            <w:vAlign w:val="center"/>
            <w:tcMar>
              <w:top w:w="90" w:type="dxa"/>
              <w:start w:w="120" w:type="dxa"/>
              <w:bottom w:w="90" w:type="dxa"/>
              <w:end w:w="120" w:type="dxa"/>
            </w:tcMar>
          </w:tcPr>
          <w:p>
            <w:pPr>
              <w:spacing w:after="0" w:line="259" w:lineRule="auto"/>
            </w:pPr>
            <w:r>
              <w:rPr>
                <w:rFonts w:ascii="Aptos" w:hAnsi="Aptos"/>
                <w:b w:val="0"/>
                <w:i w:val="0"/>
                <w:color w:val="1E293B"/>
                <w:sz w:val="18"/>
              </w:rPr>
              <w:t>Status</w:t>
            </w:r>
          </w:p>
        </w:tc>
        <w:tc>
          <w:tcPr>
            <w:tcW w:type="dxa" w:w="3000"/>
            <w:vAlign w:val="center"/>
            <w:tcMar>
              <w:top w:w="90" w:type="dxa"/>
              <w:start w:w="120" w:type="dxa"/>
              <w:bottom w:w="90" w:type="dxa"/>
              <w:end w:w="120" w:type="dxa"/>
            </w:tcMar>
          </w:tcPr>
          <w:p>
            <w:pPr>
              <w:spacing w:after="0" w:line="259" w:lineRule="auto"/>
            </w:pPr>
            <w:r>
              <w:rPr>
                <w:rFonts w:ascii="Aptos" w:hAnsi="Aptos"/>
                <w:b w:val="0"/>
                <w:i w:val="0"/>
                <w:color w:val="1E293B"/>
                <w:sz w:val="18"/>
              </w:rPr>
              <w:t>String, max 40</w:t>
            </w:r>
          </w:p>
        </w:tc>
        <w:tc>
          <w:tcPr>
            <w:tcW w:type="dxa" w:w="3820"/>
            <w:vAlign w:val="center"/>
            <w:tcMar>
              <w:top w:w="90" w:type="dxa"/>
              <w:start w:w="120" w:type="dxa"/>
              <w:bottom w:w="90" w:type="dxa"/>
              <w:end w:w="120" w:type="dxa"/>
            </w:tcMar>
          </w:tcPr>
          <w:p>
            <w:pPr>
              <w:spacing w:after="0" w:line="259" w:lineRule="auto"/>
            </w:pPr>
            <w:r>
              <w:rPr>
                <w:rFonts w:ascii="Aptos" w:hAnsi="Aptos"/>
                <w:b w:val="0"/>
                <w:i w:val="0"/>
                <w:color w:val="1E293B"/>
                <w:sz w:val="18"/>
              </w:rPr>
              <w:t>Readable values such as QaTesting</w:t>
            </w:r>
          </w:p>
        </w:tc>
      </w:tr>
      <w:tr>
        <w:trPr>
          <w:cantSplit w:val="true"/>
        </w:trPr>
        <w:tc>
          <w:tcPr>
            <w:tcW w:type="dxa" w:w="2200"/>
            <w:vAlign w:val="center"/>
            <w:tcMar>
              <w:top w:w="90" w:type="dxa"/>
              <w:start w:w="120" w:type="dxa"/>
              <w:bottom w:w="90" w:type="dxa"/>
              <w:end w:w="120" w:type="dxa"/>
            </w:tcMar>
          </w:tcPr>
          <w:p>
            <w:pPr>
              <w:spacing w:after="0" w:line="259" w:lineRule="auto"/>
            </w:pPr>
            <w:r>
              <w:rPr>
                <w:rFonts w:ascii="Aptos" w:hAnsi="Aptos"/>
                <w:b w:val="0"/>
                <w:i w:val="0"/>
                <w:color w:val="1E293B"/>
                <w:sz w:val="18"/>
              </w:rPr>
              <w:t>Flags</w:t>
            </w:r>
          </w:p>
        </w:tc>
        <w:tc>
          <w:tcPr>
            <w:tcW w:type="dxa" w:w="3000"/>
            <w:vAlign w:val="center"/>
            <w:tcMar>
              <w:top w:w="90" w:type="dxa"/>
              <w:start w:w="120" w:type="dxa"/>
              <w:bottom w:w="90" w:type="dxa"/>
              <w:end w:w="120" w:type="dxa"/>
            </w:tcMar>
          </w:tcPr>
          <w:p>
            <w:pPr>
              <w:spacing w:after="0" w:line="259" w:lineRule="auto"/>
            </w:pPr>
            <w:r>
              <w:rPr>
                <w:rFonts w:ascii="Aptos" w:hAnsi="Aptos"/>
                <w:b w:val="0"/>
                <w:i w:val="0"/>
                <w:color w:val="1E293B"/>
                <w:sz w:val="18"/>
              </w:rPr>
              <w:t>Required bit, default false</w:t>
            </w:r>
          </w:p>
        </w:tc>
        <w:tc>
          <w:tcPr>
            <w:tcW w:type="dxa" w:w="3820"/>
            <w:vAlign w:val="center"/>
            <w:tcMar>
              <w:top w:w="90" w:type="dxa"/>
              <w:start w:w="120" w:type="dxa"/>
              <w:bottom w:w="90" w:type="dxa"/>
              <w:end w:w="120" w:type="dxa"/>
            </w:tcMar>
          </w:tcPr>
          <w:p>
            <w:pPr>
              <w:spacing w:after="0" w:line="259" w:lineRule="auto"/>
            </w:pPr>
            <w:r>
              <w:rPr>
                <w:rFonts w:ascii="Aptos" w:hAnsi="Aptos"/>
                <w:b w:val="0"/>
                <w:i w:val="0"/>
                <w:color w:val="1E293B"/>
                <w:sz w:val="18"/>
              </w:rPr>
              <w:t>Safe default for missing evidence/plans</w:t>
            </w:r>
          </w:p>
        </w:tc>
      </w:tr>
      <w:tr>
        <w:trPr>
          <w:cantSplit w:val="true"/>
        </w:trPr>
        <w:tc>
          <w:tcPr>
            <w:tcW w:type="dxa" w:w="2200"/>
            <w:vAlign w:val="center"/>
            <w:tcMar>
              <w:top w:w="90" w:type="dxa"/>
              <w:start w:w="120" w:type="dxa"/>
              <w:bottom w:w="90" w:type="dxa"/>
              <w:end w:w="120" w:type="dxa"/>
            </w:tcMar>
          </w:tcPr>
          <w:p>
            <w:pPr>
              <w:spacing w:after="0" w:line="259" w:lineRule="auto"/>
            </w:pPr>
            <w:r>
              <w:rPr>
                <w:rFonts w:ascii="Aptos" w:hAnsi="Aptos"/>
                <w:b w:val="0"/>
                <w:i w:val="0"/>
                <w:color w:val="1E293B"/>
                <w:sz w:val="18"/>
              </w:rPr>
              <w:t>CreatedUtc</w:t>
            </w:r>
          </w:p>
        </w:tc>
        <w:tc>
          <w:tcPr>
            <w:tcW w:type="dxa" w:w="3000"/>
            <w:vAlign w:val="center"/>
            <w:tcMar>
              <w:top w:w="90" w:type="dxa"/>
              <w:start w:w="120" w:type="dxa"/>
              <w:bottom w:w="90" w:type="dxa"/>
              <w:end w:w="120" w:type="dxa"/>
            </w:tcMar>
          </w:tcPr>
          <w:p>
            <w:pPr>
              <w:spacing w:after="0" w:line="259" w:lineRule="auto"/>
            </w:pPr>
            <w:r>
              <w:rPr>
                <w:rFonts w:ascii="Aptos" w:hAnsi="Aptos"/>
                <w:b w:val="0"/>
                <w:i w:val="0"/>
                <w:color w:val="1E293B"/>
                <w:sz w:val="18"/>
              </w:rPr>
              <w:t>datetimeoffset, required</w:t>
            </w:r>
          </w:p>
        </w:tc>
        <w:tc>
          <w:tcPr>
            <w:tcW w:type="dxa" w:w="3820"/>
            <w:vAlign w:val="center"/>
            <w:tcMar>
              <w:top w:w="90" w:type="dxa"/>
              <w:start w:w="120" w:type="dxa"/>
              <w:bottom w:w="90" w:type="dxa"/>
              <w:end w:w="120" w:type="dxa"/>
            </w:tcMar>
          </w:tcPr>
          <w:p>
            <w:pPr>
              <w:spacing w:after="0" w:line="259" w:lineRule="auto"/>
            </w:pPr>
            <w:r>
              <w:rPr>
                <w:rFonts w:ascii="Aptos" w:hAnsi="Aptos"/>
                <w:b w:val="0"/>
                <w:i w:val="0"/>
                <w:color w:val="1E293B"/>
                <w:sz w:val="18"/>
              </w:rPr>
              <w:t>Retains timestamp offset semantics</w:t>
            </w:r>
          </w:p>
        </w:tc>
      </w:tr>
    </w:tbl>
    <w:p>
      <w:pPr>
        <w:spacing w:after="40"/>
      </w:pPr>
    </w:p>
    <w:p>
      <w:pPr>
        <w:pStyle w:val="Heading2"/>
      </w:pPr>
      <w:r>
        <w:t>7.1 Enum-to-string conversion</w:t>
      </w:r>
    </w:p>
    <w:p>
      <w:r>
        <w:rPr>
          <w:rFonts w:ascii="Aptos" w:hAnsi="Aptos"/>
          <w:b w:val="0"/>
          <w:i w:val="0"/>
          <w:color w:val="1E293B"/>
          <w:sz w:val="21"/>
        </w:rPr>
        <w:t>Storing Priority and Status as strings makes rows easier to inspect and avoids binding database meaning to numeric enum order. The trade-offs are larger storage and the need to manage enum renames carefully.</w:t>
      </w:r>
    </w:p>
    <w:tbl>
      <w:tblPr>
        <w:tblStyle w:val="TableGrid"/>
        <w:tblW w:type="dxa" w:w="9020"/>
        <w:tblLayout w:type="fixed"/>
        <w:tblLook w:firstColumn="1" w:firstRow="1" w:lastColumn="0" w:lastRow="0" w:noHBand="0" w:noVBand="1" w:val="04A0"/>
        <w:jc w:val="left"/>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Ind w:w="120" w:type="dxa"/>
      </w:tblPr>
      <w:tblGrid>
        <w:gridCol w:w="1600"/>
        <w:gridCol w:w="3600"/>
        <w:gridCol w:w="3820"/>
      </w:tblGrid>
      <w:tr>
        <w:trPr>
          <w:tblHeader w:val="true"/>
          <w:cantSplit w:val="true"/>
        </w:trPr>
        <w:tc>
          <w:tcPr>
            <w:tcW w:type="dxa" w:w="1600"/>
            <w:shd w:fill="EAF1FF" w:val="clear"/>
            <w:vAlign w:val="center"/>
            <w:tcMar>
              <w:top w:w="90" w:type="dxa"/>
              <w:start w:w="120" w:type="dxa"/>
              <w:bottom w:w="90" w:type="dxa"/>
              <w:end w:w="120" w:type="dxa"/>
            </w:tcMar>
          </w:tcPr>
          <w:p>
            <w:pPr>
              <w:spacing w:after="0"/>
              <w:jc w:val="left"/>
            </w:pPr>
            <w:r>
              <w:rPr>
                <w:rFonts w:ascii="Aptos" w:hAnsi="Aptos"/>
                <w:b/>
                <w:i w:val="0"/>
                <w:color w:val="0B1739"/>
                <w:sz w:val="18"/>
              </w:rPr>
              <w:t>Storage</w:t>
            </w:r>
          </w:p>
        </w:tc>
        <w:tc>
          <w:tcPr>
            <w:tcW w:type="dxa" w:w="3600"/>
            <w:shd w:fill="EAF1FF" w:val="clear"/>
            <w:vAlign w:val="center"/>
            <w:tcMar>
              <w:top w:w="90" w:type="dxa"/>
              <w:start w:w="120" w:type="dxa"/>
              <w:bottom w:w="90" w:type="dxa"/>
              <w:end w:w="120" w:type="dxa"/>
            </w:tcMar>
          </w:tcPr>
          <w:p>
            <w:pPr>
              <w:spacing w:after="0"/>
              <w:jc w:val="left"/>
            </w:pPr>
            <w:r>
              <w:rPr>
                <w:rFonts w:ascii="Aptos" w:hAnsi="Aptos"/>
                <w:b/>
                <w:i w:val="0"/>
                <w:color w:val="0B1739"/>
                <w:sz w:val="18"/>
              </w:rPr>
              <w:t>Benefit</w:t>
            </w:r>
          </w:p>
        </w:tc>
        <w:tc>
          <w:tcPr>
            <w:tcW w:type="dxa" w:w="3820"/>
            <w:shd w:fill="EAF1FF" w:val="clear"/>
            <w:vAlign w:val="center"/>
            <w:tcMar>
              <w:top w:w="90" w:type="dxa"/>
              <w:start w:w="120" w:type="dxa"/>
              <w:bottom w:w="90" w:type="dxa"/>
              <w:end w:w="120" w:type="dxa"/>
            </w:tcMar>
          </w:tcPr>
          <w:p>
            <w:pPr>
              <w:spacing w:after="0"/>
              <w:jc w:val="left"/>
            </w:pPr>
            <w:r>
              <w:rPr>
                <w:rFonts w:ascii="Aptos" w:hAnsi="Aptos"/>
                <w:b/>
                <w:i w:val="0"/>
                <w:color w:val="0B1739"/>
                <w:sz w:val="18"/>
              </w:rPr>
              <w:t>Risk</w:t>
            </w:r>
          </w:p>
        </w:tc>
      </w:tr>
      <w:tr>
        <w:trPr>
          <w:cantSplit w:val="true"/>
        </w:trPr>
        <w:tc>
          <w:tcPr>
            <w:tcW w:type="dxa" w:w="1600"/>
            <w:vAlign w:val="center"/>
            <w:tcMar>
              <w:top w:w="90" w:type="dxa"/>
              <w:start w:w="120" w:type="dxa"/>
              <w:bottom w:w="90" w:type="dxa"/>
              <w:end w:w="120" w:type="dxa"/>
            </w:tcMar>
          </w:tcPr>
          <w:p>
            <w:pPr>
              <w:spacing w:after="0" w:line="259" w:lineRule="auto"/>
            </w:pPr>
            <w:r>
              <w:rPr>
                <w:rFonts w:ascii="Aptos" w:hAnsi="Aptos"/>
                <w:b w:val="0"/>
                <w:i w:val="0"/>
                <w:color w:val="1E293B"/>
                <w:sz w:val="18"/>
              </w:rPr>
              <w:t>Integer</w:t>
            </w:r>
          </w:p>
        </w:tc>
        <w:tc>
          <w:tcPr>
            <w:tcW w:type="dxa" w:w="3600"/>
            <w:vAlign w:val="center"/>
            <w:tcMar>
              <w:top w:w="90" w:type="dxa"/>
              <w:start w:w="120" w:type="dxa"/>
              <w:bottom w:w="90" w:type="dxa"/>
              <w:end w:w="120" w:type="dxa"/>
            </w:tcMar>
          </w:tcPr>
          <w:p>
            <w:pPr>
              <w:spacing w:after="0" w:line="259" w:lineRule="auto"/>
            </w:pPr>
            <w:r>
              <w:rPr>
                <w:rFonts w:ascii="Aptos" w:hAnsi="Aptos"/>
                <w:b w:val="0"/>
                <w:i w:val="0"/>
                <w:color w:val="1E293B"/>
                <w:sz w:val="18"/>
              </w:rPr>
              <w:t>Compact and fast</w:t>
            </w:r>
          </w:p>
        </w:tc>
        <w:tc>
          <w:tcPr>
            <w:tcW w:type="dxa" w:w="3820"/>
            <w:vAlign w:val="center"/>
            <w:tcMar>
              <w:top w:w="90" w:type="dxa"/>
              <w:start w:w="120" w:type="dxa"/>
              <w:bottom w:w="90" w:type="dxa"/>
              <w:end w:w="120" w:type="dxa"/>
            </w:tcMar>
          </w:tcPr>
          <w:p>
            <w:pPr>
              <w:spacing w:after="0" w:line="259" w:lineRule="auto"/>
            </w:pPr>
            <w:r>
              <w:rPr>
                <w:rFonts w:ascii="Aptos" w:hAnsi="Aptos"/>
                <w:b w:val="0"/>
                <w:i w:val="0"/>
                <w:color w:val="1E293B"/>
                <w:sz w:val="18"/>
              </w:rPr>
              <w:t>Harder to read; enum reordering can change meaning</w:t>
            </w:r>
          </w:p>
        </w:tc>
      </w:tr>
      <w:tr>
        <w:trPr>
          <w:cantSplit w:val="true"/>
        </w:trPr>
        <w:tc>
          <w:tcPr>
            <w:tcW w:type="dxa" w:w="1600"/>
            <w:vAlign w:val="center"/>
            <w:tcMar>
              <w:top w:w="90" w:type="dxa"/>
              <w:start w:w="120" w:type="dxa"/>
              <w:bottom w:w="90" w:type="dxa"/>
              <w:end w:w="120" w:type="dxa"/>
            </w:tcMar>
          </w:tcPr>
          <w:p>
            <w:pPr>
              <w:spacing w:after="0" w:line="259" w:lineRule="auto"/>
            </w:pPr>
            <w:r>
              <w:rPr>
                <w:rFonts w:ascii="Aptos" w:hAnsi="Aptos"/>
                <w:b w:val="0"/>
                <w:i w:val="0"/>
                <w:color w:val="1E293B"/>
                <w:sz w:val="18"/>
              </w:rPr>
              <w:t>String</w:t>
            </w:r>
          </w:p>
        </w:tc>
        <w:tc>
          <w:tcPr>
            <w:tcW w:type="dxa" w:w="3600"/>
            <w:vAlign w:val="center"/>
            <w:tcMar>
              <w:top w:w="90" w:type="dxa"/>
              <w:start w:w="120" w:type="dxa"/>
              <w:bottom w:w="90" w:type="dxa"/>
              <w:end w:w="120" w:type="dxa"/>
            </w:tcMar>
          </w:tcPr>
          <w:p>
            <w:pPr>
              <w:spacing w:after="0" w:line="259" w:lineRule="auto"/>
            </w:pPr>
            <w:r>
              <w:rPr>
                <w:rFonts w:ascii="Aptos" w:hAnsi="Aptos"/>
                <w:b w:val="0"/>
                <w:i w:val="0"/>
                <w:color w:val="1E293B"/>
                <w:sz w:val="18"/>
              </w:rPr>
              <w:t>Readable and stable against numeric reordering</w:t>
            </w:r>
          </w:p>
        </w:tc>
        <w:tc>
          <w:tcPr>
            <w:tcW w:type="dxa" w:w="3820"/>
            <w:vAlign w:val="center"/>
            <w:tcMar>
              <w:top w:w="90" w:type="dxa"/>
              <w:start w:w="120" w:type="dxa"/>
              <w:bottom w:w="90" w:type="dxa"/>
              <w:end w:w="120" w:type="dxa"/>
            </w:tcMar>
          </w:tcPr>
          <w:p>
            <w:pPr>
              <w:spacing w:after="0" w:line="259" w:lineRule="auto"/>
            </w:pPr>
            <w:r>
              <w:rPr>
                <w:rFonts w:ascii="Aptos" w:hAnsi="Aptos"/>
                <w:b w:val="0"/>
                <w:i w:val="0"/>
                <w:color w:val="1E293B"/>
                <w:sz w:val="18"/>
              </w:rPr>
              <w:t>Larger; renamed values need migration planning</w:t>
            </w:r>
          </w:p>
        </w:tc>
      </w:tr>
    </w:tbl>
    <w:p>
      <w:pPr>
        <w:spacing w:after="40"/>
      </w:pPr>
    </w:p>
    <w:p>
      <w:pPr>
        <w:pStyle w:val="Heading1"/>
      </w:pPr>
      <w:r>
        <w:t>8. Connection strings and dependency injection</w:t>
      </w:r>
    </w:p>
    <w:p>
      <w:r>
        <w:rPr>
          <w:rFonts w:ascii="Aptos" w:hAnsi="Aptos"/>
          <w:b w:val="0"/>
          <w:i w:val="0"/>
          <w:color w:val="1E293B"/>
          <w:sz w:val="21"/>
        </w:rPr>
        <w:t>The development connection string lives under ConnectionStrings:ChangeGuardDatabase in appsettings.Development.json. Program.cs calls AddInfrastructure(builder.Configuration), and Infrastructure owns the EF Core registration.</w:t>
      </w:r>
    </w:p>
    <w:p>
      <w:pPr>
        <w:spacing w:before="80" w:after="160" w:line="240" w:lineRule="auto"/>
        <w:ind w:left="173" w:right="86"/>
        <w:shd w:fill="F5F7FA" w:val="clear"/>
        <w:pBdr>
          <w:left w:val="single" w:sz="12" w:space="8" w:color="CBD5E1"/>
        </w:pBdr>
      </w:pPr>
      <w:r>
        <w:rPr>
          <w:rFonts w:ascii="Consolas" w:hAnsi="Consolas"/>
          <w:b w:val="0"/>
          <w:i w:val="0"/>
          <w:color w:val="0B1739"/>
          <w:sz w:val="17"/>
        </w:rPr>
        <w:t>services.AddDbContext&lt;ChangeGuardDbContext&gt;(options =&gt;</w:t>
        <w:br/>
        <w:t xml:space="preserve">    options.UseSqlServer(connectionString));</w:t>
        <w:br/>
        <w:br/>
        <w:t>services.AddScoped&lt;IChangeRequestRepository, ChangeRequestRepository&gt;();</w:t>
      </w:r>
    </w:p>
    <w:p>
      <w:pPr>
        <w:pStyle w:val="Heading2"/>
      </w:pPr>
      <w:r>
        <w:t>8.1 Why Scoped</w:t>
      </w:r>
    </w:p>
    <w:p>
      <w:r>
        <w:rPr>
          <w:rFonts w:ascii="Aptos" w:hAnsi="Aptos"/>
          <w:b w:val="0"/>
          <w:i w:val="0"/>
          <w:color w:val="1E293B"/>
          <w:sz w:val="21"/>
        </w:rPr>
        <w:t>A scoped registration normally creates one DbContext and one repository instance per HTTP request. DbContext is not thread-safe; request scope provides a clear unit-of-work boundary and avoids unsafe cross-request sharing.</w:t>
      </w:r>
    </w:p>
    <w:tbl>
      <w:tblPr>
        <w:tblStyle w:val="TableGrid"/>
        <w:tblW w:type="dxa" w:w="9020"/>
        <w:tblLayout w:type="fixed"/>
        <w:tblLook w:firstColumn="1" w:firstRow="1" w:lastColumn="0" w:lastRow="0" w:noHBand="0" w:noVBand="1" w:val="04A0"/>
        <w:jc w:val="left"/>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Ind w:w="120" w:type="dxa"/>
      </w:tblPr>
      <w:tblGrid>
        <w:gridCol w:w="1600"/>
        <w:gridCol w:w="7420"/>
      </w:tblGrid>
      <w:tr>
        <w:trPr>
          <w:tblHeader w:val="true"/>
          <w:cantSplit w:val="true"/>
        </w:trPr>
        <w:tc>
          <w:tcPr>
            <w:tcW w:type="dxa" w:w="1600"/>
            <w:shd w:fill="EAF1FF" w:val="clear"/>
            <w:vAlign w:val="center"/>
            <w:tcMar>
              <w:top w:w="90" w:type="dxa"/>
              <w:start w:w="120" w:type="dxa"/>
              <w:bottom w:w="90" w:type="dxa"/>
              <w:end w:w="120" w:type="dxa"/>
            </w:tcMar>
          </w:tcPr>
          <w:p>
            <w:pPr>
              <w:spacing w:after="0"/>
              <w:jc w:val="left"/>
            </w:pPr>
            <w:r>
              <w:rPr>
                <w:rFonts w:ascii="Aptos" w:hAnsi="Aptos"/>
                <w:b/>
                <w:i w:val="0"/>
                <w:color w:val="0B1739"/>
                <w:sz w:val="18"/>
              </w:rPr>
              <w:t>Lifetime</w:t>
            </w:r>
          </w:p>
        </w:tc>
        <w:tc>
          <w:tcPr>
            <w:tcW w:type="dxa" w:w="7420"/>
            <w:shd w:fill="EAF1FF" w:val="clear"/>
            <w:vAlign w:val="center"/>
            <w:tcMar>
              <w:top w:w="90" w:type="dxa"/>
              <w:start w:w="120" w:type="dxa"/>
              <w:bottom w:w="90" w:type="dxa"/>
              <w:end w:w="120" w:type="dxa"/>
            </w:tcMar>
          </w:tcPr>
          <w:p>
            <w:pPr>
              <w:spacing w:after="0"/>
              <w:jc w:val="left"/>
            </w:pPr>
            <w:r>
              <w:rPr>
                <w:rFonts w:ascii="Aptos" w:hAnsi="Aptos"/>
                <w:b/>
                <w:i w:val="0"/>
                <w:color w:val="0B1739"/>
                <w:sz w:val="18"/>
              </w:rPr>
              <w:t>Why it is or is not suitable</w:t>
            </w:r>
          </w:p>
        </w:tc>
      </w:tr>
      <w:tr>
        <w:trPr>
          <w:cantSplit w:val="true"/>
        </w:trPr>
        <w:tc>
          <w:tcPr>
            <w:tcW w:type="dxa" w:w="1600"/>
            <w:vAlign w:val="center"/>
            <w:tcMar>
              <w:top w:w="90" w:type="dxa"/>
              <w:start w:w="120" w:type="dxa"/>
              <w:bottom w:w="90" w:type="dxa"/>
              <w:end w:w="120" w:type="dxa"/>
            </w:tcMar>
          </w:tcPr>
          <w:p>
            <w:pPr>
              <w:spacing w:after="0" w:line="259" w:lineRule="auto"/>
            </w:pPr>
            <w:r>
              <w:rPr>
                <w:rFonts w:ascii="Aptos" w:hAnsi="Aptos"/>
                <w:b w:val="0"/>
                <w:i w:val="0"/>
                <w:color w:val="1E293B"/>
                <w:sz w:val="18"/>
              </w:rPr>
              <w:t>Transient</w:t>
            </w:r>
          </w:p>
        </w:tc>
        <w:tc>
          <w:tcPr>
            <w:tcW w:type="dxa" w:w="7420"/>
            <w:vAlign w:val="center"/>
            <w:tcMar>
              <w:top w:w="90" w:type="dxa"/>
              <w:start w:w="120" w:type="dxa"/>
              <w:bottom w:w="90" w:type="dxa"/>
              <w:end w:w="120" w:type="dxa"/>
            </w:tcMar>
          </w:tcPr>
          <w:p>
            <w:pPr>
              <w:spacing w:after="0" w:line="259" w:lineRule="auto"/>
            </w:pPr>
            <w:r>
              <w:rPr>
                <w:rFonts w:ascii="Aptos" w:hAnsi="Aptos"/>
                <w:b w:val="0"/>
                <w:i w:val="0"/>
                <w:color w:val="1E293B"/>
                <w:sz w:val="18"/>
              </w:rPr>
              <w:t>Could create multiple DbContexts inside one request and fragment the unit of work</w:t>
            </w:r>
          </w:p>
        </w:tc>
      </w:tr>
      <w:tr>
        <w:trPr>
          <w:cantSplit w:val="true"/>
        </w:trPr>
        <w:tc>
          <w:tcPr>
            <w:tcW w:type="dxa" w:w="1600"/>
            <w:vAlign w:val="center"/>
            <w:tcMar>
              <w:top w:w="90" w:type="dxa"/>
              <w:start w:w="120" w:type="dxa"/>
              <w:bottom w:w="90" w:type="dxa"/>
              <w:end w:w="120" w:type="dxa"/>
            </w:tcMar>
          </w:tcPr>
          <w:p>
            <w:pPr>
              <w:spacing w:after="0" w:line="259" w:lineRule="auto"/>
            </w:pPr>
            <w:r>
              <w:rPr>
                <w:rFonts w:ascii="Aptos" w:hAnsi="Aptos"/>
                <w:b w:val="0"/>
                <w:i w:val="0"/>
                <w:color w:val="1E293B"/>
                <w:sz w:val="18"/>
              </w:rPr>
              <w:t>Scoped</w:t>
            </w:r>
          </w:p>
        </w:tc>
        <w:tc>
          <w:tcPr>
            <w:tcW w:type="dxa" w:w="7420"/>
            <w:vAlign w:val="center"/>
            <w:tcMar>
              <w:top w:w="90" w:type="dxa"/>
              <w:start w:w="120" w:type="dxa"/>
              <w:bottom w:w="90" w:type="dxa"/>
              <w:end w:w="120" w:type="dxa"/>
            </w:tcMar>
          </w:tcPr>
          <w:p>
            <w:pPr>
              <w:spacing w:after="0" w:line="259" w:lineRule="auto"/>
            </w:pPr>
            <w:r>
              <w:rPr>
                <w:rFonts w:ascii="Aptos" w:hAnsi="Aptos"/>
                <w:b w:val="0"/>
                <w:i w:val="0"/>
                <w:color w:val="1E293B"/>
                <w:sz w:val="18"/>
              </w:rPr>
              <w:t>Preferred here: one logical context per HTTP request</w:t>
            </w:r>
          </w:p>
        </w:tc>
      </w:tr>
      <w:tr>
        <w:trPr>
          <w:cantSplit w:val="true"/>
        </w:trPr>
        <w:tc>
          <w:tcPr>
            <w:tcW w:type="dxa" w:w="1600"/>
            <w:vAlign w:val="center"/>
            <w:tcMar>
              <w:top w:w="90" w:type="dxa"/>
              <w:start w:w="120" w:type="dxa"/>
              <w:bottom w:w="90" w:type="dxa"/>
              <w:end w:w="120" w:type="dxa"/>
            </w:tcMar>
          </w:tcPr>
          <w:p>
            <w:pPr>
              <w:spacing w:after="0" w:line="259" w:lineRule="auto"/>
            </w:pPr>
            <w:r>
              <w:rPr>
                <w:rFonts w:ascii="Aptos" w:hAnsi="Aptos"/>
                <w:b w:val="0"/>
                <w:i w:val="0"/>
                <w:color w:val="1E293B"/>
                <w:sz w:val="18"/>
              </w:rPr>
              <w:t>Singleton</w:t>
            </w:r>
          </w:p>
        </w:tc>
        <w:tc>
          <w:tcPr>
            <w:tcW w:type="dxa" w:w="7420"/>
            <w:vAlign w:val="center"/>
            <w:tcMar>
              <w:top w:w="90" w:type="dxa"/>
              <w:start w:w="120" w:type="dxa"/>
              <w:bottom w:w="90" w:type="dxa"/>
              <w:end w:w="120" w:type="dxa"/>
            </w:tcMar>
          </w:tcPr>
          <w:p>
            <w:pPr>
              <w:spacing w:after="0" w:line="259" w:lineRule="auto"/>
            </w:pPr>
            <w:r>
              <w:rPr>
                <w:rFonts w:ascii="Aptos" w:hAnsi="Aptos"/>
                <w:b w:val="0"/>
                <w:i w:val="0"/>
                <w:color w:val="1E293B"/>
                <w:sz w:val="18"/>
              </w:rPr>
              <w:t>Unsafe because DbContext is not thread-safe and would retain tracking state across users</w:t>
            </w:r>
          </w:p>
        </w:tc>
      </w:tr>
    </w:tbl>
    <w:p>
      <w:pPr>
        <w:spacing w:after="40"/>
      </w:pPr>
    </w:p>
    <w:p>
      <w:pPr>
        <w:spacing w:before="100" w:after="160" w:line="274" w:lineRule="auto"/>
        <w:ind w:left="115" w:right="86"/>
        <w:shd w:fill="FFF7DF" w:val="clear"/>
        <w:pBdr>
          <w:left w:val="single" w:sz="18" w:space="8" w:color="9A6700"/>
        </w:pBdr>
      </w:pPr>
      <w:r>
        <w:rPr>
          <w:rFonts w:ascii="Aptos" w:hAnsi="Aptos"/>
          <w:b/>
          <w:i w:val="0"/>
          <w:color w:val="9A6700"/>
          <w:sz w:val="20"/>
        </w:rPr>
        <w:t xml:space="preserve">Security note: </w:t>
      </w:r>
      <w:r>
        <w:rPr>
          <w:rFonts w:ascii="Aptos" w:hAnsi="Aptos"/>
          <w:b w:val="0"/>
          <w:i w:val="0"/>
          <w:color w:val="1E293B"/>
          <w:sz w:val="20"/>
        </w:rPr>
        <w:t>Development settings can contain a local trusted connection. Production secrets should be supplied by secure configuration such as environment variables or a managed secret store, not committed into source control.</w:t>
      </w:r>
    </w:p>
    <w:p>
      <w:pPr>
        <w:pStyle w:val="Heading1"/>
      </w:pPr>
      <w:r>
        <w:t>9. EF Core migrations</w:t>
      </w:r>
    </w:p>
    <w:p>
      <w:r>
        <w:rPr>
          <w:rFonts w:ascii="Aptos" w:hAnsi="Aptos"/>
          <w:b w:val="0"/>
          <w:i w:val="0"/>
          <w:color w:val="1E293B"/>
          <w:sz w:val="21"/>
        </w:rPr>
        <w:t>A migration is a versioned description of how the database schema should move from one model state to another. Generating a migration creates code; applying it changes the physical database.</w:t>
      </w:r>
    </w:p>
    <w:tbl>
      <w:tblPr>
        <w:tblStyle w:val="TableGrid"/>
        <w:tblW w:type="dxa" w:w="9020"/>
        <w:tblLayout w:type="fixed"/>
        <w:tblLook w:firstColumn="1" w:firstRow="1" w:lastColumn="0" w:lastRow="0" w:noHBand="0" w:noVBand="1" w:val="04A0"/>
        <w:jc w:val="left"/>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Ind w:w="120" w:type="dxa"/>
      </w:tblPr>
      <w:tblGrid>
        <w:gridCol w:w="3000"/>
        <w:gridCol w:w="6020"/>
      </w:tblGrid>
      <w:tr>
        <w:trPr>
          <w:tblHeader w:val="true"/>
          <w:cantSplit w:val="true"/>
        </w:trPr>
        <w:tc>
          <w:tcPr>
            <w:tcW w:type="dxa" w:w="3000"/>
            <w:shd w:fill="EAF1FF" w:val="clear"/>
            <w:vAlign w:val="center"/>
            <w:tcMar>
              <w:top w:w="90" w:type="dxa"/>
              <w:start w:w="120" w:type="dxa"/>
              <w:bottom w:w="90" w:type="dxa"/>
              <w:end w:w="120" w:type="dxa"/>
            </w:tcMar>
          </w:tcPr>
          <w:p>
            <w:pPr>
              <w:spacing w:after="0"/>
              <w:jc w:val="left"/>
            </w:pPr>
            <w:r>
              <w:rPr>
                <w:rFonts w:ascii="Aptos" w:hAnsi="Aptos"/>
                <w:b/>
                <w:i w:val="0"/>
                <w:color w:val="0B1739"/>
                <w:sz w:val="18"/>
              </w:rPr>
              <w:t>Artifact/action</w:t>
            </w:r>
          </w:p>
        </w:tc>
        <w:tc>
          <w:tcPr>
            <w:tcW w:type="dxa" w:w="6020"/>
            <w:shd w:fill="EAF1FF" w:val="clear"/>
            <w:vAlign w:val="center"/>
            <w:tcMar>
              <w:top w:w="90" w:type="dxa"/>
              <w:start w:w="120" w:type="dxa"/>
              <w:bottom w:w="90" w:type="dxa"/>
              <w:end w:w="120" w:type="dxa"/>
            </w:tcMar>
          </w:tcPr>
          <w:p>
            <w:pPr>
              <w:spacing w:after="0"/>
              <w:jc w:val="left"/>
            </w:pPr>
            <w:r>
              <w:rPr>
                <w:rFonts w:ascii="Aptos" w:hAnsi="Aptos"/>
                <w:b/>
                <w:i w:val="0"/>
                <w:color w:val="0B1739"/>
                <w:sz w:val="18"/>
              </w:rPr>
              <w:t>Responsibility</w:t>
            </w:r>
          </w:p>
        </w:tc>
      </w:tr>
      <w:tr>
        <w:trPr>
          <w:cantSplit w:val="true"/>
        </w:trPr>
        <w:tc>
          <w:tcPr>
            <w:tcW w:type="dxa" w:w="3000"/>
            <w:vAlign w:val="center"/>
            <w:tcMar>
              <w:top w:w="90" w:type="dxa"/>
              <w:start w:w="120" w:type="dxa"/>
              <w:bottom w:w="90" w:type="dxa"/>
              <w:end w:w="120" w:type="dxa"/>
            </w:tcMar>
          </w:tcPr>
          <w:p>
            <w:pPr>
              <w:spacing w:after="0" w:line="259" w:lineRule="auto"/>
            </w:pPr>
            <w:r>
              <w:rPr>
                <w:rFonts w:ascii="Aptos" w:hAnsi="Aptos"/>
                <w:b w:val="0"/>
                <w:i w:val="0"/>
                <w:color w:val="1E293B"/>
                <w:sz w:val="18"/>
              </w:rPr>
              <w:t>Migration Up()</w:t>
            </w:r>
          </w:p>
        </w:tc>
        <w:tc>
          <w:tcPr>
            <w:tcW w:type="dxa" w:w="6020"/>
            <w:vAlign w:val="center"/>
            <w:tcMar>
              <w:top w:w="90" w:type="dxa"/>
              <w:start w:w="120" w:type="dxa"/>
              <w:bottom w:w="90" w:type="dxa"/>
              <w:end w:w="120" w:type="dxa"/>
            </w:tcMar>
          </w:tcPr>
          <w:p>
            <w:pPr>
              <w:spacing w:after="0" w:line="259" w:lineRule="auto"/>
            </w:pPr>
            <w:r>
              <w:rPr>
                <w:rFonts w:ascii="Aptos" w:hAnsi="Aptos"/>
                <w:b w:val="0"/>
                <w:i w:val="0"/>
                <w:color w:val="1E293B"/>
                <w:sz w:val="18"/>
              </w:rPr>
              <w:t>Forward schema operations such as creating ChangeRequests and its unique index</w:t>
            </w:r>
          </w:p>
        </w:tc>
      </w:tr>
      <w:tr>
        <w:trPr>
          <w:cantSplit w:val="true"/>
        </w:trPr>
        <w:tc>
          <w:tcPr>
            <w:tcW w:type="dxa" w:w="3000"/>
            <w:vAlign w:val="center"/>
            <w:tcMar>
              <w:top w:w="90" w:type="dxa"/>
              <w:start w:w="120" w:type="dxa"/>
              <w:bottom w:w="90" w:type="dxa"/>
              <w:end w:w="120" w:type="dxa"/>
            </w:tcMar>
          </w:tcPr>
          <w:p>
            <w:pPr>
              <w:spacing w:after="0" w:line="259" w:lineRule="auto"/>
            </w:pPr>
            <w:r>
              <w:rPr>
                <w:rFonts w:ascii="Aptos" w:hAnsi="Aptos"/>
                <w:b w:val="0"/>
                <w:i w:val="0"/>
                <w:color w:val="1E293B"/>
                <w:sz w:val="18"/>
              </w:rPr>
              <w:t>Migration Down()</w:t>
            </w:r>
          </w:p>
        </w:tc>
        <w:tc>
          <w:tcPr>
            <w:tcW w:type="dxa" w:w="6020"/>
            <w:vAlign w:val="center"/>
            <w:tcMar>
              <w:top w:w="90" w:type="dxa"/>
              <w:start w:w="120" w:type="dxa"/>
              <w:bottom w:w="90" w:type="dxa"/>
              <w:end w:w="120" w:type="dxa"/>
            </w:tcMar>
          </w:tcPr>
          <w:p>
            <w:pPr>
              <w:spacing w:after="0" w:line="259" w:lineRule="auto"/>
            </w:pPr>
            <w:r>
              <w:rPr>
                <w:rFonts w:ascii="Aptos" w:hAnsi="Aptos"/>
                <w:b w:val="0"/>
                <w:i w:val="0"/>
                <w:color w:val="1E293B"/>
                <w:sz w:val="18"/>
              </w:rPr>
              <w:t>Reverse operations used when rolling back that migration</w:t>
            </w:r>
          </w:p>
        </w:tc>
      </w:tr>
      <w:tr>
        <w:trPr>
          <w:cantSplit w:val="true"/>
        </w:trPr>
        <w:tc>
          <w:tcPr>
            <w:tcW w:type="dxa" w:w="3000"/>
            <w:vAlign w:val="center"/>
            <w:tcMar>
              <w:top w:w="90" w:type="dxa"/>
              <w:start w:w="120" w:type="dxa"/>
              <w:bottom w:w="90" w:type="dxa"/>
              <w:end w:w="120" w:type="dxa"/>
            </w:tcMar>
          </w:tcPr>
          <w:p>
            <w:pPr>
              <w:spacing w:after="0" w:line="259" w:lineRule="auto"/>
            </w:pPr>
            <w:r>
              <w:rPr>
                <w:rFonts w:ascii="Aptos" w:hAnsi="Aptos"/>
                <w:b w:val="0"/>
                <w:i w:val="0"/>
                <w:color w:val="1E293B"/>
                <w:sz w:val="18"/>
              </w:rPr>
              <w:t>Model snapshot</w:t>
            </w:r>
          </w:p>
        </w:tc>
        <w:tc>
          <w:tcPr>
            <w:tcW w:type="dxa" w:w="6020"/>
            <w:vAlign w:val="center"/>
            <w:tcMar>
              <w:top w:w="90" w:type="dxa"/>
              <w:start w:w="120" w:type="dxa"/>
              <w:bottom w:w="90" w:type="dxa"/>
              <w:end w:w="120" w:type="dxa"/>
            </w:tcMar>
          </w:tcPr>
          <w:p>
            <w:pPr>
              <w:spacing w:after="0" w:line="259" w:lineRule="auto"/>
            </w:pPr>
            <w:r>
              <w:rPr>
                <w:rFonts w:ascii="Aptos" w:hAnsi="Aptos"/>
                <w:b w:val="0"/>
                <w:i w:val="0"/>
                <w:color w:val="1E293B"/>
                <w:sz w:val="18"/>
              </w:rPr>
              <w:t>EF Core's latest design-time model used to calculate future differences</w:t>
            </w:r>
          </w:p>
        </w:tc>
      </w:tr>
      <w:tr>
        <w:trPr>
          <w:cantSplit w:val="true"/>
        </w:trPr>
        <w:tc>
          <w:tcPr>
            <w:tcW w:type="dxa" w:w="3000"/>
            <w:vAlign w:val="center"/>
            <w:tcMar>
              <w:top w:w="90" w:type="dxa"/>
              <w:start w:w="120" w:type="dxa"/>
              <w:bottom w:w="90" w:type="dxa"/>
              <w:end w:w="120" w:type="dxa"/>
            </w:tcMar>
          </w:tcPr>
          <w:p>
            <w:pPr>
              <w:spacing w:after="0" w:line="259" w:lineRule="auto"/>
            </w:pPr>
            <w:r>
              <w:rPr>
                <w:rFonts w:ascii="Aptos" w:hAnsi="Aptos"/>
                <w:b w:val="0"/>
                <w:i w:val="0"/>
                <w:color w:val="1E293B"/>
                <w:sz w:val="18"/>
              </w:rPr>
              <w:t>__EFMigrationsHistory</w:t>
            </w:r>
          </w:p>
        </w:tc>
        <w:tc>
          <w:tcPr>
            <w:tcW w:type="dxa" w:w="6020"/>
            <w:vAlign w:val="center"/>
            <w:tcMar>
              <w:top w:w="90" w:type="dxa"/>
              <w:start w:w="120" w:type="dxa"/>
              <w:bottom w:w="90" w:type="dxa"/>
              <w:end w:w="120" w:type="dxa"/>
            </w:tcMar>
          </w:tcPr>
          <w:p>
            <w:pPr>
              <w:spacing w:after="0" w:line="259" w:lineRule="auto"/>
            </w:pPr>
            <w:r>
              <w:rPr>
                <w:rFonts w:ascii="Aptos" w:hAnsi="Aptos"/>
                <w:b w:val="0"/>
                <w:i w:val="0"/>
                <w:color w:val="1E293B"/>
                <w:sz w:val="18"/>
              </w:rPr>
              <w:t>Database record of migrations already applied</w:t>
            </w:r>
          </w:p>
        </w:tc>
      </w:tr>
      <w:tr>
        <w:trPr>
          <w:cantSplit w:val="true"/>
        </w:trPr>
        <w:tc>
          <w:tcPr>
            <w:tcW w:type="dxa" w:w="3000"/>
            <w:vAlign w:val="center"/>
            <w:tcMar>
              <w:top w:w="90" w:type="dxa"/>
              <w:start w:w="120" w:type="dxa"/>
              <w:bottom w:w="90" w:type="dxa"/>
              <w:end w:w="120" w:type="dxa"/>
            </w:tcMar>
          </w:tcPr>
          <w:p>
            <w:pPr>
              <w:spacing w:after="0" w:line="259" w:lineRule="auto"/>
            </w:pPr>
            <w:r>
              <w:rPr>
                <w:rFonts w:ascii="Aptos" w:hAnsi="Aptos"/>
                <w:b w:val="0"/>
                <w:i w:val="0"/>
                <w:color w:val="1E293B"/>
                <w:sz w:val="18"/>
              </w:rPr>
              <w:t>migrations add</w:t>
            </w:r>
          </w:p>
        </w:tc>
        <w:tc>
          <w:tcPr>
            <w:tcW w:type="dxa" w:w="6020"/>
            <w:vAlign w:val="center"/>
            <w:tcMar>
              <w:top w:w="90" w:type="dxa"/>
              <w:start w:w="120" w:type="dxa"/>
              <w:bottom w:w="90" w:type="dxa"/>
              <w:end w:w="120" w:type="dxa"/>
            </w:tcMar>
          </w:tcPr>
          <w:p>
            <w:pPr>
              <w:spacing w:after="0" w:line="259" w:lineRule="auto"/>
            </w:pPr>
            <w:r>
              <w:rPr>
                <w:rFonts w:ascii="Aptos" w:hAnsi="Aptos"/>
                <w:b w:val="0"/>
                <w:i w:val="0"/>
                <w:color w:val="1E293B"/>
                <w:sz w:val="18"/>
              </w:rPr>
              <w:t>Generates migration files; does not update the database</w:t>
            </w:r>
          </w:p>
        </w:tc>
      </w:tr>
      <w:tr>
        <w:trPr>
          <w:cantSplit w:val="true"/>
        </w:trPr>
        <w:tc>
          <w:tcPr>
            <w:tcW w:type="dxa" w:w="3000"/>
            <w:vAlign w:val="center"/>
            <w:tcMar>
              <w:top w:w="90" w:type="dxa"/>
              <w:start w:w="120" w:type="dxa"/>
              <w:bottom w:w="90" w:type="dxa"/>
              <w:end w:w="120" w:type="dxa"/>
            </w:tcMar>
          </w:tcPr>
          <w:p>
            <w:pPr>
              <w:spacing w:after="0" w:line="259" w:lineRule="auto"/>
            </w:pPr>
            <w:r>
              <w:rPr>
                <w:rFonts w:ascii="Aptos" w:hAnsi="Aptos"/>
                <w:b w:val="0"/>
                <w:i w:val="0"/>
                <w:color w:val="1E293B"/>
                <w:sz w:val="18"/>
              </w:rPr>
              <w:t>database update</w:t>
            </w:r>
          </w:p>
        </w:tc>
        <w:tc>
          <w:tcPr>
            <w:tcW w:type="dxa" w:w="6020"/>
            <w:vAlign w:val="center"/>
            <w:tcMar>
              <w:top w:w="90" w:type="dxa"/>
              <w:start w:w="120" w:type="dxa"/>
              <w:bottom w:w="90" w:type="dxa"/>
              <w:end w:w="120" w:type="dxa"/>
            </w:tcMar>
          </w:tcPr>
          <w:p>
            <w:pPr>
              <w:spacing w:after="0" w:line="259" w:lineRule="auto"/>
            </w:pPr>
            <w:r>
              <w:rPr>
                <w:rFonts w:ascii="Aptos" w:hAnsi="Aptos"/>
                <w:b w:val="0"/>
                <w:i w:val="0"/>
                <w:color w:val="1E293B"/>
                <w:sz w:val="18"/>
              </w:rPr>
              <w:t>Applies pending migrations to the target database</w:t>
            </w:r>
          </w:p>
        </w:tc>
      </w:tr>
    </w:tbl>
    <w:p>
      <w:pPr>
        <w:spacing w:after="40"/>
      </w:pPr>
    </w:p>
    <w:p>
      <w:pPr>
        <w:pStyle w:val="Heading2"/>
      </w:pPr>
      <w:r>
        <w:t>9.1 Why migrations must be reviewed</w:t>
      </w:r>
    </w:p>
    <w:p>
      <w:pPr>
        <w:numPr>
          <w:ilvl w:val="0"/>
          <w:numId w:val="12"/>
        </w:numPr>
        <w:spacing w:after="80" w:line="283" w:lineRule="auto"/>
      </w:pPr>
      <w:r>
        <w:t>A column rename may be interpreted as drop-and-create, which could lose data.</w:t>
      </w:r>
    </w:p>
    <w:p>
      <w:pPr>
        <w:numPr>
          <w:ilvl w:val="0"/>
          <w:numId w:val="12"/>
        </w:numPr>
        <w:spacing w:after="80" w:line="283" w:lineRule="auto"/>
      </w:pPr>
      <w:r>
        <w:t>A new non-nullable column may fail when existing rows have no value.</w:t>
      </w:r>
    </w:p>
    <w:p>
      <w:pPr>
        <w:numPr>
          <w:ilvl w:val="0"/>
          <w:numId w:val="12"/>
        </w:numPr>
        <w:spacing w:after="80" w:line="283" w:lineRule="auto"/>
      </w:pPr>
      <w:r>
        <w:t>Large index creation can lock or slow a production table.</w:t>
      </w:r>
    </w:p>
    <w:p>
      <w:pPr>
        <w:numPr>
          <w:ilvl w:val="0"/>
          <w:numId w:val="12"/>
        </w:numPr>
        <w:spacing w:after="80" w:line="283" w:lineRule="auto"/>
      </w:pPr>
      <w:r>
        <w:t>The connection target must be checked before applying any update.</w:t>
      </w:r>
    </w:p>
    <w:p>
      <w:pPr>
        <w:numPr>
          <w:ilvl w:val="0"/>
          <w:numId w:val="12"/>
        </w:numPr>
        <w:spacing w:after="80" w:line="283" w:lineRule="auto"/>
      </w:pPr>
      <w:r>
        <w:t>Generated SQL should be reviewed as release evidence for production changes.</w:t>
      </w:r>
    </w:p>
    <w:p>
      <w:pPr>
        <w:spacing w:before="100" w:after="160" w:line="274" w:lineRule="auto"/>
        <w:ind w:left="115" w:right="86"/>
        <w:shd w:fill="EAF7F0" w:val="clear"/>
        <w:pBdr>
          <w:left w:val="single" w:sz="18" w:space="8" w:color="16794B"/>
        </w:pBdr>
      </w:pPr>
      <w:r>
        <w:rPr>
          <w:rFonts w:ascii="Aptos" w:hAnsi="Aptos"/>
          <w:b/>
          <w:i w:val="0"/>
          <w:color w:val="16794B"/>
          <w:sz w:val="20"/>
        </w:rPr>
        <w:t xml:space="preserve">Verified behavior: </w:t>
      </w:r>
      <w:r>
        <w:rPr>
          <w:rFonts w:ascii="Aptos" w:hAnsi="Aptos"/>
          <w:b w:val="0"/>
          <w:i w:val="0"/>
          <w:color w:val="1E293B"/>
          <w:sz w:val="20"/>
        </w:rPr>
        <w:t>Running database update again reported that no migrations were applied and the database was already up to date. EF Core compared pending migrations with __EFMigrationsHistory.</w:t>
      </w:r>
    </w:p>
    <w:p>
      <w:pPr>
        <w:pStyle w:val="Heading1"/>
      </w:pPr>
      <w:r>
        <w:t>10. Database constraints and the duplicate test</w:t>
      </w:r>
    </w:p>
    <w:p>
      <w:r>
        <w:rPr>
          <w:rFonts w:ascii="Aptos" w:hAnsi="Aptos"/>
          <w:b w:val="0"/>
          <w:i w:val="0"/>
          <w:color w:val="1E293B"/>
          <w:sz w:val="21"/>
        </w:rPr>
        <w:t>The database rejected a second CG-101 row with SQL Server error 2601 because UX_ChangeRequests_ReferenceNumber is unique. This was an expected, useful failure: it proved the database enforces the business identity even if an application-level check is bypassed.</w:t>
      </w:r>
    </w:p>
    <w:p>
      <w:pPr>
        <w:spacing w:before="80" w:after="160" w:line="240" w:lineRule="auto"/>
        <w:ind w:left="173" w:right="86"/>
        <w:shd w:fill="F5F7FA" w:val="clear"/>
        <w:pBdr>
          <w:left w:val="single" w:sz="12" w:space="8" w:color="CBD5E1"/>
        </w:pBdr>
      </w:pPr>
      <w:r>
        <w:rPr>
          <w:rFonts w:ascii="Consolas" w:hAnsi="Consolas"/>
          <w:b w:val="0"/>
          <w:i w:val="0"/>
          <w:color w:val="0B1739"/>
          <w:sz w:val="17"/>
        </w:rPr>
        <w:t>Cannot insert duplicate key row in object 'dbo.ChangeRequests'</w:t>
        <w:br/>
        <w:t>with unique index 'UX_ChangeRequests_ReferenceNumber'.</w:t>
        <w:br/>
        <w:t>The duplicate key value is (CG-101).</w:t>
      </w:r>
    </w:p>
    <w:p>
      <w:pPr>
        <w:spacing w:before="100" w:after="160" w:line="274" w:lineRule="auto"/>
        <w:ind w:left="115" w:right="86"/>
        <w:shd w:fill="EAF1FF" w:val="clear"/>
        <w:pBdr>
          <w:left w:val="single" w:sz="18" w:space="8" w:color="255CE8"/>
        </w:pBdr>
      </w:pPr>
      <w:r>
        <w:rPr>
          <w:rFonts w:ascii="Aptos" w:hAnsi="Aptos"/>
          <w:b/>
          <w:i w:val="0"/>
          <w:color w:val="255CE8"/>
          <w:sz w:val="20"/>
        </w:rPr>
        <w:t xml:space="preserve">Interview distinction: </w:t>
      </w:r>
      <w:r>
        <w:rPr>
          <w:rFonts w:ascii="Aptos" w:hAnsi="Aptos"/>
          <w:b w:val="0"/>
          <w:i w:val="0"/>
          <w:color w:val="1E293B"/>
          <w:sz w:val="20"/>
        </w:rPr>
        <w:t>Application validation provides a friendly early response. A unique database index is the final concurrency-safe guard against duplicates. Strong systems commonly use both.</w:t>
      </w:r>
    </w:p>
    <w:p>
      <w:pPr>
        <w:pStyle w:val="Heading1"/>
      </w:pPr>
      <w:r>
        <w:t>11. Repository abstraction and dependency inversion</w:t>
      </w:r>
    </w:p>
    <w:p>
      <w:r>
        <w:rPr>
          <w:rFonts w:ascii="Aptos" w:hAnsi="Aptos"/>
          <w:b w:val="0"/>
          <w:i w:val="0"/>
          <w:color w:val="1E293B"/>
          <w:sz w:val="21"/>
        </w:rPr>
        <w:t>IChangeRequestRepository is declared in Application, while ChangeRequestRepository is implemented in Infrastructure. Application states what it needs; Infrastructure decides how to satisfy it. The controller never talks to DbContext directly.</w:t>
      </w:r>
    </w:p>
    <w:p>
      <w:pPr>
        <w:spacing w:before="80" w:after="160" w:line="240" w:lineRule="auto"/>
        <w:ind w:left="173" w:right="86"/>
        <w:shd w:fill="F5F7FA" w:val="clear"/>
        <w:pBdr>
          <w:left w:val="single" w:sz="12" w:space="8" w:color="CBD5E1"/>
        </w:pBdr>
      </w:pPr>
      <w:r>
        <w:rPr>
          <w:rFonts w:ascii="Consolas" w:hAnsi="Consolas"/>
          <w:b w:val="0"/>
          <w:i w:val="0"/>
          <w:color w:val="0B1739"/>
          <w:sz w:val="17"/>
        </w:rPr>
        <w:t>Task&lt;ChangeRequest?&gt; GetByReferenceNumberAsync(</w:t>
        <w:br/>
        <w:t xml:space="preserve">    string referenceNumber,</w:t>
        <w:br/>
        <w:t xml:space="preserve">    CancellationToken cancellationToken = default);</w:t>
      </w:r>
    </w:p>
    <w:tbl>
      <w:tblPr>
        <w:tblStyle w:val="TableGrid"/>
        <w:tblW w:type="dxa" w:w="9020"/>
        <w:tblLayout w:type="fixed"/>
        <w:tblLook w:firstColumn="1" w:firstRow="1" w:lastColumn="0" w:lastRow="0" w:noHBand="0" w:noVBand="1" w:val="04A0"/>
        <w:jc w:val="left"/>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Ind w:w="120" w:type="dxa"/>
      </w:tblPr>
      <w:tblGrid>
        <w:gridCol w:w="2200"/>
        <w:gridCol w:w="6820"/>
      </w:tblGrid>
      <w:tr>
        <w:trPr>
          <w:tblHeader w:val="true"/>
          <w:cantSplit w:val="true"/>
        </w:trPr>
        <w:tc>
          <w:tcPr>
            <w:tcW w:type="dxa" w:w="2200"/>
            <w:shd w:fill="EAF1FF" w:val="clear"/>
            <w:vAlign w:val="center"/>
            <w:tcMar>
              <w:top w:w="90" w:type="dxa"/>
              <w:start w:w="120" w:type="dxa"/>
              <w:bottom w:w="90" w:type="dxa"/>
              <w:end w:w="120" w:type="dxa"/>
            </w:tcMar>
          </w:tcPr>
          <w:p>
            <w:pPr>
              <w:spacing w:after="0"/>
              <w:jc w:val="left"/>
            </w:pPr>
            <w:r>
              <w:rPr>
                <w:rFonts w:ascii="Aptos" w:hAnsi="Aptos"/>
                <w:b/>
                <w:i w:val="0"/>
                <w:color w:val="0B1739"/>
                <w:sz w:val="18"/>
              </w:rPr>
              <w:t>Layer</w:t>
            </w:r>
          </w:p>
        </w:tc>
        <w:tc>
          <w:tcPr>
            <w:tcW w:type="dxa" w:w="6820"/>
            <w:shd w:fill="EAF1FF" w:val="clear"/>
            <w:vAlign w:val="center"/>
            <w:tcMar>
              <w:top w:w="90" w:type="dxa"/>
              <w:start w:w="120" w:type="dxa"/>
              <w:bottom w:w="90" w:type="dxa"/>
              <w:end w:w="120" w:type="dxa"/>
            </w:tcMar>
          </w:tcPr>
          <w:p>
            <w:pPr>
              <w:spacing w:after="0"/>
              <w:jc w:val="left"/>
            </w:pPr>
            <w:r>
              <w:rPr>
                <w:rFonts w:ascii="Aptos" w:hAnsi="Aptos"/>
                <w:b/>
                <w:i w:val="0"/>
                <w:color w:val="0B1739"/>
                <w:sz w:val="18"/>
              </w:rPr>
              <w:t>Owns</w:t>
            </w:r>
          </w:p>
        </w:tc>
      </w:tr>
      <w:tr>
        <w:trPr>
          <w:cantSplit w:val="true"/>
        </w:trPr>
        <w:tc>
          <w:tcPr>
            <w:tcW w:type="dxa" w:w="2200"/>
            <w:vAlign w:val="center"/>
            <w:tcMar>
              <w:top w:w="90" w:type="dxa"/>
              <w:start w:w="120" w:type="dxa"/>
              <w:bottom w:w="90" w:type="dxa"/>
              <w:end w:w="120" w:type="dxa"/>
            </w:tcMar>
          </w:tcPr>
          <w:p>
            <w:pPr>
              <w:spacing w:after="0" w:line="259" w:lineRule="auto"/>
            </w:pPr>
            <w:r>
              <w:rPr>
                <w:rFonts w:ascii="Aptos" w:hAnsi="Aptos"/>
                <w:b w:val="0"/>
                <w:i w:val="0"/>
                <w:color w:val="1E293B"/>
                <w:sz w:val="18"/>
              </w:rPr>
              <w:t>Application</w:t>
            </w:r>
          </w:p>
        </w:tc>
        <w:tc>
          <w:tcPr>
            <w:tcW w:type="dxa" w:w="6820"/>
            <w:vAlign w:val="center"/>
            <w:tcMar>
              <w:top w:w="90" w:type="dxa"/>
              <w:start w:w="120" w:type="dxa"/>
              <w:bottom w:w="90" w:type="dxa"/>
              <w:end w:w="120" w:type="dxa"/>
            </w:tcMar>
          </w:tcPr>
          <w:p>
            <w:pPr>
              <w:spacing w:after="0" w:line="259" w:lineRule="auto"/>
            </w:pPr>
            <w:r>
              <w:rPr>
                <w:rFonts w:ascii="Aptos" w:hAnsi="Aptos"/>
                <w:b w:val="0"/>
                <w:i w:val="0"/>
                <w:color w:val="1E293B"/>
                <w:sz w:val="18"/>
              </w:rPr>
              <w:t>Repository interface and use-case orchestration</w:t>
            </w:r>
          </w:p>
        </w:tc>
      </w:tr>
      <w:tr>
        <w:trPr>
          <w:cantSplit w:val="true"/>
        </w:trPr>
        <w:tc>
          <w:tcPr>
            <w:tcW w:type="dxa" w:w="2200"/>
            <w:vAlign w:val="center"/>
            <w:tcMar>
              <w:top w:w="90" w:type="dxa"/>
              <w:start w:w="120" w:type="dxa"/>
              <w:bottom w:w="90" w:type="dxa"/>
              <w:end w:w="120" w:type="dxa"/>
            </w:tcMar>
          </w:tcPr>
          <w:p>
            <w:pPr>
              <w:spacing w:after="0" w:line="259" w:lineRule="auto"/>
            </w:pPr>
            <w:r>
              <w:rPr>
                <w:rFonts w:ascii="Aptos" w:hAnsi="Aptos"/>
                <w:b w:val="0"/>
                <w:i w:val="0"/>
                <w:color w:val="1E293B"/>
                <w:sz w:val="18"/>
              </w:rPr>
              <w:t>Infrastructure</w:t>
            </w:r>
          </w:p>
        </w:tc>
        <w:tc>
          <w:tcPr>
            <w:tcW w:type="dxa" w:w="6820"/>
            <w:vAlign w:val="center"/>
            <w:tcMar>
              <w:top w:w="90" w:type="dxa"/>
              <w:start w:w="120" w:type="dxa"/>
              <w:bottom w:w="90" w:type="dxa"/>
              <w:end w:w="120" w:type="dxa"/>
            </w:tcMar>
          </w:tcPr>
          <w:p>
            <w:pPr>
              <w:spacing w:after="0" w:line="259" w:lineRule="auto"/>
            </w:pPr>
            <w:r>
              <w:rPr>
                <w:rFonts w:ascii="Aptos" w:hAnsi="Aptos"/>
                <w:b w:val="0"/>
                <w:i w:val="0"/>
                <w:color w:val="1E293B"/>
                <w:sz w:val="18"/>
              </w:rPr>
              <w:t>EF Core repository implementation and DbContext</w:t>
            </w:r>
          </w:p>
        </w:tc>
      </w:tr>
      <w:tr>
        <w:trPr>
          <w:cantSplit w:val="true"/>
        </w:trPr>
        <w:tc>
          <w:tcPr>
            <w:tcW w:type="dxa" w:w="2200"/>
            <w:vAlign w:val="center"/>
            <w:tcMar>
              <w:top w:w="90" w:type="dxa"/>
              <w:start w:w="120" w:type="dxa"/>
              <w:bottom w:w="90" w:type="dxa"/>
              <w:end w:w="120" w:type="dxa"/>
            </w:tcMar>
          </w:tcPr>
          <w:p>
            <w:pPr>
              <w:spacing w:after="0" w:line="259" w:lineRule="auto"/>
            </w:pPr>
            <w:r>
              <w:rPr>
                <w:rFonts w:ascii="Aptos" w:hAnsi="Aptos"/>
                <w:b w:val="0"/>
                <w:i w:val="0"/>
                <w:color w:val="1E293B"/>
                <w:sz w:val="18"/>
              </w:rPr>
              <w:t>Domain</w:t>
            </w:r>
          </w:p>
        </w:tc>
        <w:tc>
          <w:tcPr>
            <w:tcW w:type="dxa" w:w="6820"/>
            <w:vAlign w:val="center"/>
            <w:tcMar>
              <w:top w:w="90" w:type="dxa"/>
              <w:start w:w="120" w:type="dxa"/>
              <w:bottom w:w="90" w:type="dxa"/>
              <w:end w:w="120" w:type="dxa"/>
            </w:tcMar>
          </w:tcPr>
          <w:p>
            <w:pPr>
              <w:spacing w:after="0" w:line="259" w:lineRule="auto"/>
            </w:pPr>
            <w:r>
              <w:rPr>
                <w:rFonts w:ascii="Aptos" w:hAnsi="Aptos"/>
                <w:b w:val="0"/>
                <w:i w:val="0"/>
                <w:color w:val="1E293B"/>
                <w:sz w:val="18"/>
              </w:rPr>
              <w:t>ChangeRequest state and release-readiness rules</w:t>
            </w:r>
          </w:p>
        </w:tc>
      </w:tr>
      <w:tr>
        <w:trPr>
          <w:cantSplit w:val="true"/>
        </w:trPr>
        <w:tc>
          <w:tcPr>
            <w:tcW w:type="dxa" w:w="2200"/>
            <w:vAlign w:val="center"/>
            <w:tcMar>
              <w:top w:w="90" w:type="dxa"/>
              <w:start w:w="120" w:type="dxa"/>
              <w:bottom w:w="90" w:type="dxa"/>
              <w:end w:w="120" w:type="dxa"/>
            </w:tcMar>
          </w:tcPr>
          <w:p>
            <w:pPr>
              <w:spacing w:after="0" w:line="259" w:lineRule="auto"/>
            </w:pPr>
            <w:r>
              <w:rPr>
                <w:rFonts w:ascii="Aptos" w:hAnsi="Aptos"/>
                <w:b w:val="0"/>
                <w:i w:val="0"/>
                <w:color w:val="1E293B"/>
                <w:sz w:val="18"/>
              </w:rPr>
              <w:t>API</w:t>
            </w:r>
          </w:p>
        </w:tc>
        <w:tc>
          <w:tcPr>
            <w:tcW w:type="dxa" w:w="6820"/>
            <w:vAlign w:val="center"/>
            <w:tcMar>
              <w:top w:w="90" w:type="dxa"/>
              <w:start w:w="120" w:type="dxa"/>
              <w:bottom w:w="90" w:type="dxa"/>
              <w:end w:w="120" w:type="dxa"/>
            </w:tcMar>
          </w:tcPr>
          <w:p>
            <w:pPr>
              <w:spacing w:after="0" w:line="259" w:lineRule="auto"/>
            </w:pPr>
            <w:r>
              <w:rPr>
                <w:rFonts w:ascii="Aptos" w:hAnsi="Aptos"/>
                <w:b w:val="0"/>
                <w:i w:val="0"/>
                <w:color w:val="1E293B"/>
                <w:sz w:val="18"/>
              </w:rPr>
              <w:t>HTTP route, status codes and response boundary</w:t>
            </w:r>
          </w:p>
        </w:tc>
      </w:tr>
    </w:tbl>
    <w:p>
      <w:pPr>
        <w:spacing w:after="40"/>
      </w:pPr>
    </w:p>
    <w:p>
      <w:pPr>
        <w:pStyle w:val="Heading2"/>
      </w:pPr>
      <w:r>
        <w:t>11.1 SingleOrDefaultAsync</w:t>
      </w:r>
    </w:p>
    <w:p>
      <w:r>
        <w:rPr>
          <w:rFonts w:ascii="Aptos" w:hAnsi="Aptos"/>
          <w:b w:val="0"/>
          <w:i w:val="0"/>
          <w:color w:val="1E293B"/>
          <w:sz w:val="21"/>
        </w:rPr>
        <w:t>SingleOrDefaultAsync expresses the invariant that zero or one row may match a unique reference number. It returns null when no row exists and throws if multiple rows exist. FirstOrDefaultAsync could silently hide corrupted duplicate data.</w:t>
      </w:r>
    </w:p>
    <w:tbl>
      <w:tblPr>
        <w:tblStyle w:val="TableGrid"/>
        <w:tblW w:type="dxa" w:w="9020"/>
        <w:tblLayout w:type="fixed"/>
        <w:tblLook w:firstColumn="1" w:firstRow="1" w:lastColumn="0" w:lastRow="0" w:noHBand="0" w:noVBand="1" w:val="04A0"/>
        <w:jc w:val="left"/>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Ind w:w="120" w:type="dxa"/>
      </w:tblPr>
      <w:tblGrid>
        <w:gridCol w:w="2100"/>
        <w:gridCol w:w="2600"/>
        <w:gridCol w:w="4320"/>
      </w:tblGrid>
      <w:tr>
        <w:trPr>
          <w:tblHeader w:val="true"/>
          <w:cantSplit w:val="true"/>
        </w:trPr>
        <w:tc>
          <w:tcPr>
            <w:tcW w:type="dxa" w:w="2100"/>
            <w:shd w:fill="EAF1FF" w:val="clear"/>
            <w:vAlign w:val="center"/>
            <w:tcMar>
              <w:top w:w="90" w:type="dxa"/>
              <w:start w:w="120" w:type="dxa"/>
              <w:bottom w:w="90" w:type="dxa"/>
              <w:end w:w="120" w:type="dxa"/>
            </w:tcMar>
          </w:tcPr>
          <w:p>
            <w:pPr>
              <w:spacing w:after="0"/>
              <w:jc w:val="left"/>
            </w:pPr>
            <w:r>
              <w:rPr>
                <w:rFonts w:ascii="Aptos" w:hAnsi="Aptos"/>
                <w:b/>
                <w:i w:val="0"/>
                <w:color w:val="0B1739"/>
                <w:sz w:val="18"/>
              </w:rPr>
              <w:t>Operator</w:t>
            </w:r>
          </w:p>
        </w:tc>
        <w:tc>
          <w:tcPr>
            <w:tcW w:type="dxa" w:w="2600"/>
            <w:shd w:fill="EAF1FF" w:val="clear"/>
            <w:vAlign w:val="center"/>
            <w:tcMar>
              <w:top w:w="90" w:type="dxa"/>
              <w:start w:w="120" w:type="dxa"/>
              <w:bottom w:w="90" w:type="dxa"/>
              <w:end w:w="120" w:type="dxa"/>
            </w:tcMar>
          </w:tcPr>
          <w:p>
            <w:pPr>
              <w:spacing w:after="0"/>
              <w:jc w:val="left"/>
            </w:pPr>
            <w:r>
              <w:rPr>
                <w:rFonts w:ascii="Aptos" w:hAnsi="Aptos"/>
                <w:b/>
                <w:i w:val="0"/>
                <w:color w:val="0B1739"/>
                <w:sz w:val="18"/>
              </w:rPr>
              <w:t>No match</w:t>
            </w:r>
          </w:p>
        </w:tc>
        <w:tc>
          <w:tcPr>
            <w:tcW w:type="dxa" w:w="4320"/>
            <w:shd w:fill="EAF1FF" w:val="clear"/>
            <w:vAlign w:val="center"/>
            <w:tcMar>
              <w:top w:w="90" w:type="dxa"/>
              <w:start w:w="120" w:type="dxa"/>
              <w:bottom w:w="90" w:type="dxa"/>
              <w:end w:w="120" w:type="dxa"/>
            </w:tcMar>
          </w:tcPr>
          <w:p>
            <w:pPr>
              <w:spacing w:after="0"/>
              <w:jc w:val="left"/>
            </w:pPr>
            <w:r>
              <w:rPr>
                <w:rFonts w:ascii="Aptos" w:hAnsi="Aptos"/>
                <w:b/>
                <w:i w:val="0"/>
                <w:color w:val="0B1739"/>
                <w:sz w:val="18"/>
              </w:rPr>
              <w:t>Multiple matches</w:t>
            </w:r>
          </w:p>
        </w:tc>
      </w:tr>
      <w:tr>
        <w:trPr>
          <w:cantSplit w:val="true"/>
        </w:trPr>
        <w:tc>
          <w:tcPr>
            <w:tcW w:type="dxa" w:w="2100"/>
            <w:vAlign w:val="center"/>
            <w:tcMar>
              <w:top w:w="90" w:type="dxa"/>
              <w:start w:w="120" w:type="dxa"/>
              <w:bottom w:w="90" w:type="dxa"/>
              <w:end w:w="120" w:type="dxa"/>
            </w:tcMar>
          </w:tcPr>
          <w:p>
            <w:pPr>
              <w:spacing w:after="0" w:line="259" w:lineRule="auto"/>
            </w:pPr>
            <w:r>
              <w:rPr>
                <w:rFonts w:ascii="Aptos" w:hAnsi="Aptos"/>
                <w:b w:val="0"/>
                <w:i w:val="0"/>
                <w:color w:val="1E293B"/>
                <w:sz w:val="18"/>
              </w:rPr>
              <w:t>FirstOrDefault</w:t>
            </w:r>
          </w:p>
        </w:tc>
        <w:tc>
          <w:tcPr>
            <w:tcW w:type="dxa" w:w="2600"/>
            <w:vAlign w:val="center"/>
            <w:tcMar>
              <w:top w:w="90" w:type="dxa"/>
              <w:start w:w="120" w:type="dxa"/>
              <w:bottom w:w="90" w:type="dxa"/>
              <w:end w:w="120" w:type="dxa"/>
            </w:tcMar>
          </w:tcPr>
          <w:p>
            <w:pPr>
              <w:spacing w:after="0" w:line="259" w:lineRule="auto"/>
            </w:pPr>
            <w:r>
              <w:rPr>
                <w:rFonts w:ascii="Aptos" w:hAnsi="Aptos"/>
                <w:b w:val="0"/>
                <w:i w:val="0"/>
                <w:color w:val="1E293B"/>
                <w:sz w:val="18"/>
              </w:rPr>
              <w:t>Returns default/null</w:t>
            </w:r>
          </w:p>
        </w:tc>
        <w:tc>
          <w:tcPr>
            <w:tcW w:type="dxa" w:w="4320"/>
            <w:vAlign w:val="center"/>
            <w:tcMar>
              <w:top w:w="90" w:type="dxa"/>
              <w:start w:w="120" w:type="dxa"/>
              <w:bottom w:w="90" w:type="dxa"/>
              <w:end w:w="120" w:type="dxa"/>
            </w:tcMar>
          </w:tcPr>
          <w:p>
            <w:pPr>
              <w:spacing w:after="0" w:line="259" w:lineRule="auto"/>
            </w:pPr>
            <w:r>
              <w:rPr>
                <w:rFonts w:ascii="Aptos" w:hAnsi="Aptos"/>
                <w:b w:val="0"/>
                <w:i w:val="0"/>
                <w:color w:val="1E293B"/>
                <w:sz w:val="18"/>
              </w:rPr>
              <w:t>Returns the first row and hides duplicates</w:t>
            </w:r>
          </w:p>
        </w:tc>
      </w:tr>
      <w:tr>
        <w:trPr>
          <w:cantSplit w:val="true"/>
        </w:trPr>
        <w:tc>
          <w:tcPr>
            <w:tcW w:type="dxa" w:w="2100"/>
            <w:vAlign w:val="center"/>
            <w:tcMar>
              <w:top w:w="90" w:type="dxa"/>
              <w:start w:w="120" w:type="dxa"/>
              <w:bottom w:w="90" w:type="dxa"/>
              <w:end w:w="120" w:type="dxa"/>
            </w:tcMar>
          </w:tcPr>
          <w:p>
            <w:pPr>
              <w:spacing w:after="0" w:line="259" w:lineRule="auto"/>
            </w:pPr>
            <w:r>
              <w:rPr>
                <w:rFonts w:ascii="Aptos" w:hAnsi="Aptos"/>
                <w:b w:val="0"/>
                <w:i w:val="0"/>
                <w:color w:val="1E293B"/>
                <w:sz w:val="18"/>
              </w:rPr>
              <w:t>SingleOrDefault</w:t>
            </w:r>
          </w:p>
        </w:tc>
        <w:tc>
          <w:tcPr>
            <w:tcW w:type="dxa" w:w="2600"/>
            <w:vAlign w:val="center"/>
            <w:tcMar>
              <w:top w:w="90" w:type="dxa"/>
              <w:start w:w="120" w:type="dxa"/>
              <w:bottom w:w="90" w:type="dxa"/>
              <w:end w:w="120" w:type="dxa"/>
            </w:tcMar>
          </w:tcPr>
          <w:p>
            <w:pPr>
              <w:spacing w:after="0" w:line="259" w:lineRule="auto"/>
            </w:pPr>
            <w:r>
              <w:rPr>
                <w:rFonts w:ascii="Aptos" w:hAnsi="Aptos"/>
                <w:b w:val="0"/>
                <w:i w:val="0"/>
                <w:color w:val="1E293B"/>
                <w:sz w:val="18"/>
              </w:rPr>
              <w:t>Returns default/null</w:t>
            </w:r>
          </w:p>
        </w:tc>
        <w:tc>
          <w:tcPr>
            <w:tcW w:type="dxa" w:w="4320"/>
            <w:vAlign w:val="center"/>
            <w:tcMar>
              <w:top w:w="90" w:type="dxa"/>
              <w:start w:w="120" w:type="dxa"/>
              <w:bottom w:w="90" w:type="dxa"/>
              <w:end w:w="120" w:type="dxa"/>
            </w:tcMar>
          </w:tcPr>
          <w:p>
            <w:pPr>
              <w:spacing w:after="0" w:line="259" w:lineRule="auto"/>
            </w:pPr>
            <w:r>
              <w:rPr>
                <w:rFonts w:ascii="Aptos" w:hAnsi="Aptos"/>
                <w:b w:val="0"/>
                <w:i w:val="0"/>
                <w:color w:val="1E293B"/>
                <w:sz w:val="18"/>
              </w:rPr>
              <w:t>Throws and exposes the broken uniqueness assumption</w:t>
            </w:r>
          </w:p>
        </w:tc>
      </w:tr>
    </w:tbl>
    <w:p>
      <w:pPr>
        <w:spacing w:after="40"/>
      </w:pPr>
    </w:p>
    <w:p>
      <w:pPr>
        <w:pStyle w:val="Heading2"/>
      </w:pPr>
      <w:r>
        <w:t>11.2 Input normalization</w:t>
      </w:r>
    </w:p>
    <w:p>
      <w:r>
        <w:rPr>
          <w:rFonts w:ascii="Aptos" w:hAnsi="Aptos"/>
          <w:b w:val="0"/>
          <w:i w:val="0"/>
          <w:color w:val="1E293B"/>
          <w:sz w:val="21"/>
        </w:rPr>
        <w:t>The repository trims the supplied reference before querying. Normalization avoids false misses caused by leading or trailing spaces. Validation and a consistent case policy should also be considered when creating future write operations.</w:t>
      </w:r>
    </w:p>
    <w:p>
      <w:pPr>
        <w:pStyle w:val="Heading1"/>
      </w:pPr>
      <w:r>
        <w:t>12. Async and cancellation end to end</w:t>
      </w:r>
    </w:p>
    <w:p>
      <w:r>
        <w:rPr>
          <w:rFonts w:ascii="Aptos" w:hAnsi="Aptos"/>
          <w:b w:val="0"/>
          <w:i w:val="0"/>
          <w:color w:val="1E293B"/>
          <w:sz w:val="21"/>
        </w:rPr>
        <w:t>The database query is I/O-bound. Async allows the request thread to return to the pool while the application waits for SQL Server. This improves server scalability; it does not make the database execute the query instantly.</w:t>
      </w:r>
    </w:p>
    <w:p>
      <w:pPr>
        <w:numPr>
          <w:ilvl w:val="0"/>
          <w:numId w:val="13"/>
        </w:numPr>
        <w:spacing w:after="80" w:line="283" w:lineRule="auto"/>
      </w:pPr>
      <w:r>
        <w:t>Repository returns Task&lt;ChangeRequest?&gt; and awaits SingleOrDefaultAsync.</w:t>
      </w:r>
    </w:p>
    <w:p>
      <w:pPr>
        <w:numPr>
          <w:ilvl w:val="0"/>
          <w:numId w:val="13"/>
        </w:numPr>
        <w:spacing w:after="80" w:line="283" w:lineRule="auto"/>
      </w:pPr>
      <w:r>
        <w:t>Application service awaits the repository without blocking the thread.</w:t>
      </w:r>
    </w:p>
    <w:p>
      <w:pPr>
        <w:numPr>
          <w:ilvl w:val="0"/>
          <w:numId w:val="13"/>
        </w:numPr>
        <w:spacing w:after="80" w:line="283" w:lineRule="auto"/>
      </w:pPr>
      <w:r>
        <w:t>Controller returns Task&lt;ActionResult&lt;ReleaseReadinessResponse&gt;&gt;.</w:t>
      </w:r>
    </w:p>
    <w:p>
      <w:pPr>
        <w:numPr>
          <w:ilvl w:val="0"/>
          <w:numId w:val="13"/>
        </w:numPr>
        <w:spacing w:after="80" w:line="283" w:lineRule="auto"/>
      </w:pPr>
      <w:r>
        <w:t>CancellationToken flows from ASP.NET Core to EF Core so abandoned requests can stop unnecessary work.</w:t>
      </w:r>
    </w:p>
    <w:p>
      <w:pPr>
        <w:spacing w:before="100" w:after="160" w:line="274" w:lineRule="auto"/>
        <w:ind w:left="115" w:right="86"/>
        <w:shd w:fill="EAF1FF" w:val="clear"/>
        <w:pBdr>
          <w:left w:val="single" w:sz="18" w:space="8" w:color="255CE8"/>
        </w:pBdr>
      </w:pPr>
      <w:r>
        <w:rPr>
          <w:rFonts w:ascii="Aptos" w:hAnsi="Aptos"/>
          <w:b/>
          <w:i w:val="0"/>
          <w:color w:val="255CE8"/>
          <w:sz w:val="20"/>
        </w:rPr>
        <w:t xml:space="preserve">Interview memory line: </w:t>
      </w:r>
      <w:r>
        <w:rPr>
          <w:rFonts w:ascii="Aptos" w:hAnsi="Aptos"/>
          <w:b w:val="0"/>
          <w:i w:val="0"/>
          <w:color w:val="1E293B"/>
          <w:sz w:val="20"/>
        </w:rPr>
        <w:t>Async improves resource utilization during waits; cancellation prevents work that the caller no longer needs.</w:t>
      </w:r>
    </w:p>
    <w:p>
      <w:pPr>
        <w:pStyle w:val="Heading1"/>
      </w:pPr>
      <w:r>
        <w:t>13. Application service and DTO mapping</w:t>
      </w:r>
    </w:p>
    <w:p>
      <w:r>
        <w:rPr>
          <w:rFonts w:ascii="Aptos" w:hAnsi="Aptos"/>
          <w:b w:val="0"/>
          <w:i w:val="0"/>
          <w:color w:val="1E293B"/>
          <w:sz w:val="21"/>
        </w:rPr>
        <w:t>ReleaseReadinessService coordinates the use case. It loads the entity, returns null when missing, asks the Domain to assess readiness, and maps the result into ReleaseReadinessResponse. It does not duplicate scoring rules.</w:t>
      </w:r>
    </w:p>
    <w:p>
      <w:pPr>
        <w:numPr>
          <w:ilvl w:val="0"/>
          <w:numId w:val="14"/>
        </w:numPr>
        <w:spacing w:after="80" w:line="283" w:lineRule="auto"/>
      </w:pPr>
      <w:r>
        <w:t>Fetch ChangeRequest by business reference.</w:t>
      </w:r>
    </w:p>
    <w:p>
      <w:pPr>
        <w:numPr>
          <w:ilvl w:val="0"/>
          <w:numId w:val="14"/>
        </w:numPr>
        <w:spacing w:after="80" w:line="283" w:lineRule="auto"/>
      </w:pPr>
      <w:r>
        <w:t>Stop and return null when it does not exist.</w:t>
      </w:r>
    </w:p>
    <w:p>
      <w:pPr>
        <w:numPr>
          <w:ilvl w:val="0"/>
          <w:numId w:val="14"/>
        </w:numPr>
        <w:spacing w:after="80" w:line="283" w:lineRule="auto"/>
      </w:pPr>
      <w:r>
        <w:t>Call AssessReleaseReadiness() in Domain.</w:t>
      </w:r>
    </w:p>
    <w:p>
      <w:pPr>
        <w:numPr>
          <w:ilvl w:val="0"/>
          <w:numId w:val="14"/>
        </w:numPr>
        <w:spacing w:after="80" w:line="283" w:lineRule="auto"/>
      </w:pPr>
      <w:r>
        <w:t>Map identity, state, score and blockers into the API response contract.</w:t>
      </w:r>
    </w:p>
    <w:p>
      <w:pPr>
        <w:spacing w:before="100" w:after="160" w:line="274" w:lineRule="auto"/>
        <w:ind w:left="115" w:right="86"/>
        <w:shd w:fill="EAF7F0" w:val="clear"/>
        <w:pBdr>
          <w:left w:val="single" w:sz="18" w:space="8" w:color="16794B"/>
        </w:pBdr>
      </w:pPr>
      <w:r>
        <w:rPr>
          <w:rFonts w:ascii="Aptos" w:hAnsi="Aptos"/>
          <w:b/>
          <w:i w:val="0"/>
          <w:color w:val="16794B"/>
          <w:sz w:val="20"/>
        </w:rPr>
        <w:t xml:space="preserve">Separation rule: </w:t>
      </w:r>
      <w:r>
        <w:rPr>
          <w:rFonts w:ascii="Aptos" w:hAnsi="Aptos"/>
          <w:b w:val="0"/>
          <w:i w:val="0"/>
          <w:color w:val="1E293B"/>
          <w:sz w:val="20"/>
        </w:rPr>
        <w:t>Application coordinates the use case; Domain owns the business decision.</w:t>
      </w:r>
    </w:p>
    <w:p>
      <w:pPr>
        <w:pStyle w:val="Heading1"/>
      </w:pPr>
      <w:r>
        <w:t>14. API route, HTTP 200 and HTTP 404</w:t>
      </w:r>
    </w:p>
    <w:p>
      <w:pPr>
        <w:spacing w:before="80" w:after="160" w:line="240" w:lineRule="auto"/>
        <w:ind w:left="173" w:right="86"/>
        <w:shd w:fill="F5F7FA" w:val="clear"/>
        <w:pBdr>
          <w:left w:val="single" w:sz="12" w:space="8" w:color="CBD5E1"/>
        </w:pBdr>
      </w:pPr>
      <w:r>
        <w:rPr>
          <w:rFonts w:ascii="Consolas" w:hAnsi="Consolas"/>
          <w:b w:val="0"/>
          <w:i w:val="0"/>
          <w:color w:val="0B1739"/>
          <w:sz w:val="17"/>
        </w:rPr>
        <w:t>GET /api/change-requests/{referenceNumber}/release-readiness</w:t>
      </w:r>
    </w:p>
    <w:tbl>
      <w:tblPr>
        <w:tblStyle w:val="TableGrid"/>
        <w:tblW w:type="dxa" w:w="9020"/>
        <w:tblLayout w:type="fixed"/>
        <w:tblLook w:firstColumn="1" w:firstRow="1" w:lastColumn="0" w:lastRow="0" w:noHBand="0" w:noVBand="1" w:val="04A0"/>
        <w:jc w:val="left"/>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Ind w:w="120" w:type="dxa"/>
      </w:tblPr>
      <w:tblGrid>
        <w:gridCol w:w="2200"/>
        <w:gridCol w:w="1600"/>
        <w:gridCol w:w="5220"/>
      </w:tblGrid>
      <w:tr>
        <w:trPr>
          <w:tblHeader w:val="true"/>
          <w:cantSplit w:val="true"/>
        </w:trPr>
        <w:tc>
          <w:tcPr>
            <w:tcW w:type="dxa" w:w="2200"/>
            <w:shd w:fill="EAF1FF" w:val="clear"/>
            <w:vAlign w:val="center"/>
            <w:tcMar>
              <w:top w:w="90" w:type="dxa"/>
              <w:start w:w="120" w:type="dxa"/>
              <w:bottom w:w="90" w:type="dxa"/>
              <w:end w:w="120" w:type="dxa"/>
            </w:tcMar>
          </w:tcPr>
          <w:p>
            <w:pPr>
              <w:spacing w:after="0"/>
              <w:jc w:val="left"/>
            </w:pPr>
            <w:r>
              <w:rPr>
                <w:rFonts w:ascii="Aptos" w:hAnsi="Aptos"/>
                <w:b/>
                <w:i w:val="0"/>
                <w:color w:val="0B1739"/>
                <w:sz w:val="18"/>
              </w:rPr>
              <w:t>Scenario</w:t>
            </w:r>
          </w:p>
        </w:tc>
        <w:tc>
          <w:tcPr>
            <w:tcW w:type="dxa" w:w="1600"/>
            <w:shd w:fill="EAF1FF" w:val="clear"/>
            <w:vAlign w:val="center"/>
            <w:tcMar>
              <w:top w:w="90" w:type="dxa"/>
              <w:start w:w="120" w:type="dxa"/>
              <w:bottom w:w="90" w:type="dxa"/>
              <w:end w:w="120" w:type="dxa"/>
            </w:tcMar>
          </w:tcPr>
          <w:p>
            <w:pPr>
              <w:spacing w:after="0"/>
              <w:jc w:val="left"/>
            </w:pPr>
            <w:r>
              <w:rPr>
                <w:rFonts w:ascii="Aptos" w:hAnsi="Aptos"/>
                <w:b/>
                <w:i w:val="0"/>
                <w:color w:val="0B1739"/>
                <w:sz w:val="18"/>
              </w:rPr>
              <w:t>Status</w:t>
            </w:r>
          </w:p>
        </w:tc>
        <w:tc>
          <w:tcPr>
            <w:tcW w:type="dxa" w:w="5220"/>
            <w:shd w:fill="EAF1FF" w:val="clear"/>
            <w:vAlign w:val="center"/>
            <w:tcMar>
              <w:top w:w="90" w:type="dxa"/>
              <w:start w:w="120" w:type="dxa"/>
              <w:bottom w:w="90" w:type="dxa"/>
              <w:end w:w="120" w:type="dxa"/>
            </w:tcMar>
          </w:tcPr>
          <w:p>
            <w:pPr>
              <w:spacing w:after="0"/>
              <w:jc w:val="left"/>
            </w:pPr>
            <w:r>
              <w:rPr>
                <w:rFonts w:ascii="Aptos" w:hAnsi="Aptos"/>
                <w:b/>
                <w:i w:val="0"/>
                <w:color w:val="0B1739"/>
                <w:sz w:val="18"/>
              </w:rPr>
              <w:t>Response</w:t>
            </w:r>
          </w:p>
        </w:tc>
      </w:tr>
      <w:tr>
        <w:trPr>
          <w:cantSplit w:val="true"/>
        </w:trPr>
        <w:tc>
          <w:tcPr>
            <w:tcW w:type="dxa" w:w="2200"/>
            <w:vAlign w:val="center"/>
            <w:tcMar>
              <w:top w:w="90" w:type="dxa"/>
              <w:start w:w="120" w:type="dxa"/>
              <w:bottom w:w="90" w:type="dxa"/>
              <w:end w:w="120" w:type="dxa"/>
            </w:tcMar>
          </w:tcPr>
          <w:p>
            <w:pPr>
              <w:spacing w:after="0" w:line="259" w:lineRule="auto"/>
            </w:pPr>
            <w:r>
              <w:rPr>
                <w:rFonts w:ascii="Aptos" w:hAnsi="Aptos"/>
                <w:b w:val="0"/>
                <w:i w:val="0"/>
                <w:color w:val="1E293B"/>
                <w:sz w:val="18"/>
              </w:rPr>
              <w:t>CG-101 exists</w:t>
            </w:r>
          </w:p>
        </w:tc>
        <w:tc>
          <w:tcPr>
            <w:tcW w:type="dxa" w:w="1600"/>
            <w:vAlign w:val="center"/>
            <w:tcMar>
              <w:top w:w="90" w:type="dxa"/>
              <w:start w:w="120" w:type="dxa"/>
              <w:bottom w:w="90" w:type="dxa"/>
              <w:end w:w="120" w:type="dxa"/>
            </w:tcMar>
          </w:tcPr>
          <w:p>
            <w:pPr>
              <w:spacing w:after="0" w:line="259" w:lineRule="auto"/>
            </w:pPr>
            <w:r>
              <w:rPr>
                <w:rFonts w:ascii="Aptos" w:hAnsi="Aptos"/>
                <w:b w:val="0"/>
                <w:i w:val="0"/>
                <w:color w:val="1E293B"/>
                <w:sz w:val="18"/>
              </w:rPr>
              <w:t>200 OK</w:t>
            </w:r>
          </w:p>
        </w:tc>
        <w:tc>
          <w:tcPr>
            <w:tcW w:type="dxa" w:w="5220"/>
            <w:vAlign w:val="center"/>
            <w:tcMar>
              <w:top w:w="90" w:type="dxa"/>
              <w:start w:w="120" w:type="dxa"/>
              <w:bottom w:w="90" w:type="dxa"/>
              <w:end w:w="120" w:type="dxa"/>
            </w:tcMar>
          </w:tcPr>
          <w:p>
            <w:pPr>
              <w:spacing w:after="0" w:line="259" w:lineRule="auto"/>
            </w:pPr>
            <w:r>
              <w:rPr>
                <w:rFonts w:ascii="Aptos" w:hAnsi="Aptos"/>
                <w:b w:val="0"/>
                <w:i w:val="0"/>
                <w:color w:val="1E293B"/>
                <w:sz w:val="18"/>
              </w:rPr>
              <w:t>Typed ReleaseReadinessResponse with score 45 and two blockers</w:t>
            </w:r>
          </w:p>
        </w:tc>
      </w:tr>
      <w:tr>
        <w:trPr>
          <w:cantSplit w:val="true"/>
        </w:trPr>
        <w:tc>
          <w:tcPr>
            <w:tcW w:type="dxa" w:w="2200"/>
            <w:vAlign w:val="center"/>
            <w:tcMar>
              <w:top w:w="90" w:type="dxa"/>
              <w:start w:w="120" w:type="dxa"/>
              <w:bottom w:w="90" w:type="dxa"/>
              <w:end w:w="120" w:type="dxa"/>
            </w:tcMar>
          </w:tcPr>
          <w:p>
            <w:pPr>
              <w:spacing w:after="0" w:line="259" w:lineRule="auto"/>
            </w:pPr>
            <w:r>
              <w:rPr>
                <w:rFonts w:ascii="Aptos" w:hAnsi="Aptos"/>
                <w:b w:val="0"/>
                <w:i w:val="0"/>
                <w:color w:val="1E293B"/>
                <w:sz w:val="18"/>
              </w:rPr>
              <w:t>CG-999 missing</w:t>
            </w:r>
          </w:p>
        </w:tc>
        <w:tc>
          <w:tcPr>
            <w:tcW w:type="dxa" w:w="1600"/>
            <w:vAlign w:val="center"/>
            <w:tcMar>
              <w:top w:w="90" w:type="dxa"/>
              <w:start w:w="120" w:type="dxa"/>
              <w:bottom w:w="90" w:type="dxa"/>
              <w:end w:w="120" w:type="dxa"/>
            </w:tcMar>
          </w:tcPr>
          <w:p>
            <w:pPr>
              <w:spacing w:after="0" w:line="259" w:lineRule="auto"/>
            </w:pPr>
            <w:r>
              <w:rPr>
                <w:rFonts w:ascii="Aptos" w:hAnsi="Aptos"/>
                <w:b w:val="0"/>
                <w:i w:val="0"/>
                <w:color w:val="1E293B"/>
                <w:sz w:val="18"/>
              </w:rPr>
              <w:t>404 Not Found</w:t>
            </w:r>
          </w:p>
        </w:tc>
        <w:tc>
          <w:tcPr>
            <w:tcW w:type="dxa" w:w="5220"/>
            <w:vAlign w:val="center"/>
            <w:tcMar>
              <w:top w:w="90" w:type="dxa"/>
              <w:start w:w="120" w:type="dxa"/>
              <w:bottom w:w="90" w:type="dxa"/>
              <w:end w:w="120" w:type="dxa"/>
            </w:tcMar>
          </w:tcPr>
          <w:p>
            <w:pPr>
              <w:spacing w:after="0" w:line="259" w:lineRule="auto"/>
            </w:pPr>
            <w:r>
              <w:rPr>
                <w:rFonts w:ascii="Aptos" w:hAnsi="Aptos"/>
                <w:b w:val="0"/>
                <w:i w:val="0"/>
                <w:color w:val="1E293B"/>
                <w:sz w:val="18"/>
              </w:rPr>
              <w:t>ProblemDetails explaining that the reference was not found</w:t>
            </w:r>
          </w:p>
        </w:tc>
      </w:tr>
    </w:tbl>
    <w:p>
      <w:pPr>
        <w:spacing w:after="40"/>
      </w:pPr>
    </w:p>
    <w:p>
      <w:r>
        <w:rPr>
          <w:rFonts w:ascii="Aptos" w:hAnsi="Aptos"/>
          <w:b w:val="0"/>
          <w:i w:val="0"/>
          <w:color w:val="1E293B"/>
          <w:sz w:val="21"/>
        </w:rPr>
        <w:t>ProblemDetails provides a standardized error shape containing fields such as title, status and detail. It is clearer for clients than returning null with HTTP 200 or an unstructured string.</w:t>
      </w:r>
    </w:p>
    <w:p>
      <w:pPr>
        <w:pStyle w:val="Heading1"/>
      </w:pPr>
      <w:r>
        <w:t>15. Angular endpoint contract update</w:t>
      </w:r>
    </w:p>
    <w:p>
      <w:r>
        <w:rPr>
          <w:rFonts w:ascii="Aptos" w:hAnsi="Aptos"/>
          <w:b w:val="0"/>
          <w:i w:val="0"/>
          <w:color w:val="1E293B"/>
          <w:sz w:val="21"/>
        </w:rPr>
        <w:t>The Angular ReleaseReadinessService was updated from the demo endpoint to the persistent endpoint for CG-101. The method was renamed from getDemoReleaseReadiness() to getReleaseReadiness() so the name matches the real behavior.</w:t>
      </w:r>
    </w:p>
    <w:p>
      <w:pPr>
        <w:spacing w:before="80" w:after="160" w:line="240" w:lineRule="auto"/>
        <w:ind w:left="173" w:right="86"/>
        <w:shd w:fill="F5F7FA" w:val="clear"/>
        <w:pBdr>
          <w:left w:val="single" w:sz="12" w:space="8" w:color="CBD5E1"/>
        </w:pBdr>
      </w:pPr>
      <w:r>
        <w:rPr>
          <w:rFonts w:ascii="Consolas" w:hAnsi="Consolas"/>
          <w:b w:val="0"/>
          <w:i w:val="0"/>
          <w:color w:val="0B1739"/>
          <w:sz w:val="17"/>
        </w:rPr>
        <w:t>GET https://localhost:7110/api/change-requests/CG-101/release-readiness</w:t>
      </w:r>
    </w:p>
    <w:p>
      <w:pPr>
        <w:pStyle w:val="Heading2"/>
      </w:pPr>
      <w:r>
        <w:t>15.1 The controlled red-green test</w:t>
      </w:r>
    </w:p>
    <w:p>
      <w:r>
        <w:rPr>
          <w:rFonts w:ascii="Aptos" w:hAnsi="Aptos"/>
          <w:b w:val="0"/>
          <w:i w:val="0"/>
          <w:color w:val="1E293B"/>
          <w:sz w:val="21"/>
        </w:rPr>
        <w:t>The service URL was changed before the service-spec expectation. The test failed as expected, proving that the HTTP contract test could detect the old URL. After updating the expected URL, it passed.</w:t>
      </w:r>
    </w:p>
    <w:p>
      <w:pPr>
        <w:pStyle w:val="Heading2"/>
      </w:pPr>
      <w:r>
        <w:t>15.2 Why the component test failed at runtime</w:t>
      </w:r>
    </w:p>
    <w:p>
      <w:r>
        <w:rPr>
          <w:rFonts w:ascii="Aptos" w:hAnsi="Aptos"/>
          <w:b w:val="0"/>
          <w:i w:val="0"/>
          <w:color w:val="1E293B"/>
          <w:sz w:val="21"/>
        </w:rPr>
        <w:t>The component had been renamed to call getReleaseReadiness(), but its injected test stub still exposed getDemoReleaseReadiness(). Angular accepted the useValue object, then JavaScript failed when the component invoked a function that did not exist.</w:t>
      </w:r>
    </w:p>
    <w:p>
      <w:pPr>
        <w:spacing w:before="80" w:after="160" w:line="240" w:lineRule="auto"/>
        <w:ind w:left="173" w:right="86"/>
        <w:shd w:fill="F5F7FA" w:val="clear"/>
        <w:pBdr>
          <w:left w:val="single" w:sz="12" w:space="8" w:color="CBD5E1"/>
        </w:pBdr>
      </w:pPr>
      <w:r>
        <w:rPr>
          <w:rFonts w:ascii="Consolas" w:hAnsi="Consolas"/>
          <w:b w:val="0"/>
          <w:i w:val="0"/>
          <w:color w:val="0B1739"/>
          <w:sz w:val="17"/>
        </w:rPr>
        <w:t>TypeError: this.releaseReadinessService.getReleaseReadiness is not a function</w:t>
      </w:r>
    </w:p>
    <w:p>
      <w:pPr>
        <w:spacing w:before="100" w:after="160" w:line="274" w:lineRule="auto"/>
        <w:ind w:left="115" w:right="86"/>
        <w:shd w:fill="FFF0EF" w:val="clear"/>
        <w:pBdr>
          <w:left w:val="single" w:sz="18" w:space="8" w:color="B42318"/>
        </w:pBdr>
      </w:pPr>
      <w:r>
        <w:rPr>
          <w:rFonts w:ascii="Aptos" w:hAnsi="Aptos"/>
          <w:b/>
          <w:i w:val="0"/>
          <w:color w:val="B42318"/>
          <w:sz w:val="20"/>
        </w:rPr>
        <w:t xml:space="preserve">Lesson: </w:t>
      </w:r>
      <w:r>
        <w:rPr>
          <w:rFonts w:ascii="Aptos" w:hAnsi="Aptos"/>
          <w:b w:val="0"/>
          <w:i w:val="0"/>
          <w:color w:val="1E293B"/>
          <w:sz w:val="20"/>
        </w:rPr>
        <w:t>When a service contract changes, update every production caller and every test double: mocks, stubs, spies and fakes.</w:t>
      </w:r>
    </w:p>
    <w:p>
      <w:r>
        <w:rPr>
          <w:rFonts w:ascii="Aptos" w:hAnsi="Aptos"/>
          <w:b w:val="0"/>
          <w:i w:val="0"/>
          <w:color w:val="1E293B"/>
          <w:sz w:val="21"/>
        </w:rPr>
        <w:t>A typed mock can catch more rename errors at compile time. For example, declare the stub with Pick&lt;ReleaseReadinessService, 'getReleaseReadiness'&gt; or use a typed spy object instead of an untyped object literal passed directly to useValue.</w:t>
      </w:r>
    </w:p>
    <w:p>
      <w:pPr>
        <w:pStyle w:val="Heading1"/>
      </w:pPr>
      <w:r>
        <w:t>16. Testing strategy and verified evidence</w:t>
      </w:r>
    </w:p>
    <w:tbl>
      <w:tblPr>
        <w:tblStyle w:val="TableGrid"/>
        <w:tblW w:type="dxa" w:w="9020"/>
        <w:tblLayout w:type="fixed"/>
        <w:tblLook w:firstColumn="1" w:firstRow="1" w:lastColumn="0" w:lastRow="0" w:noHBand="0" w:noVBand="1" w:val="04A0"/>
        <w:jc w:val="left"/>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Ind w:w="120" w:type="dxa"/>
      </w:tblPr>
      <w:tblGrid>
        <w:gridCol w:w="2400"/>
        <w:gridCol w:w="1550"/>
        <w:gridCol w:w="5070"/>
      </w:tblGrid>
      <w:tr>
        <w:trPr>
          <w:tblHeader w:val="true"/>
          <w:cantSplit w:val="true"/>
        </w:trPr>
        <w:tc>
          <w:tcPr>
            <w:tcW w:type="dxa" w:w="2400"/>
            <w:shd w:fill="EAF1FF" w:val="clear"/>
            <w:vAlign w:val="center"/>
            <w:tcMar>
              <w:top w:w="90" w:type="dxa"/>
              <w:start w:w="120" w:type="dxa"/>
              <w:bottom w:w="90" w:type="dxa"/>
              <w:end w:w="120" w:type="dxa"/>
            </w:tcMar>
          </w:tcPr>
          <w:p>
            <w:pPr>
              <w:spacing w:after="0"/>
              <w:jc w:val="left"/>
            </w:pPr>
            <w:r>
              <w:rPr>
                <w:rFonts w:ascii="Aptos" w:hAnsi="Aptos"/>
                <w:b/>
                <w:i w:val="0"/>
                <w:color w:val="0B1739"/>
                <w:sz w:val="18"/>
              </w:rPr>
              <w:t>Evidence</w:t>
            </w:r>
          </w:p>
        </w:tc>
        <w:tc>
          <w:tcPr>
            <w:tcW w:type="dxa" w:w="1550"/>
            <w:shd w:fill="EAF1FF" w:val="clear"/>
            <w:vAlign w:val="center"/>
            <w:tcMar>
              <w:top w:w="90" w:type="dxa"/>
              <w:start w:w="120" w:type="dxa"/>
              <w:bottom w:w="90" w:type="dxa"/>
              <w:end w:w="120" w:type="dxa"/>
            </w:tcMar>
          </w:tcPr>
          <w:p>
            <w:pPr>
              <w:spacing w:after="0"/>
              <w:jc w:val="left"/>
            </w:pPr>
            <w:r>
              <w:rPr>
                <w:rFonts w:ascii="Aptos" w:hAnsi="Aptos"/>
                <w:b/>
                <w:i w:val="0"/>
                <w:color w:val="0B1739"/>
                <w:sz w:val="18"/>
              </w:rPr>
              <w:t>Result</w:t>
            </w:r>
          </w:p>
        </w:tc>
        <w:tc>
          <w:tcPr>
            <w:tcW w:type="dxa" w:w="5070"/>
            <w:shd w:fill="EAF1FF" w:val="clear"/>
            <w:vAlign w:val="center"/>
            <w:tcMar>
              <w:top w:w="90" w:type="dxa"/>
              <w:start w:w="120" w:type="dxa"/>
              <w:bottom w:w="90" w:type="dxa"/>
              <w:end w:w="120" w:type="dxa"/>
            </w:tcMar>
          </w:tcPr>
          <w:p>
            <w:pPr>
              <w:spacing w:after="0"/>
              <w:jc w:val="left"/>
            </w:pPr>
            <w:r>
              <w:rPr>
                <w:rFonts w:ascii="Aptos" w:hAnsi="Aptos"/>
                <w:b/>
                <w:i w:val="0"/>
                <w:color w:val="0B1739"/>
                <w:sz w:val="18"/>
              </w:rPr>
              <w:t>What it proves</w:t>
            </w:r>
          </w:p>
        </w:tc>
      </w:tr>
      <w:tr>
        <w:trPr>
          <w:cantSplit w:val="true"/>
        </w:trPr>
        <w:tc>
          <w:tcPr>
            <w:tcW w:type="dxa" w:w="2400"/>
            <w:vAlign w:val="center"/>
            <w:tcMar>
              <w:top w:w="90" w:type="dxa"/>
              <w:start w:w="120" w:type="dxa"/>
              <w:bottom w:w="90" w:type="dxa"/>
              <w:end w:w="120" w:type="dxa"/>
            </w:tcMar>
          </w:tcPr>
          <w:p>
            <w:pPr>
              <w:spacing w:after="0" w:line="259" w:lineRule="auto"/>
            </w:pPr>
            <w:r>
              <w:rPr>
                <w:rFonts w:ascii="Aptos" w:hAnsi="Aptos"/>
                <w:b w:val="0"/>
                <w:i w:val="0"/>
                <w:color w:val="1E293B"/>
                <w:sz w:val="18"/>
              </w:rPr>
              <w:t>Backend unit tests</w:t>
            </w:r>
          </w:p>
        </w:tc>
        <w:tc>
          <w:tcPr>
            <w:tcW w:type="dxa" w:w="1550"/>
            <w:vAlign w:val="center"/>
            <w:tcMar>
              <w:top w:w="90" w:type="dxa"/>
              <w:start w:w="120" w:type="dxa"/>
              <w:bottom w:w="90" w:type="dxa"/>
              <w:end w:w="120" w:type="dxa"/>
            </w:tcMar>
          </w:tcPr>
          <w:p>
            <w:pPr>
              <w:spacing w:after="0" w:line="259" w:lineRule="auto"/>
            </w:pPr>
            <w:r>
              <w:rPr>
                <w:rFonts w:ascii="Aptos" w:hAnsi="Aptos"/>
                <w:b w:val="0"/>
                <w:i w:val="0"/>
                <w:color w:val="1E293B"/>
                <w:sz w:val="18"/>
              </w:rPr>
              <w:t>8 passed</w:t>
            </w:r>
          </w:p>
        </w:tc>
        <w:tc>
          <w:tcPr>
            <w:tcW w:type="dxa" w:w="5070"/>
            <w:vAlign w:val="center"/>
            <w:tcMar>
              <w:top w:w="90" w:type="dxa"/>
              <w:start w:w="120" w:type="dxa"/>
              <w:bottom w:w="90" w:type="dxa"/>
              <w:end w:w="120" w:type="dxa"/>
            </w:tcMar>
          </w:tcPr>
          <w:p>
            <w:pPr>
              <w:spacing w:after="0" w:line="259" w:lineRule="auto"/>
            </w:pPr>
            <w:r>
              <w:rPr>
                <w:rFonts w:ascii="Aptos" w:hAnsi="Aptos"/>
                <w:b w:val="0"/>
                <w:i w:val="0"/>
                <w:color w:val="1E293B"/>
                <w:sz w:val="18"/>
              </w:rPr>
              <w:t>Domain, controller and application-service behavior remained correct</w:t>
            </w:r>
          </w:p>
        </w:tc>
      </w:tr>
      <w:tr>
        <w:trPr>
          <w:cantSplit w:val="true"/>
        </w:trPr>
        <w:tc>
          <w:tcPr>
            <w:tcW w:type="dxa" w:w="2400"/>
            <w:vAlign w:val="center"/>
            <w:tcMar>
              <w:top w:w="90" w:type="dxa"/>
              <w:start w:w="120" w:type="dxa"/>
              <w:bottom w:w="90" w:type="dxa"/>
              <w:end w:w="120" w:type="dxa"/>
            </w:tcMar>
          </w:tcPr>
          <w:p>
            <w:pPr>
              <w:spacing w:after="0" w:line="259" w:lineRule="auto"/>
            </w:pPr>
            <w:r>
              <w:rPr>
                <w:rFonts w:ascii="Aptos" w:hAnsi="Aptos"/>
                <w:b w:val="0"/>
                <w:i w:val="0"/>
                <w:color w:val="1E293B"/>
                <w:sz w:val="18"/>
              </w:rPr>
              <w:t>Angular tests</w:t>
            </w:r>
          </w:p>
        </w:tc>
        <w:tc>
          <w:tcPr>
            <w:tcW w:type="dxa" w:w="1550"/>
            <w:vAlign w:val="center"/>
            <w:tcMar>
              <w:top w:w="90" w:type="dxa"/>
              <w:start w:w="120" w:type="dxa"/>
              <w:bottom w:w="90" w:type="dxa"/>
              <w:end w:w="120" w:type="dxa"/>
            </w:tcMar>
          </w:tcPr>
          <w:p>
            <w:pPr>
              <w:spacing w:after="0" w:line="259" w:lineRule="auto"/>
            </w:pPr>
            <w:r>
              <w:rPr>
                <w:rFonts w:ascii="Aptos" w:hAnsi="Aptos"/>
                <w:b w:val="0"/>
                <w:i w:val="0"/>
                <w:color w:val="1E293B"/>
                <w:sz w:val="18"/>
              </w:rPr>
              <w:t>5 passed in 4 files</w:t>
            </w:r>
          </w:p>
        </w:tc>
        <w:tc>
          <w:tcPr>
            <w:tcW w:type="dxa" w:w="5070"/>
            <w:vAlign w:val="center"/>
            <w:tcMar>
              <w:top w:w="90" w:type="dxa"/>
              <w:start w:w="120" w:type="dxa"/>
              <w:bottom w:w="90" w:type="dxa"/>
              <w:end w:w="120" w:type="dxa"/>
            </w:tcMar>
          </w:tcPr>
          <w:p>
            <w:pPr>
              <w:spacing w:after="0" w:line="259" w:lineRule="auto"/>
            </w:pPr>
            <w:r>
              <w:rPr>
                <w:rFonts w:ascii="Aptos" w:hAnsi="Aptos"/>
                <w:b w:val="0"/>
                <w:i w:val="0"/>
                <w:color w:val="1E293B"/>
                <w:sz w:val="18"/>
              </w:rPr>
              <w:t>HTTP service and component contracts remained correct</w:t>
            </w:r>
          </w:p>
        </w:tc>
      </w:tr>
      <w:tr>
        <w:trPr>
          <w:cantSplit w:val="true"/>
        </w:trPr>
        <w:tc>
          <w:tcPr>
            <w:tcW w:type="dxa" w:w="2400"/>
            <w:vAlign w:val="center"/>
            <w:tcMar>
              <w:top w:w="90" w:type="dxa"/>
              <w:start w:w="120" w:type="dxa"/>
              <w:bottom w:w="90" w:type="dxa"/>
              <w:end w:w="120" w:type="dxa"/>
            </w:tcMar>
          </w:tcPr>
          <w:p>
            <w:pPr>
              <w:spacing w:after="0" w:line="259" w:lineRule="auto"/>
            </w:pPr>
            <w:r>
              <w:rPr>
                <w:rFonts w:ascii="Aptos" w:hAnsi="Aptos"/>
                <w:b w:val="0"/>
                <w:i w:val="0"/>
                <w:color w:val="1E293B"/>
                <w:sz w:val="18"/>
              </w:rPr>
              <w:t>.NET rebuild</w:t>
            </w:r>
          </w:p>
        </w:tc>
        <w:tc>
          <w:tcPr>
            <w:tcW w:type="dxa" w:w="1550"/>
            <w:vAlign w:val="center"/>
            <w:tcMar>
              <w:top w:w="90" w:type="dxa"/>
              <w:start w:w="120" w:type="dxa"/>
              <w:bottom w:w="90" w:type="dxa"/>
              <w:end w:w="120" w:type="dxa"/>
            </w:tcMar>
          </w:tcPr>
          <w:p>
            <w:pPr>
              <w:spacing w:after="0" w:line="259" w:lineRule="auto"/>
            </w:pPr>
            <w:r>
              <w:rPr>
                <w:rFonts w:ascii="Aptos" w:hAnsi="Aptos"/>
                <w:b w:val="0"/>
                <w:i w:val="0"/>
                <w:color w:val="1E293B"/>
                <w:sz w:val="18"/>
              </w:rPr>
              <w:t>5 projects succeeded</w:t>
            </w:r>
          </w:p>
        </w:tc>
        <w:tc>
          <w:tcPr>
            <w:tcW w:type="dxa" w:w="5070"/>
            <w:vAlign w:val="center"/>
            <w:tcMar>
              <w:top w:w="90" w:type="dxa"/>
              <w:start w:w="120" w:type="dxa"/>
              <w:bottom w:w="90" w:type="dxa"/>
              <w:end w:w="120" w:type="dxa"/>
            </w:tcMar>
          </w:tcPr>
          <w:p>
            <w:pPr>
              <w:spacing w:after="0" w:line="259" w:lineRule="auto"/>
            </w:pPr>
            <w:r>
              <w:rPr>
                <w:rFonts w:ascii="Aptos" w:hAnsi="Aptos"/>
                <w:b w:val="0"/>
                <w:i w:val="0"/>
                <w:color w:val="1E293B"/>
                <w:sz w:val="18"/>
              </w:rPr>
              <w:t>All backend projects compile together</w:t>
            </w:r>
          </w:p>
        </w:tc>
      </w:tr>
      <w:tr>
        <w:trPr>
          <w:cantSplit w:val="true"/>
        </w:trPr>
        <w:tc>
          <w:tcPr>
            <w:tcW w:type="dxa" w:w="2400"/>
            <w:vAlign w:val="center"/>
            <w:tcMar>
              <w:top w:w="90" w:type="dxa"/>
              <w:start w:w="120" w:type="dxa"/>
              <w:bottom w:w="90" w:type="dxa"/>
              <w:end w:w="120" w:type="dxa"/>
            </w:tcMar>
          </w:tcPr>
          <w:p>
            <w:pPr>
              <w:spacing w:after="0" w:line="259" w:lineRule="auto"/>
            </w:pPr>
            <w:r>
              <w:rPr>
                <w:rFonts w:ascii="Aptos" w:hAnsi="Aptos"/>
                <w:b w:val="0"/>
                <w:i w:val="0"/>
                <w:color w:val="1E293B"/>
                <w:sz w:val="18"/>
              </w:rPr>
              <w:t>Angular production build</w:t>
            </w:r>
          </w:p>
        </w:tc>
        <w:tc>
          <w:tcPr>
            <w:tcW w:type="dxa" w:w="1550"/>
            <w:vAlign w:val="center"/>
            <w:tcMar>
              <w:top w:w="90" w:type="dxa"/>
              <w:start w:w="120" w:type="dxa"/>
              <w:bottom w:w="90" w:type="dxa"/>
              <w:end w:w="120" w:type="dxa"/>
            </w:tcMar>
          </w:tcPr>
          <w:p>
            <w:pPr>
              <w:spacing w:after="0" w:line="259" w:lineRule="auto"/>
            </w:pPr>
            <w:r>
              <w:rPr>
                <w:rFonts w:ascii="Aptos" w:hAnsi="Aptos"/>
                <w:b w:val="0"/>
                <w:i w:val="0"/>
                <w:color w:val="1E293B"/>
                <w:sz w:val="18"/>
              </w:rPr>
              <w:t>Succeeded</w:t>
            </w:r>
          </w:p>
        </w:tc>
        <w:tc>
          <w:tcPr>
            <w:tcW w:type="dxa" w:w="5070"/>
            <w:vAlign w:val="center"/>
            <w:tcMar>
              <w:top w:w="90" w:type="dxa"/>
              <w:start w:w="120" w:type="dxa"/>
              <w:bottom w:w="90" w:type="dxa"/>
              <w:end w:w="120" w:type="dxa"/>
            </w:tcMar>
          </w:tcPr>
          <w:p>
            <w:pPr>
              <w:spacing w:after="0" w:line="259" w:lineRule="auto"/>
            </w:pPr>
            <w:r>
              <w:rPr>
                <w:rFonts w:ascii="Aptos" w:hAnsi="Aptos"/>
                <w:b w:val="0"/>
                <w:i w:val="0"/>
                <w:color w:val="1E293B"/>
                <w:sz w:val="18"/>
              </w:rPr>
              <w:t>The real Angular entry point and templates compile</w:t>
            </w:r>
          </w:p>
        </w:tc>
      </w:tr>
      <w:tr>
        <w:trPr>
          <w:cantSplit w:val="true"/>
        </w:trPr>
        <w:tc>
          <w:tcPr>
            <w:tcW w:type="dxa" w:w="2400"/>
            <w:vAlign w:val="center"/>
            <w:tcMar>
              <w:top w:w="90" w:type="dxa"/>
              <w:start w:w="120" w:type="dxa"/>
              <w:bottom w:w="90" w:type="dxa"/>
              <w:end w:w="120" w:type="dxa"/>
            </w:tcMar>
          </w:tcPr>
          <w:p>
            <w:pPr>
              <w:spacing w:after="0" w:line="259" w:lineRule="auto"/>
            </w:pPr>
            <w:r>
              <w:rPr>
                <w:rFonts w:ascii="Aptos" w:hAnsi="Aptos"/>
                <w:b w:val="0"/>
                <w:i w:val="0"/>
                <w:color w:val="1E293B"/>
                <w:sz w:val="18"/>
              </w:rPr>
              <w:t>GET CG-101</w:t>
            </w:r>
          </w:p>
        </w:tc>
        <w:tc>
          <w:tcPr>
            <w:tcW w:type="dxa" w:w="1550"/>
            <w:vAlign w:val="center"/>
            <w:tcMar>
              <w:top w:w="90" w:type="dxa"/>
              <w:start w:w="120" w:type="dxa"/>
              <w:bottom w:w="90" w:type="dxa"/>
              <w:end w:w="120" w:type="dxa"/>
            </w:tcMar>
          </w:tcPr>
          <w:p>
            <w:pPr>
              <w:spacing w:after="0" w:line="259" w:lineRule="auto"/>
            </w:pPr>
            <w:r>
              <w:rPr>
                <w:rFonts w:ascii="Aptos" w:hAnsi="Aptos"/>
                <w:b w:val="0"/>
                <w:i w:val="0"/>
                <w:color w:val="1E293B"/>
                <w:sz w:val="18"/>
              </w:rPr>
              <w:t>200</w:t>
            </w:r>
          </w:p>
        </w:tc>
        <w:tc>
          <w:tcPr>
            <w:tcW w:type="dxa" w:w="5070"/>
            <w:vAlign w:val="center"/>
            <w:tcMar>
              <w:top w:w="90" w:type="dxa"/>
              <w:start w:w="120" w:type="dxa"/>
              <w:bottom w:w="90" w:type="dxa"/>
              <w:end w:w="120" w:type="dxa"/>
            </w:tcMar>
          </w:tcPr>
          <w:p>
            <w:pPr>
              <w:spacing w:after="0" w:line="259" w:lineRule="auto"/>
            </w:pPr>
            <w:r>
              <w:rPr>
                <w:rFonts w:ascii="Aptos" w:hAnsi="Aptos"/>
                <w:b w:val="0"/>
                <w:i w:val="0"/>
                <w:color w:val="1E293B"/>
                <w:sz w:val="18"/>
              </w:rPr>
              <w:t>Persisted row flows through every layer</w:t>
            </w:r>
          </w:p>
        </w:tc>
      </w:tr>
      <w:tr>
        <w:trPr>
          <w:cantSplit w:val="true"/>
        </w:trPr>
        <w:tc>
          <w:tcPr>
            <w:tcW w:type="dxa" w:w="2400"/>
            <w:vAlign w:val="center"/>
            <w:tcMar>
              <w:top w:w="90" w:type="dxa"/>
              <w:start w:w="120" w:type="dxa"/>
              <w:bottom w:w="90" w:type="dxa"/>
              <w:end w:w="120" w:type="dxa"/>
            </w:tcMar>
          </w:tcPr>
          <w:p>
            <w:pPr>
              <w:spacing w:after="0" w:line="259" w:lineRule="auto"/>
            </w:pPr>
            <w:r>
              <w:rPr>
                <w:rFonts w:ascii="Aptos" w:hAnsi="Aptos"/>
                <w:b w:val="0"/>
                <w:i w:val="0"/>
                <w:color w:val="1E293B"/>
                <w:sz w:val="18"/>
              </w:rPr>
              <w:t>GET CG-999</w:t>
            </w:r>
          </w:p>
        </w:tc>
        <w:tc>
          <w:tcPr>
            <w:tcW w:type="dxa" w:w="1550"/>
            <w:vAlign w:val="center"/>
            <w:tcMar>
              <w:top w:w="90" w:type="dxa"/>
              <w:start w:w="120" w:type="dxa"/>
              <w:bottom w:w="90" w:type="dxa"/>
              <w:end w:w="120" w:type="dxa"/>
            </w:tcMar>
          </w:tcPr>
          <w:p>
            <w:pPr>
              <w:spacing w:after="0" w:line="259" w:lineRule="auto"/>
            </w:pPr>
            <w:r>
              <w:rPr>
                <w:rFonts w:ascii="Aptos" w:hAnsi="Aptos"/>
                <w:b w:val="0"/>
                <w:i w:val="0"/>
                <w:color w:val="1E293B"/>
                <w:sz w:val="18"/>
              </w:rPr>
              <w:t>404</w:t>
            </w:r>
          </w:p>
        </w:tc>
        <w:tc>
          <w:tcPr>
            <w:tcW w:type="dxa" w:w="5070"/>
            <w:vAlign w:val="center"/>
            <w:tcMar>
              <w:top w:w="90" w:type="dxa"/>
              <w:start w:w="120" w:type="dxa"/>
              <w:bottom w:w="90" w:type="dxa"/>
              <w:end w:w="120" w:type="dxa"/>
            </w:tcMar>
          </w:tcPr>
          <w:p>
            <w:pPr>
              <w:spacing w:after="0" w:line="259" w:lineRule="auto"/>
            </w:pPr>
            <w:r>
              <w:rPr>
                <w:rFonts w:ascii="Aptos" w:hAnsi="Aptos"/>
                <w:b w:val="0"/>
                <w:i w:val="0"/>
                <w:color w:val="1E293B"/>
                <w:sz w:val="18"/>
              </w:rPr>
              <w:t>Missing-resource contract works</w:t>
            </w:r>
          </w:p>
        </w:tc>
      </w:tr>
      <w:tr>
        <w:trPr>
          <w:cantSplit w:val="true"/>
        </w:trPr>
        <w:tc>
          <w:tcPr>
            <w:tcW w:type="dxa" w:w="2400"/>
            <w:vAlign w:val="center"/>
            <w:tcMar>
              <w:top w:w="90" w:type="dxa"/>
              <w:start w:w="120" w:type="dxa"/>
              <w:bottom w:w="90" w:type="dxa"/>
              <w:end w:w="120" w:type="dxa"/>
            </w:tcMar>
          </w:tcPr>
          <w:p>
            <w:pPr>
              <w:spacing w:after="0" w:line="259" w:lineRule="auto"/>
            </w:pPr>
            <w:r>
              <w:rPr>
                <w:rFonts w:ascii="Aptos" w:hAnsi="Aptos"/>
                <w:b w:val="0"/>
                <w:i w:val="0"/>
                <w:color w:val="1E293B"/>
                <w:sz w:val="18"/>
              </w:rPr>
              <w:t>API restart</w:t>
            </w:r>
          </w:p>
        </w:tc>
        <w:tc>
          <w:tcPr>
            <w:tcW w:type="dxa" w:w="1550"/>
            <w:vAlign w:val="center"/>
            <w:tcMar>
              <w:top w:w="90" w:type="dxa"/>
              <w:start w:w="120" w:type="dxa"/>
              <w:bottom w:w="90" w:type="dxa"/>
              <w:end w:w="120" w:type="dxa"/>
            </w:tcMar>
          </w:tcPr>
          <w:p>
            <w:pPr>
              <w:spacing w:after="0" w:line="259" w:lineRule="auto"/>
            </w:pPr>
            <w:r>
              <w:rPr>
                <w:rFonts w:ascii="Aptos" w:hAnsi="Aptos"/>
                <w:b w:val="0"/>
                <w:i w:val="0"/>
                <w:color w:val="1E293B"/>
                <w:sz w:val="18"/>
              </w:rPr>
              <w:t>CG-101 still available</w:t>
            </w:r>
          </w:p>
        </w:tc>
        <w:tc>
          <w:tcPr>
            <w:tcW w:type="dxa" w:w="5070"/>
            <w:vAlign w:val="center"/>
            <w:tcMar>
              <w:top w:w="90" w:type="dxa"/>
              <w:start w:w="120" w:type="dxa"/>
              <w:bottom w:w="90" w:type="dxa"/>
              <w:end w:w="120" w:type="dxa"/>
            </w:tcMar>
          </w:tcPr>
          <w:p>
            <w:pPr>
              <w:spacing w:after="0" w:line="259" w:lineRule="auto"/>
            </w:pPr>
            <w:r>
              <w:rPr>
                <w:rFonts w:ascii="Aptos" w:hAnsi="Aptos"/>
                <w:b w:val="0"/>
                <w:i w:val="0"/>
                <w:color w:val="1E293B"/>
                <w:sz w:val="18"/>
              </w:rPr>
              <w:t>Data is durable, not recreated in memory</w:t>
            </w:r>
          </w:p>
        </w:tc>
      </w:tr>
      <w:tr>
        <w:trPr>
          <w:cantSplit w:val="true"/>
        </w:trPr>
        <w:tc>
          <w:tcPr>
            <w:tcW w:type="dxa" w:w="2400"/>
            <w:vAlign w:val="center"/>
            <w:tcMar>
              <w:top w:w="90" w:type="dxa"/>
              <w:start w:w="120" w:type="dxa"/>
              <w:bottom w:w="90" w:type="dxa"/>
              <w:end w:w="120" w:type="dxa"/>
            </w:tcMar>
          </w:tcPr>
          <w:p>
            <w:pPr>
              <w:spacing w:after="0" w:line="259" w:lineRule="auto"/>
            </w:pPr>
            <w:r>
              <w:rPr>
                <w:rFonts w:ascii="Aptos" w:hAnsi="Aptos"/>
                <w:b w:val="0"/>
                <w:i w:val="0"/>
                <w:color w:val="1E293B"/>
                <w:sz w:val="18"/>
              </w:rPr>
              <w:t>Duplicate SQL insert</w:t>
            </w:r>
          </w:p>
        </w:tc>
        <w:tc>
          <w:tcPr>
            <w:tcW w:type="dxa" w:w="1550"/>
            <w:vAlign w:val="center"/>
            <w:tcMar>
              <w:top w:w="90" w:type="dxa"/>
              <w:start w:w="120" w:type="dxa"/>
              <w:bottom w:w="90" w:type="dxa"/>
              <w:end w:w="120" w:type="dxa"/>
            </w:tcMar>
          </w:tcPr>
          <w:p>
            <w:pPr>
              <w:spacing w:after="0" w:line="259" w:lineRule="auto"/>
            </w:pPr>
            <w:r>
              <w:rPr>
                <w:rFonts w:ascii="Aptos" w:hAnsi="Aptos"/>
                <w:b w:val="0"/>
                <w:i w:val="0"/>
                <w:color w:val="1E293B"/>
                <w:sz w:val="18"/>
              </w:rPr>
              <w:t>Rejected with error 2601</w:t>
            </w:r>
          </w:p>
        </w:tc>
        <w:tc>
          <w:tcPr>
            <w:tcW w:type="dxa" w:w="5070"/>
            <w:vAlign w:val="center"/>
            <w:tcMar>
              <w:top w:w="90" w:type="dxa"/>
              <w:start w:w="120" w:type="dxa"/>
              <w:bottom w:w="90" w:type="dxa"/>
              <w:end w:w="120" w:type="dxa"/>
            </w:tcMar>
          </w:tcPr>
          <w:p>
            <w:pPr>
              <w:spacing w:after="0" w:line="259" w:lineRule="auto"/>
            </w:pPr>
            <w:r>
              <w:rPr>
                <w:rFonts w:ascii="Aptos" w:hAnsi="Aptos"/>
                <w:b w:val="0"/>
                <w:i w:val="0"/>
                <w:color w:val="1E293B"/>
                <w:sz w:val="18"/>
              </w:rPr>
              <w:t>Unique index is enforced</w:t>
            </w:r>
          </w:p>
        </w:tc>
      </w:tr>
    </w:tbl>
    <w:p>
      <w:pPr>
        <w:spacing w:after="40"/>
      </w:pPr>
    </w:p>
    <w:p>
      <w:pPr>
        <w:spacing w:before="100" w:after="160" w:line="274" w:lineRule="auto"/>
        <w:ind w:left="115" w:right="86"/>
        <w:shd w:fill="FFF7DF" w:val="clear"/>
        <w:pBdr>
          <w:left w:val="single" w:sz="18" w:space="8" w:color="9A6700"/>
        </w:pBdr>
      </w:pPr>
      <w:r>
        <w:rPr>
          <w:rFonts w:ascii="Aptos" w:hAnsi="Aptos"/>
          <w:b/>
          <w:i w:val="0"/>
          <w:color w:val="9A6700"/>
          <w:sz w:val="20"/>
        </w:rPr>
        <w:t xml:space="preserve">Important boundary: </w:t>
      </w:r>
      <w:r>
        <w:rPr>
          <w:rFonts w:ascii="Aptos" w:hAnsi="Aptos"/>
          <w:b w:val="0"/>
          <w:i w:val="0"/>
          <w:color w:val="1E293B"/>
          <w:sz w:val="20"/>
        </w:rPr>
        <w:t>The application-service tests used a stub repository, so they are unit tests. A real EF Core integration test against a disposable database has not yet been implemented and should not be claimed in an interview.</w:t>
      </w:r>
    </w:p>
    <w:p>
      <w:pPr>
        <w:pStyle w:val="Heading1"/>
      </w:pPr>
      <w:r>
        <w:t>17. Troubleshooting lessons from Day 3</w:t>
      </w:r>
    </w:p>
    <w:tbl>
      <w:tblPr>
        <w:tblStyle w:val="TableGrid"/>
        <w:tblW w:type="dxa" w:w="9020"/>
        <w:tblLayout w:type="fixed"/>
        <w:tblLook w:firstColumn="1" w:firstRow="1" w:lastColumn="0" w:lastRow="0" w:noHBand="0" w:noVBand="1" w:val="04A0"/>
        <w:jc w:val="left"/>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Ind w:w="120" w:type="dxa"/>
      </w:tblPr>
      <w:tblGrid>
        <w:gridCol w:w="2600"/>
        <w:gridCol w:w="3100"/>
        <w:gridCol w:w="3320"/>
      </w:tblGrid>
      <w:tr>
        <w:trPr>
          <w:tblHeader w:val="true"/>
          <w:cantSplit w:val="true"/>
        </w:trPr>
        <w:tc>
          <w:tcPr>
            <w:tcW w:type="dxa" w:w="2600"/>
            <w:shd w:fill="EAF1FF" w:val="clear"/>
            <w:vAlign w:val="center"/>
            <w:tcMar>
              <w:top w:w="90" w:type="dxa"/>
              <w:start w:w="120" w:type="dxa"/>
              <w:bottom w:w="90" w:type="dxa"/>
              <w:end w:w="120" w:type="dxa"/>
            </w:tcMar>
          </w:tcPr>
          <w:p>
            <w:pPr>
              <w:spacing w:after="0"/>
              <w:jc w:val="left"/>
            </w:pPr>
            <w:r>
              <w:rPr>
                <w:rFonts w:ascii="Aptos" w:hAnsi="Aptos"/>
                <w:b/>
                <w:i w:val="0"/>
                <w:color w:val="0B1739"/>
                <w:sz w:val="18"/>
              </w:rPr>
              <w:t>Problem</w:t>
            </w:r>
          </w:p>
        </w:tc>
        <w:tc>
          <w:tcPr>
            <w:tcW w:type="dxa" w:w="3100"/>
            <w:shd w:fill="EAF1FF" w:val="clear"/>
            <w:vAlign w:val="center"/>
            <w:tcMar>
              <w:top w:w="90" w:type="dxa"/>
              <w:start w:w="120" w:type="dxa"/>
              <w:bottom w:w="90" w:type="dxa"/>
              <w:end w:w="120" w:type="dxa"/>
            </w:tcMar>
          </w:tcPr>
          <w:p>
            <w:pPr>
              <w:spacing w:after="0"/>
              <w:jc w:val="left"/>
            </w:pPr>
            <w:r>
              <w:rPr>
                <w:rFonts w:ascii="Aptos" w:hAnsi="Aptos"/>
                <w:b/>
                <w:i w:val="0"/>
                <w:color w:val="0B1739"/>
                <w:sz w:val="18"/>
              </w:rPr>
              <w:t>Root cause</w:t>
            </w:r>
          </w:p>
        </w:tc>
        <w:tc>
          <w:tcPr>
            <w:tcW w:type="dxa" w:w="3320"/>
            <w:shd w:fill="EAF1FF" w:val="clear"/>
            <w:vAlign w:val="center"/>
            <w:tcMar>
              <w:top w:w="90" w:type="dxa"/>
              <w:start w:w="120" w:type="dxa"/>
              <w:bottom w:w="90" w:type="dxa"/>
              <w:end w:w="120" w:type="dxa"/>
            </w:tcMar>
          </w:tcPr>
          <w:p>
            <w:pPr>
              <w:spacing w:after="0"/>
              <w:jc w:val="left"/>
            </w:pPr>
            <w:r>
              <w:rPr>
                <w:rFonts w:ascii="Aptos" w:hAnsi="Aptos"/>
                <w:b/>
                <w:i w:val="0"/>
                <w:color w:val="0B1739"/>
                <w:sz w:val="18"/>
              </w:rPr>
              <w:t>Resolution</w:t>
            </w:r>
          </w:p>
        </w:tc>
      </w:tr>
      <w:tr>
        <w:trPr>
          <w:cantSplit w:val="true"/>
        </w:trPr>
        <w:tc>
          <w:tcPr>
            <w:tcW w:type="dxa" w:w="2600"/>
            <w:vAlign w:val="center"/>
            <w:tcMar>
              <w:top w:w="90" w:type="dxa"/>
              <w:start w:w="120" w:type="dxa"/>
              <w:bottom w:w="90" w:type="dxa"/>
              <w:end w:w="120" w:type="dxa"/>
            </w:tcMar>
          </w:tcPr>
          <w:p>
            <w:pPr>
              <w:spacing w:after="0" w:line="259" w:lineRule="auto"/>
            </w:pPr>
            <w:r>
              <w:rPr>
                <w:rFonts w:ascii="Aptos" w:hAnsi="Aptos"/>
                <w:b w:val="0"/>
                <w:i w:val="0"/>
                <w:color w:val="1E293B"/>
                <w:sz w:val="18"/>
              </w:rPr>
              <w:t>EF migration tool rejected startup project</w:t>
            </w:r>
          </w:p>
        </w:tc>
        <w:tc>
          <w:tcPr>
            <w:tcW w:type="dxa" w:w="3100"/>
            <w:vAlign w:val="center"/>
            <w:tcMar>
              <w:top w:w="90" w:type="dxa"/>
              <w:start w:w="120" w:type="dxa"/>
              <w:bottom w:w="90" w:type="dxa"/>
              <w:end w:w="120" w:type="dxa"/>
            </w:tcMar>
          </w:tcPr>
          <w:p>
            <w:pPr>
              <w:spacing w:after="0" w:line="259" w:lineRule="auto"/>
            </w:pPr>
            <w:r>
              <w:rPr>
                <w:rFonts w:ascii="Aptos" w:hAnsi="Aptos"/>
                <w:b w:val="0"/>
                <w:i w:val="0"/>
                <w:color w:val="1E293B"/>
                <w:sz w:val="18"/>
              </w:rPr>
              <w:t>API did not directly reference EF Core Design</w:t>
            </w:r>
          </w:p>
        </w:tc>
        <w:tc>
          <w:tcPr>
            <w:tcW w:type="dxa" w:w="3320"/>
            <w:vAlign w:val="center"/>
            <w:tcMar>
              <w:top w:w="90" w:type="dxa"/>
              <w:start w:w="120" w:type="dxa"/>
              <w:bottom w:w="90" w:type="dxa"/>
              <w:end w:w="120" w:type="dxa"/>
            </w:tcMar>
          </w:tcPr>
          <w:p>
            <w:pPr>
              <w:spacing w:after="0" w:line="259" w:lineRule="auto"/>
            </w:pPr>
            <w:r>
              <w:rPr>
                <w:rFonts w:ascii="Aptos" w:hAnsi="Aptos"/>
                <w:b w:val="0"/>
                <w:i w:val="0"/>
                <w:color w:val="1E293B"/>
                <w:sz w:val="18"/>
              </w:rPr>
              <w:t>Added the matching 10.0.11 Design package to API with PrivateAssets=all</w:t>
            </w:r>
          </w:p>
        </w:tc>
      </w:tr>
      <w:tr>
        <w:trPr>
          <w:cantSplit w:val="true"/>
        </w:trPr>
        <w:tc>
          <w:tcPr>
            <w:tcW w:type="dxa" w:w="2600"/>
            <w:vAlign w:val="center"/>
            <w:tcMar>
              <w:top w:w="90" w:type="dxa"/>
              <w:start w:w="120" w:type="dxa"/>
              <w:bottom w:w="90" w:type="dxa"/>
              <w:end w:w="120" w:type="dxa"/>
            </w:tcMar>
          </w:tcPr>
          <w:p>
            <w:pPr>
              <w:spacing w:after="0" w:line="259" w:lineRule="auto"/>
            </w:pPr>
            <w:r>
              <w:rPr>
                <w:rFonts w:ascii="Aptos" w:hAnsi="Aptos"/>
                <w:b w:val="0"/>
                <w:i w:val="0"/>
                <w:color w:val="1E293B"/>
                <w:sz w:val="18"/>
              </w:rPr>
              <w:t>Angular component test: method is not a function</w:t>
            </w:r>
          </w:p>
        </w:tc>
        <w:tc>
          <w:tcPr>
            <w:tcW w:type="dxa" w:w="3100"/>
            <w:vAlign w:val="center"/>
            <w:tcMar>
              <w:top w:w="90" w:type="dxa"/>
              <w:start w:w="120" w:type="dxa"/>
              <w:bottom w:w="90" w:type="dxa"/>
              <w:end w:w="120" w:type="dxa"/>
            </w:tcMar>
          </w:tcPr>
          <w:p>
            <w:pPr>
              <w:spacing w:after="0" w:line="259" w:lineRule="auto"/>
            </w:pPr>
            <w:r>
              <w:rPr>
                <w:rFonts w:ascii="Aptos" w:hAnsi="Aptos"/>
                <w:b w:val="0"/>
                <w:i w:val="0"/>
                <w:color w:val="1E293B"/>
                <w:sz w:val="18"/>
              </w:rPr>
              <w:t>Test stub retained the old service method name</w:t>
            </w:r>
          </w:p>
        </w:tc>
        <w:tc>
          <w:tcPr>
            <w:tcW w:type="dxa" w:w="3320"/>
            <w:vAlign w:val="center"/>
            <w:tcMar>
              <w:top w:w="90" w:type="dxa"/>
              <w:start w:w="120" w:type="dxa"/>
              <w:bottom w:w="90" w:type="dxa"/>
              <w:end w:w="120" w:type="dxa"/>
            </w:tcMar>
          </w:tcPr>
          <w:p>
            <w:pPr>
              <w:spacing w:after="0" w:line="259" w:lineRule="auto"/>
            </w:pPr>
            <w:r>
              <w:rPr>
                <w:rFonts w:ascii="Aptos" w:hAnsi="Aptos"/>
                <w:b w:val="0"/>
                <w:i w:val="0"/>
                <w:color w:val="1E293B"/>
                <w:sz w:val="18"/>
              </w:rPr>
              <w:t>Renamed the mocked method and searched for all remaining old references</w:t>
            </w:r>
          </w:p>
        </w:tc>
      </w:tr>
      <w:tr>
        <w:trPr>
          <w:cantSplit w:val="true"/>
        </w:trPr>
        <w:tc>
          <w:tcPr>
            <w:tcW w:type="dxa" w:w="2600"/>
            <w:vAlign w:val="center"/>
            <w:tcMar>
              <w:top w:w="90" w:type="dxa"/>
              <w:start w:w="120" w:type="dxa"/>
              <w:bottom w:w="90" w:type="dxa"/>
              <w:end w:w="120" w:type="dxa"/>
            </w:tcMar>
          </w:tcPr>
          <w:p>
            <w:pPr>
              <w:spacing w:after="0" w:line="259" w:lineRule="auto"/>
            </w:pPr>
            <w:r>
              <w:rPr>
                <w:rFonts w:ascii="Aptos" w:hAnsi="Aptos"/>
                <w:b w:val="0"/>
                <w:i w:val="0"/>
                <w:color w:val="1E293B"/>
                <w:sz w:val="18"/>
              </w:rPr>
              <w:t>Duplicate insert failed</w:t>
            </w:r>
          </w:p>
        </w:tc>
        <w:tc>
          <w:tcPr>
            <w:tcW w:type="dxa" w:w="3100"/>
            <w:vAlign w:val="center"/>
            <w:tcMar>
              <w:top w:w="90" w:type="dxa"/>
              <w:start w:w="120" w:type="dxa"/>
              <w:bottom w:w="90" w:type="dxa"/>
              <w:end w:w="120" w:type="dxa"/>
            </w:tcMar>
          </w:tcPr>
          <w:p>
            <w:pPr>
              <w:spacing w:after="0" w:line="259" w:lineRule="auto"/>
            </w:pPr>
            <w:r>
              <w:rPr>
                <w:rFonts w:ascii="Aptos" w:hAnsi="Aptos"/>
                <w:b w:val="0"/>
                <w:i w:val="0"/>
                <w:color w:val="1E293B"/>
                <w:sz w:val="18"/>
              </w:rPr>
              <w:t>Unique index correctly blocked CG-101</w:t>
            </w:r>
          </w:p>
        </w:tc>
        <w:tc>
          <w:tcPr>
            <w:tcW w:type="dxa" w:w="3320"/>
            <w:vAlign w:val="center"/>
            <w:tcMar>
              <w:top w:w="90" w:type="dxa"/>
              <w:start w:w="120" w:type="dxa"/>
              <w:bottom w:w="90" w:type="dxa"/>
              <w:end w:w="120" w:type="dxa"/>
            </w:tcMar>
          </w:tcPr>
          <w:p>
            <w:pPr>
              <w:spacing w:after="0" w:line="259" w:lineRule="auto"/>
            </w:pPr>
            <w:r>
              <w:rPr>
                <w:rFonts w:ascii="Aptos" w:hAnsi="Aptos"/>
                <w:b w:val="0"/>
                <w:i w:val="0"/>
                <w:color w:val="1E293B"/>
                <w:sz w:val="18"/>
              </w:rPr>
              <w:t>Accepted as expected evidence; did not remove the constraint</w:t>
            </w:r>
          </w:p>
        </w:tc>
      </w:tr>
      <w:tr>
        <w:trPr>
          <w:cantSplit w:val="true"/>
        </w:trPr>
        <w:tc>
          <w:tcPr>
            <w:tcW w:type="dxa" w:w="2600"/>
            <w:vAlign w:val="center"/>
            <w:tcMar>
              <w:top w:w="90" w:type="dxa"/>
              <w:start w:w="120" w:type="dxa"/>
              <w:bottom w:w="90" w:type="dxa"/>
              <w:end w:w="120" w:type="dxa"/>
            </w:tcMar>
          </w:tcPr>
          <w:p>
            <w:pPr>
              <w:spacing w:after="0" w:line="259" w:lineRule="auto"/>
            </w:pPr>
            <w:r>
              <w:rPr>
                <w:rFonts w:ascii="Aptos" w:hAnsi="Aptos"/>
                <w:b w:val="0"/>
                <w:i w:val="0"/>
                <w:color w:val="1E293B"/>
                <w:sz w:val="18"/>
              </w:rPr>
              <w:t>Database update applied nothing</w:t>
            </w:r>
          </w:p>
        </w:tc>
        <w:tc>
          <w:tcPr>
            <w:tcW w:type="dxa" w:w="3100"/>
            <w:vAlign w:val="center"/>
            <w:tcMar>
              <w:top w:w="90" w:type="dxa"/>
              <w:start w:w="120" w:type="dxa"/>
              <w:bottom w:w="90" w:type="dxa"/>
              <w:end w:w="120" w:type="dxa"/>
            </w:tcMar>
          </w:tcPr>
          <w:p>
            <w:pPr>
              <w:spacing w:after="0" w:line="259" w:lineRule="auto"/>
            </w:pPr>
            <w:r>
              <w:rPr>
                <w:rFonts w:ascii="Aptos" w:hAnsi="Aptos"/>
                <w:b w:val="0"/>
                <w:i w:val="0"/>
                <w:color w:val="1E293B"/>
                <w:sz w:val="18"/>
              </w:rPr>
              <w:t>Migration was already recorded</w:t>
            </w:r>
          </w:p>
        </w:tc>
        <w:tc>
          <w:tcPr>
            <w:tcW w:type="dxa" w:w="3320"/>
            <w:vAlign w:val="center"/>
            <w:tcMar>
              <w:top w:w="90" w:type="dxa"/>
              <w:start w:w="120" w:type="dxa"/>
              <w:bottom w:w="90" w:type="dxa"/>
              <w:end w:w="120" w:type="dxa"/>
            </w:tcMar>
          </w:tcPr>
          <w:p>
            <w:pPr>
              <w:spacing w:after="0" w:line="259" w:lineRule="auto"/>
            </w:pPr>
            <w:r>
              <w:rPr>
                <w:rFonts w:ascii="Aptos" w:hAnsi="Aptos"/>
                <w:b w:val="0"/>
                <w:i w:val="0"/>
                <w:color w:val="1E293B"/>
                <w:sz w:val="18"/>
              </w:rPr>
              <w:t>Accepted as expected idempotent behavior</w:t>
            </w:r>
          </w:p>
        </w:tc>
      </w:tr>
    </w:tbl>
    <w:p>
      <w:pPr>
        <w:spacing w:after="40"/>
      </w:pPr>
    </w:p>
    <w:p>
      <w:pPr>
        <w:pStyle w:val="Heading1"/>
      </w:pPr>
      <w:r>
        <w:t>18. Interview questions and strong answers</w:t>
      </w:r>
    </w:p>
    <w:p>
      <w:pPr>
        <w:pStyle w:val="Heading3"/>
      </w:pPr>
      <w:r>
        <w:t>Why use a repository interface?</w:t>
      </w:r>
    </w:p>
    <w:p>
      <w:r>
        <w:rPr>
          <w:rFonts w:ascii="Aptos" w:hAnsi="Aptos"/>
          <w:b w:val="0"/>
          <w:i w:val="0"/>
          <w:color w:val="1E293B"/>
          <w:sz w:val="21"/>
        </w:rPr>
        <w:t>It keeps Application dependent on an abstraction that represents its data need. Infrastructure implements that abstraction with EF Core, so the use case can be tested with a stub and the persistence technology can change without rewriting the controller.</w:t>
      </w:r>
    </w:p>
    <w:p>
      <w:pPr>
        <w:pStyle w:val="Heading3"/>
      </w:pPr>
      <w:r>
        <w:t>Why is DbContext scoped?</w:t>
      </w:r>
    </w:p>
    <w:p>
      <w:r>
        <w:rPr>
          <w:rFonts w:ascii="Aptos" w:hAnsi="Aptos"/>
          <w:b w:val="0"/>
          <w:i w:val="0"/>
          <w:color w:val="1E293B"/>
          <w:sz w:val="21"/>
        </w:rPr>
        <w:t>It is not thread-safe and is designed around a short unit of work. One scoped instance per HTTP request provides consistent tracking and disposal without sharing state across users.</w:t>
      </w:r>
    </w:p>
    <w:p>
      <w:pPr>
        <w:pStyle w:val="Heading3"/>
      </w:pPr>
      <w:r>
        <w:t>Why use AsNoTracking?</w:t>
      </w:r>
    </w:p>
    <w:p>
      <w:r>
        <w:rPr>
          <w:rFonts w:ascii="Aptos" w:hAnsi="Aptos"/>
          <w:b w:val="0"/>
          <w:i w:val="0"/>
          <w:color w:val="1E293B"/>
          <w:sz w:val="21"/>
        </w:rPr>
        <w:t>The endpoint only reads the entity and never saves it. Disabling tracking removes unnecessary bookkeeping and reduces memory usage.</w:t>
      </w:r>
    </w:p>
    <w:p>
      <w:pPr>
        <w:pStyle w:val="Heading3"/>
      </w:pPr>
      <w:r>
        <w:t>Why SingleOrDefaultAsync instead of FirstOrDefaultAsync?</w:t>
      </w:r>
    </w:p>
    <w:p>
      <w:r>
        <w:rPr>
          <w:rFonts w:ascii="Aptos" w:hAnsi="Aptos"/>
          <w:b w:val="0"/>
          <w:i w:val="0"/>
          <w:color w:val="1E293B"/>
          <w:sz w:val="21"/>
        </w:rPr>
        <w:t>ReferenceNumber is unique. SingleOrDefault expresses zero-or-one and reveals duplicate corruption, while FirstOrDefault could hide it.</w:t>
      </w:r>
    </w:p>
    <w:p>
      <w:pPr>
        <w:pStyle w:val="Heading3"/>
      </w:pPr>
      <w:r>
        <w:t>Why store enums as strings?</w:t>
      </w:r>
    </w:p>
    <w:p>
      <w:r>
        <w:rPr>
          <w:rFonts w:ascii="Aptos" w:hAnsi="Aptos"/>
          <w:b w:val="0"/>
          <w:i w:val="0"/>
          <w:color w:val="1E293B"/>
          <w:sz w:val="21"/>
        </w:rPr>
        <w:t>Rows are readable and the data is not tied to the numeric order of enum members. The trade-offs are extra storage and migration planning when values are renamed.</w:t>
      </w:r>
    </w:p>
    <w:p>
      <w:pPr>
        <w:pStyle w:val="Heading3"/>
      </w:pPr>
      <w:r>
        <w:t>What is the difference between migration add and database update?</w:t>
      </w:r>
    </w:p>
    <w:p>
      <w:r>
        <w:rPr>
          <w:rFonts w:ascii="Aptos" w:hAnsi="Aptos"/>
          <w:b w:val="0"/>
          <w:i w:val="0"/>
          <w:color w:val="1E293B"/>
          <w:sz w:val="21"/>
        </w:rPr>
        <w:t>Migration add generates versioned schema-change code. Database update executes pending migrations against the selected database.</w:t>
      </w:r>
    </w:p>
    <w:p>
      <w:pPr>
        <w:pStyle w:val="Heading3"/>
      </w:pPr>
      <w:r>
        <w:t>Why have Id and ReferenceNumber?</w:t>
      </w:r>
    </w:p>
    <w:p>
      <w:r>
        <w:rPr>
          <w:rFonts w:ascii="Aptos" w:hAnsi="Aptos"/>
          <w:b w:val="0"/>
          <w:i w:val="0"/>
          <w:color w:val="1E293B"/>
          <w:sz w:val="21"/>
        </w:rPr>
        <w:t>Id is the technical primary key used for row identity. ReferenceNumber is the business identifier used by people and APIs, and a unique index protects it.</w:t>
      </w:r>
    </w:p>
    <w:p>
      <w:pPr>
        <w:pStyle w:val="Heading3"/>
      </w:pPr>
      <w:r>
        <w:t>Why not persist the score?</w:t>
      </w:r>
    </w:p>
    <w:p>
      <w:r>
        <w:rPr>
          <w:rFonts w:ascii="Aptos" w:hAnsi="Aptos"/>
          <w:b w:val="0"/>
          <w:i w:val="0"/>
          <w:color w:val="1E293B"/>
          <w:sz w:val="21"/>
        </w:rPr>
        <w:t>It is derived from current state and business rules. Persisting it risks stale data; recalculating in Domain keeps one source of truth.</w:t>
      </w:r>
    </w:p>
    <w:p>
      <w:pPr>
        <w:pStyle w:val="Heading3"/>
      </w:pPr>
      <w:r>
        <w:t>Why return 404?</w:t>
      </w:r>
    </w:p>
    <w:p>
      <w:r>
        <w:rPr>
          <w:rFonts w:ascii="Aptos" w:hAnsi="Aptos"/>
          <w:b w:val="0"/>
          <w:i w:val="0"/>
          <w:color w:val="1E293B"/>
          <w:sz w:val="21"/>
        </w:rPr>
        <w:t>The route addresses a specific resource. If that reference does not exist, 404 accurately communicates the outcome and ProblemDetails gives the client a consistent error contract.</w:t>
      </w:r>
    </w:p>
    <w:p>
      <w:pPr>
        <w:pStyle w:val="Heading3"/>
      </w:pPr>
      <w:r>
        <w:t>How did you prove persistence?</w:t>
      </w:r>
    </w:p>
    <w:p>
      <w:r>
        <w:rPr>
          <w:rFonts w:ascii="Aptos" w:hAnsi="Aptos"/>
          <w:b w:val="0"/>
          <w:i w:val="0"/>
          <w:color w:val="1E293B"/>
          <w:sz w:val="21"/>
        </w:rPr>
        <w:t>I inserted CG-101, read it through Angular and the API, restarted the API, and read the same result again. I also verified the table and migration history in SQL Server Object Explorer.</w:t>
      </w:r>
    </w:p>
    <w:p>
      <w:pPr>
        <w:pStyle w:val="Heading1"/>
      </w:pPr>
      <w:r>
        <w:t>19. A 60-second project explanation</w:t>
      </w:r>
    </w:p>
    <w:p>
      <w:pPr>
        <w:spacing w:before="100" w:after="160" w:line="274" w:lineRule="auto"/>
        <w:ind w:left="115" w:right="86"/>
        <w:shd w:fill="EAF7F0" w:val="clear"/>
        <w:pBdr>
          <w:left w:val="single" w:sz="18" w:space="8" w:color="16794B"/>
        </w:pBdr>
      </w:pPr>
      <w:r>
        <w:rPr>
          <w:rFonts w:ascii="Aptos" w:hAnsi="Aptos"/>
          <w:b/>
          <w:i w:val="0"/>
          <w:color w:val="16794B"/>
          <w:sz w:val="20"/>
        </w:rPr>
        <w:t xml:space="preserve">Interview answer: </w:t>
      </w:r>
      <w:r>
        <w:rPr>
          <w:rFonts w:ascii="Aptos" w:hAnsi="Aptos"/>
          <w:b w:val="0"/>
          <w:i w:val="0"/>
          <w:color w:val="1E293B"/>
          <w:sz w:val="20"/>
        </w:rPr>
        <w:t>On Day 3 I replaced ChangeGuard's hard-coded release-readiness demo with SQL Server persistence. I kept EF Core inside Infrastructure, exposed an Application-owned repository interface and registered the DbContext and repository as scoped services. The repository uses an asynchronous, no-tracking, SingleOrDefault query because the endpoint is read-only and ReferenceNumber is unique. EF migrations created the schema and a unique index, which I verified by intentionally attempting a duplicate insert. The API now returns a typed 200 response for CG-101 and ProblemDetails 404 for an unknown reference. Angular consumes the persistent route, and I verified backend tests, Angular tests, production builds, browser networking and persistence after an API restart.</w:t>
      </w:r>
    </w:p>
    <w:p>
      <w:pPr>
        <w:pStyle w:val="Heading1"/>
      </w:pPr>
      <w:r>
        <w:t>20. What is implemented versus planned</w:t>
      </w:r>
    </w:p>
    <w:tbl>
      <w:tblPr>
        <w:tblStyle w:val="TableGrid"/>
        <w:tblW w:type="dxa" w:w="9020"/>
        <w:tblLayout w:type="fixed"/>
        <w:tblLook w:firstColumn="1" w:firstRow="1" w:lastColumn="0" w:lastRow="0" w:noHBand="0" w:noVBand="1" w:val="04A0"/>
        <w:jc w:val="left"/>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Ind w:w="120" w:type="dxa"/>
      </w:tblPr>
      <w:tblGrid>
        <w:gridCol w:w="4510"/>
        <w:gridCol w:w="4510"/>
      </w:tblGrid>
      <w:tr>
        <w:trPr>
          <w:tblHeader w:val="true"/>
          <w:cantSplit w:val="true"/>
        </w:trPr>
        <w:tc>
          <w:tcPr>
            <w:tcW w:type="dxa" w:w="4510"/>
            <w:shd w:fill="EAF1FF" w:val="clear"/>
            <w:vAlign w:val="center"/>
            <w:tcMar>
              <w:top w:w="90" w:type="dxa"/>
              <w:start w:w="120" w:type="dxa"/>
              <w:bottom w:w="90" w:type="dxa"/>
              <w:end w:w="120" w:type="dxa"/>
            </w:tcMar>
          </w:tcPr>
          <w:p>
            <w:pPr>
              <w:spacing w:after="0"/>
              <w:jc w:val="left"/>
            </w:pPr>
            <w:r>
              <w:rPr>
                <w:rFonts w:ascii="Aptos" w:hAnsi="Aptos"/>
                <w:b/>
                <w:i w:val="0"/>
                <w:color w:val="0B1739"/>
                <w:sz w:val="18"/>
              </w:rPr>
              <w:t>Implemented on Day 3</w:t>
            </w:r>
          </w:p>
        </w:tc>
        <w:tc>
          <w:tcPr>
            <w:tcW w:type="dxa" w:w="4510"/>
            <w:shd w:fill="EAF1FF" w:val="clear"/>
            <w:vAlign w:val="center"/>
            <w:tcMar>
              <w:top w:w="90" w:type="dxa"/>
              <w:start w:w="120" w:type="dxa"/>
              <w:bottom w:w="90" w:type="dxa"/>
              <w:end w:w="120" w:type="dxa"/>
            </w:tcMar>
          </w:tcPr>
          <w:p>
            <w:pPr>
              <w:spacing w:after="0"/>
              <w:jc w:val="left"/>
            </w:pPr>
            <w:r>
              <w:rPr>
                <w:rFonts w:ascii="Aptos" w:hAnsi="Aptos"/>
                <w:b/>
                <w:i w:val="0"/>
                <w:color w:val="0B1739"/>
                <w:sz w:val="18"/>
              </w:rPr>
              <w:t>Not implemented yet</w:t>
            </w:r>
          </w:p>
        </w:tc>
      </w:tr>
      <w:tr>
        <w:trPr>
          <w:cantSplit w:val="true"/>
        </w:trPr>
        <w:tc>
          <w:tcPr>
            <w:tcW w:type="dxa" w:w="4510"/>
            <w:vAlign w:val="center"/>
            <w:tcMar>
              <w:top w:w="90" w:type="dxa"/>
              <w:start w:w="120" w:type="dxa"/>
              <w:bottom w:w="90" w:type="dxa"/>
              <w:end w:w="120" w:type="dxa"/>
            </w:tcMar>
          </w:tcPr>
          <w:p>
            <w:pPr>
              <w:spacing w:after="0" w:line="259" w:lineRule="auto"/>
            </w:pPr>
            <w:r>
              <w:rPr>
                <w:rFonts w:ascii="Aptos" w:hAnsi="Aptos"/>
                <w:b w:val="0"/>
                <w:i w:val="0"/>
                <w:color w:val="1E293B"/>
                <w:sz w:val="18"/>
              </w:rPr>
              <w:t>SQL Server LocalDB schema and initial migration</w:t>
            </w:r>
          </w:p>
        </w:tc>
        <w:tc>
          <w:tcPr>
            <w:tcW w:type="dxa" w:w="4510"/>
            <w:vAlign w:val="center"/>
            <w:tcMar>
              <w:top w:w="90" w:type="dxa"/>
              <w:start w:w="120" w:type="dxa"/>
              <w:bottom w:w="90" w:type="dxa"/>
              <w:end w:w="120" w:type="dxa"/>
            </w:tcMar>
          </w:tcPr>
          <w:p>
            <w:pPr>
              <w:spacing w:after="0" w:line="259" w:lineRule="auto"/>
            </w:pPr>
            <w:r>
              <w:rPr>
                <w:rFonts w:ascii="Aptos" w:hAnsi="Aptos"/>
                <w:b w:val="0"/>
                <w:i w:val="0"/>
                <w:color w:val="1E293B"/>
                <w:sz w:val="18"/>
              </w:rPr>
              <w:t>Create/update change-request API</w:t>
            </w:r>
          </w:p>
        </w:tc>
      </w:tr>
      <w:tr>
        <w:trPr>
          <w:cantSplit w:val="true"/>
        </w:trPr>
        <w:tc>
          <w:tcPr>
            <w:tcW w:type="dxa" w:w="4510"/>
            <w:vAlign w:val="center"/>
            <w:tcMar>
              <w:top w:w="90" w:type="dxa"/>
              <w:start w:w="120" w:type="dxa"/>
              <w:bottom w:w="90" w:type="dxa"/>
              <w:end w:w="120" w:type="dxa"/>
            </w:tcMar>
          </w:tcPr>
          <w:p>
            <w:pPr>
              <w:spacing w:after="0" w:line="259" w:lineRule="auto"/>
            </w:pPr>
            <w:r>
              <w:rPr>
                <w:rFonts w:ascii="Aptos" w:hAnsi="Aptos"/>
                <w:b w:val="0"/>
                <w:i w:val="0"/>
                <w:color w:val="1E293B"/>
                <w:sz w:val="18"/>
              </w:rPr>
              <w:t>Read repository and persistent CG-101 endpoint</w:t>
            </w:r>
          </w:p>
        </w:tc>
        <w:tc>
          <w:tcPr>
            <w:tcW w:type="dxa" w:w="4510"/>
            <w:vAlign w:val="center"/>
            <w:tcMar>
              <w:top w:w="90" w:type="dxa"/>
              <w:start w:w="120" w:type="dxa"/>
              <w:bottom w:w="90" w:type="dxa"/>
              <w:end w:w="120" w:type="dxa"/>
            </w:tcMar>
          </w:tcPr>
          <w:p>
            <w:pPr>
              <w:spacing w:after="0" w:line="259" w:lineRule="auto"/>
            </w:pPr>
            <w:r>
              <w:rPr>
                <w:rFonts w:ascii="Aptos" w:hAnsi="Aptos"/>
                <w:b w:val="0"/>
                <w:i w:val="0"/>
                <w:color w:val="1E293B"/>
                <w:sz w:val="18"/>
              </w:rPr>
              <w:t>Authentication and role authorization</w:t>
            </w:r>
          </w:p>
        </w:tc>
      </w:tr>
      <w:tr>
        <w:trPr>
          <w:cantSplit w:val="true"/>
        </w:trPr>
        <w:tc>
          <w:tcPr>
            <w:tcW w:type="dxa" w:w="4510"/>
            <w:vAlign w:val="center"/>
            <w:tcMar>
              <w:top w:w="90" w:type="dxa"/>
              <w:start w:w="120" w:type="dxa"/>
              <w:bottom w:w="90" w:type="dxa"/>
              <w:end w:w="120" w:type="dxa"/>
            </w:tcMar>
          </w:tcPr>
          <w:p>
            <w:pPr>
              <w:spacing w:after="0" w:line="259" w:lineRule="auto"/>
            </w:pPr>
            <w:r>
              <w:rPr>
                <w:rFonts w:ascii="Aptos" w:hAnsi="Aptos"/>
                <w:b w:val="0"/>
                <w:i w:val="0"/>
                <w:color w:val="1E293B"/>
                <w:sz w:val="18"/>
              </w:rPr>
              <w:t>Domain calculation from a persisted entity</w:t>
            </w:r>
          </w:p>
        </w:tc>
        <w:tc>
          <w:tcPr>
            <w:tcW w:type="dxa" w:w="4510"/>
            <w:vAlign w:val="center"/>
            <w:tcMar>
              <w:top w:w="90" w:type="dxa"/>
              <w:start w:w="120" w:type="dxa"/>
              <w:bottom w:w="90" w:type="dxa"/>
              <w:end w:w="120" w:type="dxa"/>
            </w:tcMar>
          </w:tcPr>
          <w:p>
            <w:pPr>
              <w:spacing w:after="0" w:line="259" w:lineRule="auto"/>
            </w:pPr>
            <w:r>
              <w:rPr>
                <w:rFonts w:ascii="Aptos" w:hAnsi="Aptos"/>
                <w:b w:val="0"/>
                <w:i w:val="0"/>
                <w:color w:val="1E293B"/>
                <w:sz w:val="18"/>
              </w:rPr>
              <w:t>Production Azure SQL and secret management</w:t>
            </w:r>
          </w:p>
        </w:tc>
      </w:tr>
      <w:tr>
        <w:trPr>
          <w:cantSplit w:val="true"/>
        </w:trPr>
        <w:tc>
          <w:tcPr>
            <w:tcW w:type="dxa" w:w="4510"/>
            <w:vAlign w:val="center"/>
            <w:tcMar>
              <w:top w:w="90" w:type="dxa"/>
              <w:start w:w="120" w:type="dxa"/>
              <w:bottom w:w="90" w:type="dxa"/>
              <w:end w:w="120" w:type="dxa"/>
            </w:tcMar>
          </w:tcPr>
          <w:p>
            <w:pPr>
              <w:spacing w:after="0" w:line="259" w:lineRule="auto"/>
            </w:pPr>
            <w:r>
              <w:rPr>
                <w:rFonts w:ascii="Aptos" w:hAnsi="Aptos"/>
                <w:b w:val="0"/>
                <w:i w:val="0"/>
                <w:color w:val="1E293B"/>
                <w:sz w:val="18"/>
              </w:rPr>
              <w:t>HTTP 200 and ProblemDetails 404</w:t>
            </w:r>
          </w:p>
        </w:tc>
        <w:tc>
          <w:tcPr>
            <w:tcW w:type="dxa" w:w="4510"/>
            <w:vAlign w:val="center"/>
            <w:tcMar>
              <w:top w:w="90" w:type="dxa"/>
              <w:start w:w="120" w:type="dxa"/>
              <w:bottom w:w="90" w:type="dxa"/>
              <w:end w:w="120" w:type="dxa"/>
            </w:tcMar>
          </w:tcPr>
          <w:p>
            <w:pPr>
              <w:spacing w:after="0" w:line="259" w:lineRule="auto"/>
            </w:pPr>
            <w:r>
              <w:rPr>
                <w:rFonts w:ascii="Aptos" w:hAnsi="Aptos"/>
                <w:b w:val="0"/>
                <w:i w:val="0"/>
                <w:color w:val="1E293B"/>
                <w:sz w:val="18"/>
              </w:rPr>
              <w:t>EF Core integration test with isolated database</w:t>
            </w:r>
          </w:p>
        </w:tc>
      </w:tr>
      <w:tr>
        <w:trPr>
          <w:cantSplit w:val="true"/>
        </w:trPr>
        <w:tc>
          <w:tcPr>
            <w:tcW w:type="dxa" w:w="4510"/>
            <w:vAlign w:val="center"/>
            <w:tcMar>
              <w:top w:w="90" w:type="dxa"/>
              <w:start w:w="120" w:type="dxa"/>
              <w:bottom w:w="90" w:type="dxa"/>
              <w:end w:w="120" w:type="dxa"/>
            </w:tcMar>
          </w:tcPr>
          <w:p>
            <w:pPr>
              <w:spacing w:after="0" w:line="259" w:lineRule="auto"/>
            </w:pPr>
            <w:r>
              <w:rPr>
                <w:rFonts w:ascii="Aptos" w:hAnsi="Aptos"/>
                <w:b w:val="0"/>
                <w:i w:val="0"/>
                <w:color w:val="1E293B"/>
                <w:sz w:val="18"/>
              </w:rPr>
              <w:t>Angular service currently requests seeded CG-101</w:t>
            </w:r>
          </w:p>
        </w:tc>
        <w:tc>
          <w:tcPr>
            <w:tcW w:type="dxa" w:w="4510"/>
            <w:vAlign w:val="center"/>
            <w:tcMar>
              <w:top w:w="90" w:type="dxa"/>
              <w:start w:w="120" w:type="dxa"/>
              <w:bottom w:w="90" w:type="dxa"/>
              <w:end w:w="120" w:type="dxa"/>
            </w:tcMar>
          </w:tcPr>
          <w:p>
            <w:pPr>
              <w:spacing w:after="0" w:line="259" w:lineRule="auto"/>
            </w:pPr>
            <w:r>
              <w:rPr>
                <w:rFonts w:ascii="Aptos" w:hAnsi="Aptos"/>
                <w:b w:val="0"/>
                <w:i w:val="0"/>
                <w:color w:val="1E293B"/>
                <w:sz w:val="18"/>
              </w:rPr>
              <w:t>Dynamic request-selection screen</w:t>
            </w:r>
          </w:p>
        </w:tc>
      </w:tr>
    </w:tbl>
    <w:p>
      <w:pPr>
        <w:spacing w:after="40"/>
      </w:pPr>
    </w:p>
    <w:p>
      <w:pPr>
        <w:spacing w:before="100" w:after="160" w:line="274" w:lineRule="auto"/>
        <w:ind w:left="115" w:right="86"/>
        <w:shd w:fill="FFF7DF" w:val="clear"/>
        <w:pBdr>
          <w:left w:val="single" w:sz="18" w:space="8" w:color="9A6700"/>
        </w:pBdr>
      </w:pPr>
      <w:r>
        <w:rPr>
          <w:rFonts w:ascii="Aptos" w:hAnsi="Aptos"/>
          <w:b/>
          <w:i w:val="0"/>
          <w:color w:val="9A6700"/>
          <w:sz w:val="20"/>
        </w:rPr>
        <w:t xml:space="preserve">Truthful interview rule: </w:t>
      </w:r>
      <w:r>
        <w:rPr>
          <w:rFonts w:ascii="Aptos" w:hAnsi="Aptos"/>
          <w:b w:val="0"/>
          <w:i w:val="0"/>
          <w:color w:val="1E293B"/>
          <w:sz w:val="20"/>
        </w:rPr>
        <w:t>Describe the right-hand column as the roadmap, never as completed experience.</w:t>
      </w:r>
    </w:p>
    <w:p>
      <w:pPr>
        <w:pStyle w:val="Heading1"/>
      </w:pPr>
      <w:r>
        <w:t>21. End-of-day memory sheet</w:t>
      </w:r>
    </w:p>
    <w:p>
      <w:pPr>
        <w:numPr>
          <w:ilvl w:val="0"/>
          <w:numId w:val="15"/>
        </w:numPr>
        <w:spacing w:after="80" w:line="283" w:lineRule="auto"/>
      </w:pPr>
      <w:r>
        <w:t>DbContext = short-lived EF Core unit of work; DbSet = query/persistence entry point.</w:t>
      </w:r>
    </w:p>
    <w:p>
      <w:pPr>
        <w:numPr>
          <w:ilvl w:val="0"/>
          <w:numId w:val="15"/>
        </w:numPr>
        <w:spacing w:after="80" w:line="283" w:lineRule="auto"/>
      </w:pPr>
      <w:r>
        <w:t>Scoped DbContext aligns with one HTTP request and is not thread-safe.</w:t>
      </w:r>
    </w:p>
    <w:p>
      <w:pPr>
        <w:numPr>
          <w:ilvl w:val="0"/>
          <w:numId w:val="15"/>
        </w:numPr>
        <w:spacing w:after="80" w:line="283" w:lineRule="auto"/>
      </w:pPr>
      <w:r>
        <w:t>AsNoTracking is for read-only queries.</w:t>
      </w:r>
    </w:p>
    <w:p>
      <w:pPr>
        <w:numPr>
          <w:ilvl w:val="0"/>
          <w:numId w:val="15"/>
        </w:numPr>
        <w:spacing w:after="80" w:line="283" w:lineRule="auto"/>
      </w:pPr>
      <w:r>
        <w:t>SingleOrDefault exposes broken uniqueness; FirstOrDefault can hide it.</w:t>
      </w:r>
    </w:p>
    <w:p>
      <w:pPr>
        <w:numPr>
          <w:ilvl w:val="0"/>
          <w:numId w:val="15"/>
        </w:numPr>
        <w:spacing w:after="80" w:line="283" w:lineRule="auto"/>
      </w:pPr>
      <w:r>
        <w:t>Application owns repository abstraction; Infrastructure owns EF implementation.</w:t>
      </w:r>
    </w:p>
    <w:p>
      <w:pPr>
        <w:numPr>
          <w:ilvl w:val="0"/>
          <w:numId w:val="15"/>
        </w:numPr>
        <w:spacing w:after="80" w:line="283" w:lineRule="auto"/>
      </w:pPr>
      <w:r>
        <w:t>Migrations are schema source history; __EFMigrationsHistory records applied migrations.</w:t>
      </w:r>
    </w:p>
    <w:p>
      <w:pPr>
        <w:numPr>
          <w:ilvl w:val="0"/>
          <w:numId w:val="15"/>
        </w:numPr>
        <w:spacing w:after="80" w:line="283" w:lineRule="auto"/>
      </w:pPr>
      <w:r>
        <w:t>A unique index is the final database guard against duplicate business keys.</w:t>
      </w:r>
    </w:p>
    <w:p>
      <w:pPr>
        <w:numPr>
          <w:ilvl w:val="0"/>
          <w:numId w:val="15"/>
        </w:numPr>
        <w:spacing w:after="80" w:line="283" w:lineRule="auto"/>
      </w:pPr>
      <w:r>
        <w:t>Async releases the thread during I/O waits; cancellation stops abandoned work.</w:t>
      </w:r>
    </w:p>
    <w:p>
      <w:pPr>
        <w:numPr>
          <w:ilvl w:val="0"/>
          <w:numId w:val="15"/>
        </w:numPr>
        <w:spacing w:after="80" w:line="283" w:lineRule="auto"/>
      </w:pPr>
      <w:r>
        <w:t>Domain calculates readiness; Application coordinates; API translates to HTTP.</w:t>
      </w:r>
    </w:p>
    <w:p>
      <w:pPr>
        <w:numPr>
          <w:ilvl w:val="0"/>
          <w:numId w:val="15"/>
        </w:numPr>
        <w:spacing w:after="80" w:line="283" w:lineRule="auto"/>
      </w:pPr>
      <w:r>
        <w:t>Update production callers and all test doubles whenever a service contract changes.</w:t>
      </w:r>
    </w:p>
    <w:sectPr w:rsidR="00FC693F" w:rsidRPr="0006063C" w:rsidSect="00034616">
      <w:headerReference w:type="default" r:id="rId9"/>
      <w:footerReference w:type="default" r:id="rId10"/>
      <w:pgSz w:w="11906" w:h="16838"/>
      <w:pgMar w:top="1440" w:right="1440" w:bottom="1440" w:left="1440" w:header="605" w:footer="60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b w:val="0"/>
        <w:i w:val="0"/>
        <w:color w:val="64748B"/>
        <w:sz w:val="16"/>
      </w:rPr>
      <w:t xml:space="preserve">Ashutosh Parmar  |  Page </w:t>
    </w:r>
    <w: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000" w:val="left"/>
      </w:tabs>
      <w:spacing w:after="0"/>
    </w:pPr>
    <w:r>
      <w:rPr>
        <w:rFonts w:ascii="Aptos" w:hAnsi="Aptos"/>
        <w:b/>
        <w:i w:val="0"/>
        <w:color w:val="64748B"/>
        <w:sz w:val="16"/>
      </w:rPr>
      <w:t>CHANGEGUARD AI  |  TECHNICAL LEARNING SERIES</w:t>
    </w:r>
    <w:r>
      <w:tab/>
    </w:r>
    <w:r>
      <w:rPr>
        <w:rFonts w:ascii="Aptos" w:hAnsi="Aptos"/>
        <w:b/>
        <w:i w:val="0"/>
        <w:color w:val="255CE8"/>
        <w:sz w:val="16"/>
      </w:rPr>
      <w:t>DAY 03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suff w:val="tab"/>
      <w:pPr>
        <w:tabs>
          <w:tab w:val="num" w:pos="540"/>
        </w:tabs>
        <w:ind w:left="540" w:hanging="270"/>
      </w:pPr>
      <w:rPr>
        <w:rFonts w:ascii="Aptos" w:hAnsi="Aptos"/>
      </w:rPr>
    </w:lvl>
  </w:abstractNum>
  <w:num w:numId="10">
    <w:abstractNumId w:val="9"/>
  </w:num>
  <w:abstractNum w:abstractNumId="10">
    <w:multiLevelType w:val="singleLevel"/>
    <w:lvl w:ilvl="0">
      <w:start w:val="1"/>
      <w:numFmt w:val="bullet"/>
      <w:lvlText w:val="•"/>
      <w:suff w:val="tab"/>
      <w:pPr>
        <w:tabs>
          <w:tab w:val="num" w:pos="540"/>
        </w:tabs>
        <w:ind w:left="540" w:hanging="270"/>
      </w:pPr>
      <w:rPr>
        <w:rFonts w:ascii="Aptos" w:hAnsi="Aptos"/>
      </w:rPr>
    </w:lvl>
  </w:abstractNum>
  <w:num w:numId="11">
    <w:abstractNumId w:val="10"/>
  </w:num>
  <w:abstractNum w:abstractNumId="11">
    <w:multiLevelType w:val="singleLevel"/>
    <w:lvl w:ilvl="0">
      <w:start w:val="1"/>
      <w:numFmt w:val="bullet"/>
      <w:lvlText w:val="•"/>
      <w:suff w:val="tab"/>
      <w:pPr>
        <w:tabs>
          <w:tab w:val="num" w:pos="540"/>
        </w:tabs>
        <w:ind w:left="540" w:hanging="270"/>
      </w:pPr>
      <w:rPr>
        <w:rFonts w:ascii="Aptos" w:hAnsi="Aptos"/>
      </w:rPr>
    </w:lvl>
  </w:abstractNum>
  <w:num w:numId="12">
    <w:abstractNumId w:val="11"/>
  </w:num>
  <w:abstractNum w:abstractNumId="12">
    <w:multiLevelType w:val="singleLevel"/>
    <w:lvl w:ilvl="0">
      <w:start w:val="1"/>
      <w:numFmt w:val="bullet"/>
      <w:lvlText w:val="•"/>
      <w:suff w:val="tab"/>
      <w:pPr>
        <w:tabs>
          <w:tab w:val="num" w:pos="540"/>
        </w:tabs>
        <w:ind w:left="540" w:hanging="270"/>
      </w:pPr>
      <w:rPr>
        <w:rFonts w:ascii="Aptos" w:hAnsi="Aptos"/>
      </w:rPr>
    </w:lvl>
  </w:abstractNum>
  <w:num w:numId="13">
    <w:abstractNumId w:val="12"/>
  </w:num>
  <w:abstractNum w:abstractNumId="13">
    <w:multiLevelType w:val="singleLevel"/>
    <w:lvl w:ilvl="0">
      <w:start w:val="1"/>
      <w:numFmt w:val="decimal"/>
      <w:lvlText w:val="%1."/>
      <w:suff w:val="tab"/>
      <w:pPr>
        <w:tabs>
          <w:tab w:val="num" w:pos="540"/>
        </w:tabs>
        <w:ind w:left="540" w:hanging="270"/>
      </w:pPr>
      <w:rPr>
        <w:rFonts w:ascii="Aptos" w:hAnsi="Aptos"/>
      </w:rPr>
    </w:lvl>
  </w:abstractNum>
  <w:num w:numId="14">
    <w:abstractNumId w:val="13"/>
  </w:num>
  <w:abstractNum w:abstractNumId="14">
    <w:multiLevelType w:val="singleLevel"/>
    <w:lvl w:ilvl="0">
      <w:start w:val="1"/>
      <w:numFmt w:val="bullet"/>
      <w:lvlText w:val="•"/>
      <w:suff w:val="tab"/>
      <w:pPr>
        <w:tabs>
          <w:tab w:val="num" w:pos="540"/>
        </w:tabs>
        <w:ind w:left="540" w:hanging="270"/>
      </w:pPr>
      <w:rPr>
        <w:rFonts w:ascii="Aptos" w:hAnsi="Aptos"/>
      </w:rPr>
    </w:lvl>
  </w:abstractNum>
  <w:num w:numId="1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00" w:line="283" w:lineRule="auto"/>
    </w:pPr>
    <w:rPr>
      <w:rFonts w:ascii="Aptos" w:hAnsi="Aptos"/>
      <w:color w:val="1E293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80"/>
      <w:outlineLvl w:val="0"/>
    </w:pPr>
    <w:rPr>
      <w:rFonts w:asciiTheme="majorHAnsi" w:eastAsiaTheme="majorEastAsia" w:hAnsiTheme="majorHAnsi" w:cstheme="majorBidi" w:ascii="Aptos Display" w:hAnsi="Aptos Display"/>
      <w:b/>
      <w:bCs/>
      <w:color w:val="255CE8"/>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Aptos" w:hAnsi="Aptos"/>
      <w:b/>
      <w:bCs/>
      <w:color w:val="2E5EAA"/>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w:hAnsi="Aptos"/>
      <w:b/>
      <w:bCs/>
      <w:color w:val="173B67"/>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40" w:lineRule="auto" w:before="0"/>
      <w:contextualSpacing/>
    </w:pPr>
    <w:rPr>
      <w:rFonts w:asciiTheme="majorHAnsi" w:eastAsiaTheme="majorEastAsia" w:hAnsiTheme="majorHAnsi" w:cstheme="majorBidi" w:ascii="Aptos Display" w:hAnsi="Aptos Display"/>
      <w:b/>
      <w:color w:val="0B1739"/>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320"/>
    </w:pPr>
    <w:rPr>
      <w:rFonts w:asciiTheme="majorHAnsi" w:eastAsiaTheme="majorEastAsia" w:hAnsiTheme="majorHAnsi" w:cstheme="majorBidi" w:ascii="Aptos" w:hAnsi="Aptos"/>
      <w:b w:val="0"/>
      <w:i/>
      <w:iCs/>
      <w:color w:val="64748B"/>
      <w:spacing w:val="15"/>
      <w:sz w:val="2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83" w:lineRule="auto"/>
      <w:ind w:left="540" w:hanging="271"/>
      <w:contextualSpacing/>
    </w:pPr>
    <w:rPr>
      <w:rFonts w:ascii="Aptos" w:hAnsi="Aptos"/>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83" w:lineRule="auto"/>
      <w:ind w:left="540" w:hanging="271"/>
      <w:contextualSpacing/>
    </w:pPr>
    <w:rPr>
      <w:rFonts w:ascii="Aptos" w:hAnsi="Aptos"/>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Day 3 Technical Notes - Persistent Release Readiness</dc:title>
  <dc:subject>ChangeGuard AI interview-preparation notes for EF Core and SQL Server persistence</dc:subject>
  <dc:creator>Ashutosh Parmar</dc:creator>
  <cp:keywords>ChangeGuard AI, .NET, Angular, EF Core, SQL Server, interview preparation</cp:keywords>
  <dc:description>generated by python-docx</dc:description>
  <cp:lastModifiedBy/>
  <cp:revision>1</cp:revision>
  <dcterms:created xsi:type="dcterms:W3CDTF">2013-12-23T23:15:00Z</dcterms:created>
  <dcterms:modified xsi:type="dcterms:W3CDTF">2013-12-23T23:15:00Z</dcterms:modified>
  <cp:category/>
</cp:coreProperties>
</file>