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3A5F"/>
          <w:sz w:val="44"/>
        </w:rPr>
        <w:t>Smart Contract Development and Deployment Documentation</w:t>
      </w:r>
    </w:p>
    <w:p>
      <w:pPr>
        <w:jc w:val="center"/>
      </w:pPr>
      <w:r>
        <w:rPr>
          <w:rFonts w:ascii="Times New Roman" w:hAnsi="Times New Roman"/>
          <w:i/>
          <w:sz w:val="24"/>
        </w:rPr>
        <w:t>Election.sol for the VoteHybrid voting system</w:t>
      </w:r>
    </w:p>
    <w:p>
      <w:pPr>
        <w:jc w:val="center"/>
      </w:pPr>
      <w:r>
        <w:rPr>
          <w:rFonts w:ascii="Times New Roman" w:hAnsi="Times New Roman"/>
          <w:sz w:val="22"/>
        </w:rPr>
        <w:t>Prepared on March 22, 2026</w:t>
      </w:r>
    </w:p>
    <w:p/>
    <w:p>
      <w:pPr>
        <w:pStyle w:val="Heading1"/>
      </w:pPr>
      <w:r>
        <w:t>1. Introduction</w:t>
      </w:r>
    </w:p>
    <w:p>
      <w:pPr>
        <w:spacing w:after="120"/>
      </w:pPr>
      <w:r>
        <w:rPr>
          <w:rFonts w:ascii="Times New Roman" w:hAnsi="Times New Roman"/>
        </w:rPr>
        <w:t>In this project, our group developed the Election smart contract to make the voting lifecycle transparent, auditable, and easy to manage from our hybrid voting platform. We wanted the blockchain layer to hold the election state and vote records, while sensitive identity information stayed off-chain. For that reason, we stored only a hashed voter identifier on-chain and kept the KYC workflow in the backend services.</w:t>
      </w:r>
    </w:p>
    <w:p>
      <w:pPr>
        <w:spacing w:after="120"/>
      </w:pPr>
      <w:r>
        <w:rPr>
          <w:rFonts w:ascii="Times New Roman" w:hAnsi="Times New Roman"/>
        </w:rPr>
        <w:t>The contract is written in Solidity 0.8.20 and lives in contracts/src/Election.sol. We built and tested it with Foundry, then integrated it with the online API, the offline API, and the React dApp so that the whole system could operate against the Sepolia Ethereum testnet.</w:t>
      </w:r>
    </w:p>
    <w:p>
      <w:pPr>
        <w:pStyle w:val="Heading1"/>
      </w:pPr>
      <w:r>
        <w:t>2. What We Wanted the Contract to Solve</w:t>
      </w:r>
    </w:p>
    <w:p>
      <w:pPr>
        <w:pStyle w:val="ListBullet"/>
        <w:spacing w:after="40"/>
      </w:pPr>
      <w:r>
        <w:rPr>
          <w:rFonts w:ascii="Times New Roman" w:hAnsi="Times New Roman"/>
        </w:rPr>
        <w:t>We wanted only an authorized administrator to control election setup, candidate creation, voter registration, eligibility updates, result publication, and election reset.</w:t>
      </w:r>
    </w:p>
    <w:p>
      <w:pPr>
        <w:pStyle w:val="ListBullet"/>
        <w:spacing w:after="40"/>
      </w:pPr>
      <w:r>
        <w:rPr>
          <w:rFonts w:ascii="Times New Roman" w:hAnsi="Times New Roman"/>
        </w:rPr>
        <w:t>We wanted each registered voter wallet to cast only one vote in a given election cycle.</w:t>
      </w:r>
    </w:p>
    <w:p>
      <w:pPr>
        <w:pStyle w:val="ListBullet"/>
        <w:spacing w:after="40"/>
      </w:pPr>
      <w:r>
        <w:rPr>
          <w:rFonts w:ascii="Times New Roman" w:hAnsi="Times New Roman"/>
        </w:rPr>
        <w:t>We wanted the candidate list and vote totals to be readable from the blockchain for transparency.</w:t>
      </w:r>
    </w:p>
    <w:p>
      <w:pPr>
        <w:pStyle w:val="ListBullet"/>
        <w:spacing w:after="40"/>
      </w:pPr>
      <w:r>
        <w:rPr>
          <w:rFonts w:ascii="Times New Roman" w:hAnsi="Times New Roman"/>
        </w:rPr>
        <w:t>We wanted to hide the public results until the election had been officially closed and published.</w:t>
      </w:r>
    </w:p>
    <w:p>
      <w:pPr>
        <w:pStyle w:val="ListBullet"/>
        <w:spacing w:after="40"/>
      </w:pPr>
      <w:r>
        <w:rPr>
          <w:rFonts w:ascii="Times New Roman" w:hAnsi="Times New Roman"/>
        </w:rPr>
        <w:t>We wanted to start a new election cleanly without trying to delete large mapping data on-chain, so we isolated each cycle with electionId.</w:t>
      </w:r>
    </w:p>
    <w:p>
      <w:pPr>
        <w:pStyle w:val="Heading1"/>
      </w:pPr>
      <w:r>
        <w:t>3. High-Level Development Logic</w:t>
      </w:r>
    </w:p>
    <w:p>
      <w:pPr>
        <w:spacing w:after="120"/>
      </w:pPr>
      <w:r>
        <w:rPr>
          <w:rFonts w:ascii="Times New Roman" w:hAnsi="Times New Roman"/>
        </w:rPr>
        <w:t>Our group designed the contract around the idea of an election lifecycle. The contract starts with electionActive set to true, resultsPublished set to false, and electionId set to 1. During the active phase, the owner registers voters and candidates. When voting is finished, the owner closes the election, publishes the results, and finally resets the election for a fresh cycle when needed.</w:t>
      </w:r>
    </w:p>
    <w:p>
      <w:pPr>
        <w:spacing w:after="120"/>
      </w:pPr>
      <w:r>
        <w:rPr>
          <w:rFonts w:ascii="Times New Roman" w:hAnsi="Times New Roman"/>
        </w:rPr>
        <w:t>One of the most important implementation choices we made was to use nested mappings keyed by electionId. This allowed us to keep every election cycle logically separate. Instead of deleting all previous voters, candidates, and votes, we simply increment electionId in resetElection(). That approach is practical in Solidity because mappings are not easy to clear in bulk, and it gives us a clean state for the next election while preserving previous data under the old keys.</w:t>
      </w:r>
    </w:p>
    <w:p>
      <w:pPr>
        <w:spacing w:after="120"/>
      </w:pPr>
      <w:r>
        <w:rPr>
          <w:rFonts w:ascii="Times New Roman" w:hAnsi="Times New Roman"/>
        </w:rPr>
        <w:t>We also added voterIdToWallet so that the same hashed voter identity cannot be registered twice in the same election. This protects the system from duplicate enrollment and keeps one wallet tied to one voter record per cycle.</w:t>
      </w:r>
    </w:p>
    <w:p>
      <w:pPr>
        <w:pStyle w:val="Heading1"/>
      </w:pPr>
      <w:r>
        <w:t>4. Data Structures We Implemented</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D9EAF7"/>
            <w:vAlign w:val="center"/>
          </w:tcPr>
          <w:p>
            <w:r>
              <w:rPr>
                <w:rFonts w:ascii="Times New Roman" w:hAnsi="Times New Roman"/>
                <w:b/>
              </w:rPr>
              <w:t>Structure</w:t>
            </w:r>
          </w:p>
        </w:tc>
        <w:tc>
          <w:tcPr>
            <w:tcW w:type="dxa" w:w="3264"/>
            <w:shd w:fill="D9EAF7"/>
            <w:vAlign w:val="center"/>
          </w:tcPr>
          <w:p>
            <w:r>
              <w:rPr>
                <w:rFonts w:ascii="Times New Roman" w:hAnsi="Times New Roman"/>
                <w:b/>
              </w:rPr>
              <w:t>Fields</w:t>
            </w:r>
          </w:p>
        </w:tc>
        <w:tc>
          <w:tcPr>
            <w:tcW w:type="dxa" w:w="3264"/>
            <w:shd w:fill="D9EAF7"/>
            <w:vAlign w:val="center"/>
          </w:tcPr>
          <w:p>
            <w:r>
              <w:rPr>
                <w:rFonts w:ascii="Times New Roman" w:hAnsi="Times New Roman"/>
                <w:b/>
              </w:rPr>
              <w:t>Why our group used it</w:t>
            </w:r>
          </w:p>
        </w:tc>
      </w:tr>
      <w:tr>
        <w:tc>
          <w:tcPr>
            <w:tcW w:type="dxa" w:w="3264"/>
            <w:vAlign w:val="top"/>
          </w:tcPr>
          <w:p>
            <w:r>
              <w:rPr>
                <w:rFonts w:ascii="Times New Roman" w:hAnsi="Times New Roman"/>
              </w:rPr>
              <w:t>VoterStatus</w:t>
            </w:r>
          </w:p>
        </w:tc>
        <w:tc>
          <w:tcPr>
            <w:tcW w:type="dxa" w:w="3264"/>
            <w:vAlign w:val="top"/>
          </w:tcPr>
          <w:p>
            <w:r>
              <w:rPr>
                <w:rFonts w:ascii="Times New Roman" w:hAnsi="Times New Roman"/>
              </w:rPr>
              <w:t>eligible, hasVoted, voterIdHash</w:t>
            </w:r>
          </w:p>
        </w:tc>
        <w:tc>
          <w:tcPr>
            <w:tcW w:type="dxa" w:w="3264"/>
            <w:vAlign w:val="top"/>
          </w:tcPr>
          <w:p>
            <w:r>
              <w:rPr>
                <w:rFonts w:ascii="Times New Roman" w:hAnsi="Times New Roman"/>
              </w:rPr>
              <w:t>We used this struct to track whether a wallet may vote, whether it already voted, and which hashed voter identity it belongs to.</w:t>
            </w:r>
          </w:p>
        </w:tc>
      </w:tr>
      <w:tr>
        <w:tc>
          <w:tcPr>
            <w:tcW w:type="dxa" w:w="3264"/>
            <w:vAlign w:val="top"/>
          </w:tcPr>
          <w:p>
            <w:r>
              <w:rPr>
                <w:rFonts w:ascii="Times New Roman" w:hAnsi="Times New Roman"/>
              </w:rPr>
              <w:t>Candidate</w:t>
            </w:r>
          </w:p>
        </w:tc>
        <w:tc>
          <w:tcPr>
            <w:tcW w:type="dxa" w:w="3264"/>
            <w:vAlign w:val="top"/>
          </w:tcPr>
          <w:p>
            <w:r>
              <w:rPr>
                <w:rFonts w:ascii="Times New Roman" w:hAnsi="Times New Roman"/>
              </w:rPr>
              <w:t>id, name, party</w:t>
            </w:r>
          </w:p>
        </w:tc>
        <w:tc>
          <w:tcPr>
            <w:tcW w:type="dxa" w:w="3264"/>
            <w:vAlign w:val="top"/>
          </w:tcPr>
          <w:p>
            <w:r>
              <w:rPr>
                <w:rFonts w:ascii="Times New Roman" w:hAnsi="Times New Roman"/>
              </w:rPr>
              <w:t>We used this struct to keep an on-chain list of candidates with a sequential identifier that the UI and APIs can reference.</w:t>
            </w:r>
          </w:p>
        </w:tc>
      </w:tr>
      <w:tr>
        <w:tc>
          <w:tcPr>
            <w:tcW w:type="dxa" w:w="3264"/>
            <w:vAlign w:val="top"/>
          </w:tcPr>
          <w:p>
            <w:r>
              <w:rPr>
                <w:rFonts w:ascii="Times New Roman" w:hAnsi="Times New Roman"/>
              </w:rPr>
              <w:t>Result</w:t>
            </w:r>
          </w:p>
        </w:tc>
        <w:tc>
          <w:tcPr>
            <w:tcW w:type="dxa" w:w="3264"/>
            <w:vAlign w:val="top"/>
          </w:tcPr>
          <w:p>
            <w:r>
              <w:rPr>
                <w:rFonts w:ascii="Times New Roman" w:hAnsi="Times New Roman"/>
              </w:rPr>
              <w:t>candidateId, votes</w:t>
            </w:r>
          </w:p>
        </w:tc>
        <w:tc>
          <w:tcPr>
            <w:tcW w:type="dxa" w:w="3264"/>
            <w:vAlign w:val="top"/>
          </w:tcPr>
          <w:p>
            <w:r>
              <w:rPr>
                <w:rFonts w:ascii="Times New Roman" w:hAnsi="Times New Roman"/>
              </w:rPr>
              <w:t>We used this struct as a lightweight response object so getResults() can return a clean candidate-to-vote-count summary.</w:t>
            </w:r>
          </w:p>
        </w:tc>
      </w:tr>
    </w:tbl>
    <w:p/>
    <w:p>
      <w:pPr>
        <w:pStyle w:val="Heading1"/>
      </w:pPr>
      <w:r>
        <w:t>5. State Variables and Storage Design</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D9EAF7"/>
            <w:vAlign w:val="center"/>
          </w:tcPr>
          <w:p>
            <w:r>
              <w:rPr>
                <w:rFonts w:ascii="Times New Roman" w:hAnsi="Times New Roman"/>
                <w:b/>
              </w:rPr>
              <w:t>State item</w:t>
            </w:r>
          </w:p>
        </w:tc>
        <w:tc>
          <w:tcPr>
            <w:tcW w:type="dxa" w:w="4896"/>
            <w:shd w:fill="D9EAF7"/>
            <w:vAlign w:val="center"/>
          </w:tcPr>
          <w:p>
            <w:r>
              <w:rPr>
                <w:rFonts w:ascii="Times New Roman" w:hAnsi="Times New Roman"/>
                <w:b/>
              </w:rPr>
              <w:t>Purpose</w:t>
            </w:r>
          </w:p>
        </w:tc>
      </w:tr>
      <w:tr>
        <w:tc>
          <w:tcPr>
            <w:tcW w:type="dxa" w:w="4896"/>
            <w:vAlign w:val="top"/>
          </w:tcPr>
          <w:p>
            <w:r>
              <w:rPr>
                <w:rFonts w:ascii="Times New Roman" w:hAnsi="Times New Roman"/>
              </w:rPr>
              <w:t>owner</w:t>
            </w:r>
          </w:p>
        </w:tc>
        <w:tc>
          <w:tcPr>
            <w:tcW w:type="dxa" w:w="4896"/>
            <w:vAlign w:val="top"/>
          </w:tcPr>
          <w:p>
            <w:r>
              <w:rPr>
                <w:rFonts w:ascii="Times New Roman" w:hAnsi="Times New Roman"/>
              </w:rPr>
              <w:t>The wallet that deployed the contract. We protect administrative functions with onlyOwner so that random users cannot change the election state.</w:t>
            </w:r>
          </w:p>
        </w:tc>
      </w:tr>
      <w:tr>
        <w:tc>
          <w:tcPr>
            <w:tcW w:type="dxa" w:w="4896"/>
            <w:vAlign w:val="top"/>
          </w:tcPr>
          <w:p>
            <w:r>
              <w:rPr>
                <w:rFonts w:ascii="Times New Roman" w:hAnsi="Times New Roman"/>
              </w:rPr>
              <w:t>electionActive</w:t>
            </w:r>
          </w:p>
        </w:tc>
        <w:tc>
          <w:tcPr>
            <w:tcW w:type="dxa" w:w="4896"/>
            <w:vAlign w:val="top"/>
          </w:tcPr>
          <w:p>
            <w:r>
              <w:rPr>
                <w:rFonts w:ascii="Times New Roman" w:hAnsi="Times New Roman"/>
              </w:rPr>
              <w:t>A boolean flag that tells me whether voting is open.</w:t>
            </w:r>
          </w:p>
        </w:tc>
      </w:tr>
      <w:tr>
        <w:tc>
          <w:tcPr>
            <w:tcW w:type="dxa" w:w="4896"/>
            <w:vAlign w:val="top"/>
          </w:tcPr>
          <w:p>
            <w:r>
              <w:rPr>
                <w:rFonts w:ascii="Times New Roman" w:hAnsi="Times New Roman"/>
              </w:rPr>
              <w:t>resultsPublished</w:t>
            </w:r>
          </w:p>
        </w:tc>
        <w:tc>
          <w:tcPr>
            <w:tcW w:type="dxa" w:w="4896"/>
            <w:vAlign w:val="top"/>
          </w:tcPr>
          <w:p>
            <w:r>
              <w:rPr>
                <w:rFonts w:ascii="Times New Roman" w:hAnsi="Times New Roman"/>
              </w:rPr>
              <w:t>A boolean flag that tells me whether public results can be read.</w:t>
            </w:r>
          </w:p>
        </w:tc>
      </w:tr>
      <w:tr>
        <w:tc>
          <w:tcPr>
            <w:tcW w:type="dxa" w:w="4896"/>
            <w:vAlign w:val="top"/>
          </w:tcPr>
          <w:p>
            <w:r>
              <w:rPr>
                <w:rFonts w:ascii="Times New Roman" w:hAnsi="Times New Roman"/>
              </w:rPr>
              <w:t>electionId</w:t>
            </w:r>
          </w:p>
        </w:tc>
        <w:tc>
          <w:tcPr>
            <w:tcW w:type="dxa" w:w="4896"/>
            <w:vAlign w:val="top"/>
          </w:tcPr>
          <w:p>
            <w:r>
              <w:rPr>
                <w:rFonts w:ascii="Times New Roman" w:hAnsi="Times New Roman"/>
              </w:rPr>
              <w:t>A counter that separates one election cycle from the next.</w:t>
            </w:r>
          </w:p>
        </w:tc>
      </w:tr>
      <w:tr>
        <w:tc>
          <w:tcPr>
            <w:tcW w:type="dxa" w:w="4896"/>
            <w:vAlign w:val="top"/>
          </w:tcPr>
          <w:p>
            <w:r>
              <w:rPr>
                <w:rFonts w:ascii="Times New Roman" w:hAnsi="Times New Roman"/>
              </w:rPr>
              <w:t>voters</w:t>
            </w:r>
          </w:p>
        </w:tc>
        <w:tc>
          <w:tcPr>
            <w:tcW w:type="dxa" w:w="4896"/>
            <w:vAlign w:val="top"/>
          </w:tcPr>
          <w:p>
            <w:r>
              <w:rPr>
                <w:rFonts w:ascii="Times New Roman" w:hAnsi="Times New Roman"/>
              </w:rPr>
              <w:t>mapping(electionId =&gt; wallet =&gt; VoterStatus). We used this to store voter status per election cycle.</w:t>
            </w:r>
          </w:p>
        </w:tc>
      </w:tr>
      <w:tr>
        <w:tc>
          <w:tcPr>
            <w:tcW w:type="dxa" w:w="4896"/>
            <w:vAlign w:val="top"/>
          </w:tcPr>
          <w:p>
            <w:r>
              <w:rPr>
                <w:rFonts w:ascii="Times New Roman" w:hAnsi="Times New Roman"/>
              </w:rPr>
              <w:t>voterIdToWallet</w:t>
            </w:r>
          </w:p>
        </w:tc>
        <w:tc>
          <w:tcPr>
            <w:tcW w:type="dxa" w:w="4896"/>
            <w:vAlign w:val="top"/>
          </w:tcPr>
          <w:p>
            <w:r>
              <w:rPr>
                <w:rFonts w:ascii="Times New Roman" w:hAnsi="Times New Roman"/>
              </w:rPr>
              <w:t>mapping(electionId =&gt; voterIdHash =&gt; wallet). We used this to block duplicate registration of the same voter hash in the same election.</w:t>
            </w:r>
          </w:p>
        </w:tc>
      </w:tr>
      <w:tr>
        <w:tc>
          <w:tcPr>
            <w:tcW w:type="dxa" w:w="4896"/>
            <w:vAlign w:val="top"/>
          </w:tcPr>
          <w:p>
            <w:r>
              <w:rPr>
                <w:rFonts w:ascii="Times New Roman" w:hAnsi="Times New Roman"/>
              </w:rPr>
              <w:t>candidates</w:t>
            </w:r>
          </w:p>
        </w:tc>
        <w:tc>
          <w:tcPr>
            <w:tcW w:type="dxa" w:w="4896"/>
            <w:vAlign w:val="top"/>
          </w:tcPr>
          <w:p>
            <w:r>
              <w:rPr>
                <w:rFonts w:ascii="Times New Roman" w:hAnsi="Times New Roman"/>
              </w:rPr>
              <w:t>mapping(electionId =&gt; Candidate[]). We used this to keep the candidate list for the current election.</w:t>
            </w:r>
          </w:p>
        </w:tc>
      </w:tr>
      <w:tr>
        <w:tc>
          <w:tcPr>
            <w:tcW w:type="dxa" w:w="4896"/>
            <w:vAlign w:val="top"/>
          </w:tcPr>
          <w:p>
            <w:r>
              <w:rPr>
                <w:rFonts w:ascii="Times New Roman" w:hAnsi="Times New Roman"/>
              </w:rPr>
              <w:t>votes</w:t>
            </w:r>
          </w:p>
        </w:tc>
        <w:tc>
          <w:tcPr>
            <w:tcW w:type="dxa" w:w="4896"/>
            <w:vAlign w:val="top"/>
          </w:tcPr>
          <w:p>
            <w:r>
              <w:rPr>
                <w:rFonts w:ascii="Times New Roman" w:hAnsi="Times New Roman"/>
              </w:rPr>
              <w:t>mapping(electionId =&gt; candidateId =&gt; voteCount). We used this to track totals without storing full ballot content.</w:t>
            </w:r>
          </w:p>
        </w:tc>
      </w:tr>
    </w:tbl>
    <w:p/>
    <w:p>
      <w:pPr>
        <w:pStyle w:val="Heading1"/>
      </w:pPr>
      <w:r>
        <w:t>6. Modifier and Events</w:t>
      </w:r>
    </w:p>
    <w:p>
      <w:pPr>
        <w:spacing w:after="120"/>
      </w:pPr>
      <w:r>
        <w:rPr>
          <w:rFonts w:ascii="Times New Roman" w:hAnsi="Times New Roman"/>
        </w:rPr>
        <w:t>Our group added the onlyOwner modifier so that every sensitive operation is restricted to the contract owner. This keeps administrative actions centralized in the owner wallet, which is also the wallet configured in the backend as FUNDER_PRIVATE_KEY.</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D9EAF7"/>
            <w:vAlign w:val="center"/>
          </w:tcPr>
          <w:p>
            <w:r>
              <w:rPr>
                <w:rFonts w:ascii="Times New Roman" w:hAnsi="Times New Roman"/>
                <w:b/>
              </w:rPr>
              <w:t>Event</w:t>
            </w:r>
          </w:p>
        </w:tc>
        <w:tc>
          <w:tcPr>
            <w:tcW w:type="dxa" w:w="4896"/>
            <w:shd w:fill="D9EAF7"/>
            <w:vAlign w:val="center"/>
          </w:tcPr>
          <w:p>
            <w:r>
              <w:rPr>
                <w:rFonts w:ascii="Times New Roman" w:hAnsi="Times New Roman"/>
                <w:b/>
              </w:rPr>
              <w:t>Why our group emitted it</w:t>
            </w:r>
          </w:p>
        </w:tc>
      </w:tr>
      <w:tr>
        <w:tc>
          <w:tcPr>
            <w:tcW w:type="dxa" w:w="4896"/>
            <w:vAlign w:val="top"/>
          </w:tcPr>
          <w:p>
            <w:r>
              <w:rPr>
                <w:rFonts w:ascii="Times New Roman" w:hAnsi="Times New Roman"/>
              </w:rPr>
              <w:t>VoterRegistered</w:t>
            </w:r>
          </w:p>
        </w:tc>
        <w:tc>
          <w:tcPr>
            <w:tcW w:type="dxa" w:w="4896"/>
            <w:vAlign w:val="top"/>
          </w:tcPr>
          <w:p>
            <w:r>
              <w:rPr>
                <w:rFonts w:ascii="Times New Roman" w:hAnsi="Times New Roman"/>
              </w:rPr>
              <w:t>We emitted this when a voter wallet and voter hash were linked on-chain.</w:t>
            </w:r>
          </w:p>
        </w:tc>
      </w:tr>
      <w:tr>
        <w:tc>
          <w:tcPr>
            <w:tcW w:type="dxa" w:w="4896"/>
            <w:vAlign w:val="top"/>
          </w:tcPr>
          <w:p>
            <w:r>
              <w:rPr>
                <w:rFonts w:ascii="Times New Roman" w:hAnsi="Times New Roman"/>
              </w:rPr>
              <w:t>EligibilityUpdated</w:t>
            </w:r>
          </w:p>
        </w:tc>
        <w:tc>
          <w:tcPr>
            <w:tcW w:type="dxa" w:w="4896"/>
            <w:vAlign w:val="top"/>
          </w:tcPr>
          <w:p>
            <w:r>
              <w:rPr>
                <w:rFonts w:ascii="Times New Roman" w:hAnsi="Times New Roman"/>
              </w:rPr>
              <w:t>We emitted this when the owner changed whether a voter may vote.</w:t>
            </w:r>
          </w:p>
        </w:tc>
      </w:tr>
      <w:tr>
        <w:tc>
          <w:tcPr>
            <w:tcW w:type="dxa" w:w="4896"/>
            <w:vAlign w:val="top"/>
          </w:tcPr>
          <w:p>
            <w:r>
              <w:rPr>
                <w:rFonts w:ascii="Times New Roman" w:hAnsi="Times New Roman"/>
              </w:rPr>
              <w:t>CandidateAdded</w:t>
            </w:r>
          </w:p>
        </w:tc>
        <w:tc>
          <w:tcPr>
            <w:tcW w:type="dxa" w:w="4896"/>
            <w:vAlign w:val="top"/>
          </w:tcPr>
          <w:p>
            <w:r>
              <w:rPr>
                <w:rFonts w:ascii="Times New Roman" w:hAnsi="Times New Roman"/>
              </w:rPr>
              <w:t>We emitted this when the owner created a new candidate entry.</w:t>
            </w:r>
          </w:p>
        </w:tc>
      </w:tr>
      <w:tr>
        <w:tc>
          <w:tcPr>
            <w:tcW w:type="dxa" w:w="4896"/>
            <w:vAlign w:val="top"/>
          </w:tcPr>
          <w:p>
            <w:r>
              <w:rPr>
                <w:rFonts w:ascii="Times New Roman" w:hAnsi="Times New Roman"/>
              </w:rPr>
              <w:t>VoteCast</w:t>
            </w:r>
          </w:p>
        </w:tc>
        <w:tc>
          <w:tcPr>
            <w:tcW w:type="dxa" w:w="4896"/>
            <w:vAlign w:val="top"/>
          </w:tcPr>
          <w:p>
            <w:r>
              <w:rPr>
                <w:rFonts w:ascii="Times New Roman" w:hAnsi="Times New Roman"/>
              </w:rPr>
              <w:t>We emitted this when a vote was successfully recorded.</w:t>
            </w:r>
          </w:p>
        </w:tc>
      </w:tr>
      <w:tr>
        <w:tc>
          <w:tcPr>
            <w:tcW w:type="dxa" w:w="4896"/>
            <w:vAlign w:val="top"/>
          </w:tcPr>
          <w:p>
            <w:r>
              <w:rPr>
                <w:rFonts w:ascii="Times New Roman" w:hAnsi="Times New Roman"/>
              </w:rPr>
              <w:t>ElectionStatusChanged</w:t>
            </w:r>
          </w:p>
        </w:tc>
        <w:tc>
          <w:tcPr>
            <w:tcW w:type="dxa" w:w="4896"/>
            <w:vAlign w:val="top"/>
          </w:tcPr>
          <w:p>
            <w:r>
              <w:rPr>
                <w:rFonts w:ascii="Times New Roman" w:hAnsi="Times New Roman"/>
              </w:rPr>
              <w:t>We emitted this when the election was opened or closed.</w:t>
            </w:r>
          </w:p>
        </w:tc>
      </w:tr>
      <w:tr>
        <w:tc>
          <w:tcPr>
            <w:tcW w:type="dxa" w:w="4896"/>
            <w:vAlign w:val="top"/>
          </w:tcPr>
          <w:p>
            <w:r>
              <w:rPr>
                <w:rFonts w:ascii="Times New Roman" w:hAnsi="Times New Roman"/>
              </w:rPr>
              <w:t>ResultsPublished</w:t>
            </w:r>
          </w:p>
        </w:tc>
        <w:tc>
          <w:tcPr>
            <w:tcW w:type="dxa" w:w="4896"/>
            <w:vAlign w:val="top"/>
          </w:tcPr>
          <w:p>
            <w:r>
              <w:rPr>
                <w:rFonts w:ascii="Times New Roman" w:hAnsi="Times New Roman"/>
              </w:rPr>
              <w:t>We emitted this when final results were officially published.</w:t>
            </w:r>
          </w:p>
        </w:tc>
      </w:tr>
      <w:tr>
        <w:tc>
          <w:tcPr>
            <w:tcW w:type="dxa" w:w="4896"/>
            <w:vAlign w:val="top"/>
          </w:tcPr>
          <w:p>
            <w:r>
              <w:rPr>
                <w:rFonts w:ascii="Times New Roman" w:hAnsi="Times New Roman"/>
              </w:rPr>
              <w:t>ElectionReset</w:t>
            </w:r>
          </w:p>
        </w:tc>
        <w:tc>
          <w:tcPr>
            <w:tcW w:type="dxa" w:w="4896"/>
            <w:vAlign w:val="top"/>
          </w:tcPr>
          <w:p>
            <w:r>
              <w:rPr>
                <w:rFonts w:ascii="Times New Roman" w:hAnsi="Times New Roman"/>
              </w:rPr>
              <w:t>We emitted this when we moved the contract into a brand new election cycle.</w:t>
            </w:r>
          </w:p>
        </w:tc>
      </w:tr>
    </w:tbl>
    <w:p/>
    <w:p>
      <w:pPr>
        <w:pStyle w:val="Heading1"/>
      </w:pPr>
      <w:r>
        <w:t>7. Function-by-Function Explanation</w:t>
      </w:r>
    </w:p>
    <w:p>
      <w:pPr>
        <w:pStyle w:val="Heading2"/>
      </w:pPr>
      <w:r>
        <w:t>constructor()</w:t>
      </w:r>
    </w:p>
    <w:p>
      <w:pPr>
        <w:spacing w:after="120"/>
      </w:pPr>
      <w:r>
        <w:rPr>
          <w:rFonts w:ascii="Times New Roman" w:hAnsi="Times New Roman"/>
          <w:b/>
        </w:rPr>
        <w:t xml:space="preserve">Access: </w:t>
      </w:r>
      <w:r>
        <w:rPr>
          <w:rFonts w:ascii="Times New Roman" w:hAnsi="Times New Roman"/>
        </w:rPr>
        <w:t>Runs once at deployment</w:t>
      </w:r>
    </w:p>
    <w:p>
      <w:pPr>
        <w:spacing w:after="120"/>
      </w:pPr>
      <w:r>
        <w:rPr>
          <w:rFonts w:ascii="Times New Roman" w:hAnsi="Times New Roman"/>
          <w:b/>
        </w:rPr>
        <w:t xml:space="preserve">What we implemented: </w:t>
      </w:r>
      <w:r>
        <w:rPr>
          <w:rFonts w:ascii="Times New Roman" w:hAnsi="Times New Roman"/>
        </w:rPr>
        <w:t>We set owner = msg.sender, electionActive = true, resultsPublished = false, and electionId = 1.</w:t>
      </w:r>
    </w:p>
    <w:p>
      <w:pPr>
        <w:spacing w:after="120"/>
      </w:pPr>
      <w:r>
        <w:rPr>
          <w:rFonts w:ascii="Times New Roman" w:hAnsi="Times New Roman"/>
          <w:b/>
        </w:rPr>
        <w:t xml:space="preserve">Why it matters: </w:t>
      </w:r>
      <w:r>
        <w:rPr>
          <w:rFonts w:ascii="Times New Roman" w:hAnsi="Times New Roman"/>
        </w:rPr>
        <w:t>This initializes the first election immediately and makes the deployer the administrator.</w:t>
      </w:r>
    </w:p>
    <w:p>
      <w:pPr>
        <w:pStyle w:val="Heading2"/>
      </w:pPr>
      <w:r>
        <w:t>registerVoter(address wallet, bytes32 voterIdHash)</w:t>
      </w:r>
    </w:p>
    <w:p>
      <w:pPr>
        <w:spacing w:after="120"/>
      </w:pPr>
      <w:r>
        <w:rPr>
          <w:rFonts w:ascii="Times New Roman" w:hAnsi="Times New Roman"/>
          <w:b/>
        </w:rPr>
        <w:t xml:space="preserve">Access: </w:t>
      </w:r>
      <w:r>
        <w:rPr>
          <w:rFonts w:ascii="Times New Roman" w:hAnsi="Times New Roman"/>
        </w:rPr>
        <w:t>onlyOwner</w:t>
      </w:r>
    </w:p>
    <w:p>
      <w:pPr>
        <w:spacing w:after="120"/>
      </w:pPr>
      <w:r>
        <w:rPr>
          <w:rFonts w:ascii="Times New Roman" w:hAnsi="Times New Roman"/>
          <w:b/>
        </w:rPr>
        <w:t xml:space="preserve">What we implemented: </w:t>
      </w:r>
      <w:r>
        <w:rPr>
          <w:rFonts w:ascii="Times New Roman" w:hAnsi="Times New Roman"/>
        </w:rPr>
        <w:t>We reject the zero address, reject duplicate wallet registration, reject duplicate voter hashes for the same election, and then store a VoterStatus record with eligible = true and hasVoted = false.</w:t>
      </w:r>
    </w:p>
    <w:p>
      <w:pPr>
        <w:spacing w:after="120"/>
      </w:pPr>
      <w:r>
        <w:rPr>
          <w:rFonts w:ascii="Times New Roman" w:hAnsi="Times New Roman"/>
          <w:b/>
        </w:rPr>
        <w:t xml:space="preserve">Why it matters: </w:t>
      </w:r>
      <w:r>
        <w:rPr>
          <w:rFonts w:ascii="Times New Roman" w:hAnsi="Times New Roman"/>
        </w:rPr>
        <w:t>This is the on-chain enrollment step that prepares a voter wallet to participate exactly once.</w:t>
      </w:r>
    </w:p>
    <w:p>
      <w:pPr>
        <w:pStyle w:val="Heading2"/>
      </w:pPr>
      <w:r>
        <w:t>setEligibility(address wallet, bool eligible)</w:t>
      </w:r>
    </w:p>
    <w:p>
      <w:pPr>
        <w:spacing w:after="120"/>
      </w:pPr>
      <w:r>
        <w:rPr>
          <w:rFonts w:ascii="Times New Roman" w:hAnsi="Times New Roman"/>
          <w:b/>
        </w:rPr>
        <w:t xml:space="preserve">Access: </w:t>
      </w:r>
      <w:r>
        <w:rPr>
          <w:rFonts w:ascii="Times New Roman" w:hAnsi="Times New Roman"/>
        </w:rPr>
        <w:t>onlyOwner</w:t>
      </w:r>
    </w:p>
    <w:p>
      <w:pPr>
        <w:spacing w:after="120"/>
      </w:pPr>
      <w:r>
        <w:rPr>
          <w:rFonts w:ascii="Times New Roman" w:hAnsi="Times New Roman"/>
          <w:b/>
        </w:rPr>
        <w:t xml:space="preserve">What we implemented: </w:t>
      </w:r>
      <w:r>
        <w:rPr>
          <w:rFonts w:ascii="Times New Roman" w:hAnsi="Times New Roman"/>
        </w:rPr>
        <w:t>We first make sure the voter is registered in the current election, then we update the eligible flag.</w:t>
      </w:r>
    </w:p>
    <w:p>
      <w:pPr>
        <w:spacing w:after="120"/>
      </w:pPr>
      <w:r>
        <w:rPr>
          <w:rFonts w:ascii="Times New Roman" w:hAnsi="Times New Roman"/>
          <w:b/>
        </w:rPr>
        <w:t xml:space="preserve">Why it matters: </w:t>
      </w:r>
      <w:r>
        <w:rPr>
          <w:rFonts w:ascii="Times New Roman" w:hAnsi="Times New Roman"/>
        </w:rPr>
        <w:t>This gives the administrator a way to suspend or restore voting permission without deleting the voter record.</w:t>
      </w:r>
    </w:p>
    <w:p>
      <w:pPr>
        <w:pStyle w:val="Heading2"/>
      </w:pPr>
      <w:r>
        <w:t>addCandidate(string name, string party)</w:t>
      </w:r>
    </w:p>
    <w:p>
      <w:pPr>
        <w:spacing w:after="120"/>
      </w:pPr>
      <w:r>
        <w:rPr>
          <w:rFonts w:ascii="Times New Roman" w:hAnsi="Times New Roman"/>
          <w:b/>
        </w:rPr>
        <w:t xml:space="preserve">Access: </w:t>
      </w:r>
      <w:r>
        <w:rPr>
          <w:rFonts w:ascii="Times New Roman" w:hAnsi="Times New Roman"/>
        </w:rPr>
        <w:t>onlyOwner</w:t>
      </w:r>
    </w:p>
    <w:p>
      <w:pPr>
        <w:spacing w:after="120"/>
      </w:pPr>
      <w:r>
        <w:rPr>
          <w:rFonts w:ascii="Times New Roman" w:hAnsi="Times New Roman"/>
          <w:b/>
        </w:rPr>
        <w:t xml:space="preserve">What we implemented: </w:t>
      </w:r>
      <w:r>
        <w:rPr>
          <w:rFonts w:ascii="Times New Roman" w:hAnsi="Times New Roman"/>
        </w:rPr>
        <w:t>We append a new Candidate to the current election array and assign the next sequential id.</w:t>
      </w:r>
    </w:p>
    <w:p>
      <w:pPr>
        <w:spacing w:after="120"/>
      </w:pPr>
      <w:r>
        <w:rPr>
          <w:rFonts w:ascii="Times New Roman" w:hAnsi="Times New Roman"/>
          <w:b/>
        </w:rPr>
        <w:t xml:space="preserve">Why it matters: </w:t>
      </w:r>
      <w:r>
        <w:rPr>
          <w:rFonts w:ascii="Times New Roman" w:hAnsi="Times New Roman"/>
        </w:rPr>
        <w:t>This keeps candidate IDs predictable for the APIs, tests, and user interface.</w:t>
      </w:r>
    </w:p>
    <w:p>
      <w:pPr>
        <w:pStyle w:val="Heading2"/>
      </w:pPr>
      <w:r>
        <w:t>setElectionActive(bool active)</w:t>
      </w:r>
    </w:p>
    <w:p>
      <w:pPr>
        <w:spacing w:after="120"/>
      </w:pPr>
      <w:r>
        <w:rPr>
          <w:rFonts w:ascii="Times New Roman" w:hAnsi="Times New Roman"/>
          <w:b/>
        </w:rPr>
        <w:t xml:space="preserve">Access: </w:t>
      </w:r>
      <w:r>
        <w:rPr>
          <w:rFonts w:ascii="Times New Roman" w:hAnsi="Times New Roman"/>
        </w:rPr>
        <w:t>onlyOwner</w:t>
      </w:r>
    </w:p>
    <w:p>
      <w:pPr>
        <w:spacing w:after="120"/>
      </w:pPr>
      <w:r>
        <w:rPr>
          <w:rFonts w:ascii="Times New Roman" w:hAnsi="Times New Roman"/>
          <w:b/>
        </w:rPr>
        <w:t xml:space="preserve">What we implemented: </w:t>
      </w:r>
      <w:r>
        <w:rPr>
          <w:rFonts w:ascii="Times New Roman" w:hAnsi="Times New Roman"/>
        </w:rPr>
        <w:t>We update the electionActive flag and emit ElectionStatusChanged.</w:t>
      </w:r>
    </w:p>
    <w:p>
      <w:pPr>
        <w:spacing w:after="120"/>
      </w:pPr>
      <w:r>
        <w:rPr>
          <w:rFonts w:ascii="Times New Roman" w:hAnsi="Times New Roman"/>
          <w:b/>
        </w:rPr>
        <w:t xml:space="preserve">Why it matters: </w:t>
      </w:r>
      <w:r>
        <w:rPr>
          <w:rFonts w:ascii="Times New Roman" w:hAnsi="Times New Roman"/>
        </w:rPr>
        <w:t>This controls whether the vote() function should accept new ballots.</w:t>
      </w:r>
    </w:p>
    <w:p>
      <w:pPr>
        <w:pStyle w:val="Heading2"/>
      </w:pPr>
      <w:r>
        <w:t>publishResults()</w:t>
      </w:r>
    </w:p>
    <w:p>
      <w:pPr>
        <w:spacing w:after="120"/>
      </w:pPr>
      <w:r>
        <w:rPr>
          <w:rFonts w:ascii="Times New Roman" w:hAnsi="Times New Roman"/>
          <w:b/>
        </w:rPr>
        <w:t xml:space="preserve">Access: </w:t>
      </w:r>
      <w:r>
        <w:rPr>
          <w:rFonts w:ascii="Times New Roman" w:hAnsi="Times New Roman"/>
        </w:rPr>
        <w:t>onlyOwner</w:t>
      </w:r>
    </w:p>
    <w:p>
      <w:pPr>
        <w:spacing w:after="120"/>
      </w:pPr>
      <w:r>
        <w:rPr>
          <w:rFonts w:ascii="Times New Roman" w:hAnsi="Times New Roman"/>
          <w:b/>
        </w:rPr>
        <w:t xml:space="preserve">What we implemented: </w:t>
      </w:r>
      <w:r>
        <w:rPr>
          <w:rFonts w:ascii="Times New Roman" w:hAnsi="Times New Roman"/>
        </w:rPr>
        <w:t>We require the election to be closed first and require that results have not already been published, then we set resultsPublished = true.</w:t>
      </w:r>
    </w:p>
    <w:p>
      <w:pPr>
        <w:spacing w:after="120"/>
      </w:pPr>
      <w:r>
        <w:rPr>
          <w:rFonts w:ascii="Times New Roman" w:hAnsi="Times New Roman"/>
          <w:b/>
        </w:rPr>
        <w:t xml:space="preserve">Why it matters: </w:t>
      </w:r>
      <w:r>
        <w:rPr>
          <w:rFonts w:ascii="Times New Roman" w:hAnsi="Times New Roman"/>
        </w:rPr>
        <w:t>This prevents premature result disclosure and avoids double publication.</w:t>
      </w:r>
    </w:p>
    <w:p>
      <w:pPr>
        <w:pStyle w:val="Heading2"/>
      </w:pPr>
      <w:r>
        <w:t>getCandidates()</w:t>
      </w:r>
    </w:p>
    <w:p>
      <w:pPr>
        <w:spacing w:after="120"/>
      </w:pPr>
      <w:r>
        <w:rPr>
          <w:rFonts w:ascii="Times New Roman" w:hAnsi="Times New Roman"/>
          <w:b/>
        </w:rPr>
        <w:t xml:space="preserve">Access: </w:t>
      </w:r>
      <w:r>
        <w:rPr>
          <w:rFonts w:ascii="Times New Roman" w:hAnsi="Times New Roman"/>
        </w:rPr>
        <w:t>public view</w:t>
      </w:r>
    </w:p>
    <w:p>
      <w:pPr>
        <w:spacing w:after="120"/>
      </w:pPr>
      <w:r>
        <w:rPr>
          <w:rFonts w:ascii="Times New Roman" w:hAnsi="Times New Roman"/>
          <w:b/>
        </w:rPr>
        <w:t xml:space="preserve">What we implemented: </w:t>
      </w:r>
      <w:r>
        <w:rPr>
          <w:rFonts w:ascii="Times New Roman" w:hAnsi="Times New Roman"/>
        </w:rPr>
        <w:t>We return the candidate array for the current electionId.</w:t>
      </w:r>
    </w:p>
    <w:p>
      <w:pPr>
        <w:spacing w:after="120"/>
      </w:pPr>
      <w:r>
        <w:rPr>
          <w:rFonts w:ascii="Times New Roman" w:hAnsi="Times New Roman"/>
          <w:b/>
        </w:rPr>
        <w:t xml:space="preserve">Why it matters: </w:t>
      </w:r>
      <w:r>
        <w:rPr>
          <w:rFonts w:ascii="Times New Roman" w:hAnsi="Times New Roman"/>
        </w:rPr>
        <w:t>This allows the dApp and APIs to display the official ballot from on-chain data.</w:t>
      </w:r>
    </w:p>
    <w:p>
      <w:pPr>
        <w:pStyle w:val="Heading2"/>
      </w:pPr>
      <w:r>
        <w:t>getResults()</w:t>
      </w:r>
    </w:p>
    <w:p>
      <w:pPr>
        <w:spacing w:after="120"/>
      </w:pPr>
      <w:r>
        <w:rPr>
          <w:rFonts w:ascii="Times New Roman" w:hAnsi="Times New Roman"/>
          <w:b/>
        </w:rPr>
        <w:t xml:space="preserve">Access: </w:t>
      </w:r>
      <w:r>
        <w:rPr>
          <w:rFonts w:ascii="Times New Roman" w:hAnsi="Times New Roman"/>
        </w:rPr>
        <w:t>public view with protection</w:t>
      </w:r>
    </w:p>
    <w:p>
      <w:pPr>
        <w:spacing w:after="120"/>
      </w:pPr>
      <w:r>
        <w:rPr>
          <w:rFonts w:ascii="Times New Roman" w:hAnsi="Times New Roman"/>
          <w:b/>
        </w:rPr>
        <w:t xml:space="preserve">What we implemented: </w:t>
      </w:r>
      <w:r>
        <w:rPr>
          <w:rFonts w:ascii="Times New Roman" w:hAnsi="Times New Roman"/>
        </w:rPr>
        <w:t>We allow the owner to read results at any time, but we block normal users until resultsPublished is true. We then build a Result array by reading the stored vote counts for each candidate.</w:t>
      </w:r>
    </w:p>
    <w:p>
      <w:pPr>
        <w:spacing w:after="120"/>
      </w:pPr>
      <w:r>
        <w:rPr>
          <w:rFonts w:ascii="Times New Roman" w:hAnsi="Times New Roman"/>
          <w:b/>
        </w:rPr>
        <w:t xml:space="preserve">Why it matters: </w:t>
      </w:r>
      <w:r>
        <w:rPr>
          <w:rFonts w:ascii="Times New Roman" w:hAnsi="Times New Roman"/>
        </w:rPr>
        <w:t>This gives transparency without leaking intermediate totals during the active election.</w:t>
      </w:r>
    </w:p>
    <w:p>
      <w:pPr>
        <w:pStyle w:val="Heading2"/>
      </w:pPr>
      <w:r>
        <w:t>getVoterStatus(address wallet)</w:t>
      </w:r>
    </w:p>
    <w:p>
      <w:pPr>
        <w:spacing w:after="120"/>
      </w:pPr>
      <w:r>
        <w:rPr>
          <w:rFonts w:ascii="Times New Roman" w:hAnsi="Times New Roman"/>
          <w:b/>
        </w:rPr>
        <w:t xml:space="preserve">Access: </w:t>
      </w:r>
      <w:r>
        <w:rPr>
          <w:rFonts w:ascii="Times New Roman" w:hAnsi="Times New Roman"/>
        </w:rPr>
        <w:t>public view</w:t>
      </w:r>
    </w:p>
    <w:p>
      <w:pPr>
        <w:spacing w:after="120"/>
      </w:pPr>
      <w:r>
        <w:rPr>
          <w:rFonts w:ascii="Times New Roman" w:hAnsi="Times New Roman"/>
          <w:b/>
        </w:rPr>
        <w:t xml:space="preserve">What we implemented: </w:t>
      </w:r>
      <w:r>
        <w:rPr>
          <w:rFonts w:ascii="Times New Roman" w:hAnsi="Times New Roman"/>
        </w:rPr>
        <w:t>We return the full VoterStatus struct for the requested wallet in the current election.</w:t>
      </w:r>
    </w:p>
    <w:p>
      <w:pPr>
        <w:spacing w:after="120"/>
      </w:pPr>
      <w:r>
        <w:rPr>
          <w:rFonts w:ascii="Times New Roman" w:hAnsi="Times New Roman"/>
          <w:b/>
        </w:rPr>
        <w:t xml:space="preserve">Why it matters: </w:t>
      </w:r>
      <w:r>
        <w:rPr>
          <w:rFonts w:ascii="Times New Roman" w:hAnsi="Times New Roman"/>
        </w:rPr>
        <w:t>This supports admin verification, voter status checks, and duplicate-vote prevention in the APIs.</w:t>
      </w:r>
    </w:p>
    <w:p>
      <w:pPr>
        <w:pStyle w:val="Heading2"/>
      </w:pPr>
      <w:r>
        <w:t>vote(uint256 candidateId)</w:t>
      </w:r>
    </w:p>
    <w:p>
      <w:pPr>
        <w:spacing w:after="120"/>
      </w:pPr>
      <w:r>
        <w:rPr>
          <w:rFonts w:ascii="Times New Roman" w:hAnsi="Times New Roman"/>
          <w:b/>
        </w:rPr>
        <w:t xml:space="preserve">Access: </w:t>
      </w:r>
      <w:r>
        <w:rPr>
          <w:rFonts w:ascii="Times New Roman" w:hAnsi="Times New Roman"/>
        </w:rPr>
        <w:t>registered voter</w:t>
      </w:r>
    </w:p>
    <w:p>
      <w:pPr>
        <w:spacing w:after="120"/>
      </w:pPr>
      <w:r>
        <w:rPr>
          <w:rFonts w:ascii="Times New Roman" w:hAnsi="Times New Roman"/>
          <w:b/>
        </w:rPr>
        <w:t xml:space="preserve">What we implemented: </w:t>
      </w:r>
      <w:r>
        <w:rPr>
          <w:rFonts w:ascii="Times New Roman" w:hAnsi="Times New Roman"/>
        </w:rPr>
        <w:t>We check that the election is active, results are not yet published, the sender is registered, the sender is eligible, the sender has not voted before, and the candidateId is valid. After all checks pass, We set hasVoted = true and increment the selected candidate's vote count.</w:t>
      </w:r>
    </w:p>
    <w:p>
      <w:pPr>
        <w:spacing w:after="120"/>
      </w:pPr>
      <w:r>
        <w:rPr>
          <w:rFonts w:ascii="Times New Roman" w:hAnsi="Times New Roman"/>
          <w:b/>
        </w:rPr>
        <w:t xml:space="preserve">Why it matters: </w:t>
      </w:r>
      <w:r>
        <w:rPr>
          <w:rFonts w:ascii="Times New Roman" w:hAnsi="Times New Roman"/>
        </w:rPr>
        <w:t>This is the core one-person-one-vote logic of the contract.</w:t>
      </w:r>
    </w:p>
    <w:p>
      <w:pPr>
        <w:pStyle w:val="Heading2"/>
      </w:pPr>
      <w:r>
        <w:t>resetElection()</w:t>
      </w:r>
    </w:p>
    <w:p>
      <w:pPr>
        <w:spacing w:after="120"/>
      </w:pPr>
      <w:r>
        <w:rPr>
          <w:rFonts w:ascii="Times New Roman" w:hAnsi="Times New Roman"/>
          <w:b/>
        </w:rPr>
        <w:t xml:space="preserve">Access: </w:t>
      </w:r>
      <w:r>
        <w:rPr>
          <w:rFonts w:ascii="Times New Roman" w:hAnsi="Times New Roman"/>
        </w:rPr>
        <w:t>onlyOwner</w:t>
      </w:r>
    </w:p>
    <w:p>
      <w:pPr>
        <w:spacing w:after="120"/>
      </w:pPr>
      <w:r>
        <w:rPr>
          <w:rFonts w:ascii="Times New Roman" w:hAnsi="Times New Roman"/>
          <w:b/>
        </w:rPr>
        <w:t xml:space="preserve">What we implemented: </w:t>
      </w:r>
      <w:r>
        <w:rPr>
          <w:rFonts w:ascii="Times New Roman" w:hAnsi="Times New Roman"/>
        </w:rPr>
        <w:t>We increment electionId, set electionActive back to true, and set resultsPublished back to false.</w:t>
      </w:r>
    </w:p>
    <w:p>
      <w:pPr>
        <w:spacing w:after="120"/>
      </w:pPr>
      <w:r>
        <w:rPr>
          <w:rFonts w:ascii="Times New Roman" w:hAnsi="Times New Roman"/>
          <w:b/>
        </w:rPr>
        <w:t xml:space="preserve">Why it matters: </w:t>
      </w:r>
      <w:r>
        <w:rPr>
          <w:rFonts w:ascii="Times New Roman" w:hAnsi="Times New Roman"/>
        </w:rPr>
        <w:t>This starts a new election cycle without manually clearing every mapping entry on-chain.</w:t>
      </w:r>
    </w:p>
    <w:p>
      <w:pPr>
        <w:pStyle w:val="Heading1"/>
      </w:pPr>
      <w:r>
        <w:t>8. How the Full System Uses the Smart Contract</w:t>
      </w:r>
    </w:p>
    <w:p>
      <w:pPr>
        <w:spacing w:after="120"/>
      </w:pPr>
      <w:r>
        <w:rPr>
          <w:rFonts w:ascii="Times New Roman" w:hAnsi="Times New Roman"/>
        </w:rPr>
        <w:t>Our group did not build the contract as an isolated file. We connected it to the rest of the application stack so the smart contract became the trusted election state layer for both online and offline voting flows.</w:t>
      </w:r>
    </w:p>
    <w:p>
      <w:pPr>
        <w:pStyle w:val="ListBullet"/>
        <w:spacing w:after="40"/>
      </w:pPr>
      <w:r>
        <w:rPr>
          <w:rFonts w:ascii="Times New Roman" w:hAnsi="Times New Roman"/>
        </w:rPr>
        <w:t>In services/api/src/index.ts, when an admin approves a KYC submission, we generate a voter wallet if one does not exist, fund it from the owner wallet, compute a voterIdHash, and call registerVoterOnChain().</w:t>
      </w:r>
    </w:p>
    <w:p>
      <w:pPr>
        <w:pStyle w:val="ListBullet"/>
        <w:spacing w:after="40"/>
      </w:pPr>
      <w:r>
        <w:rPr>
          <w:rFonts w:ascii="Times New Roman" w:hAnsi="Times New Roman"/>
        </w:rPr>
        <w:t>In services/api/src/lib/blockchain.ts, we use Ethers with a FallbackProvider for multiple RPC URLs and a NonceManager around the admin signer so owner transactions do not collide on Sepolia.</w:t>
      </w:r>
    </w:p>
    <w:p>
      <w:pPr>
        <w:pStyle w:val="ListBullet"/>
        <w:spacing w:after="40"/>
      </w:pPr>
      <w:r>
        <w:rPr>
          <w:rFonts w:ascii="Times New Roman" w:hAnsi="Times New Roman"/>
        </w:rPr>
        <w:t>In the admin API, we map addCandidate, setElectionActive, publishResults, resetElection, and setEligibility directly to their contract functions.</w:t>
      </w:r>
    </w:p>
    <w:p>
      <w:pPr>
        <w:pStyle w:val="ListBullet"/>
        <w:spacing w:after="40"/>
      </w:pPr>
      <w:r>
        <w:rPr>
          <w:rFonts w:ascii="Times New Roman" w:hAnsi="Times New Roman"/>
        </w:rPr>
        <w:t>For voting, the frontend calls the API rather than signing directly in the browser. The API decrypts the assigned voter wallet, checks status, and then submits vote(candidateId) to the contract.</w:t>
      </w:r>
    </w:p>
    <w:p>
      <w:pPr>
        <w:pStyle w:val="ListBullet"/>
        <w:spacing w:after="40"/>
      </w:pPr>
      <w:r>
        <w:rPr>
          <w:rFonts w:ascii="Times New Roman" w:hAnsi="Times New Roman"/>
        </w:rPr>
        <w:t>In apps/dapp/src/config/chain.ts, we wire the frontend to Sepolia through VITE_CHAIN_ID, VITE_RPC_URLS, VITE_CONTRACT_ADDRESS, and VITE_EXPLORER_URL.</w:t>
      </w:r>
    </w:p>
    <w:p>
      <w:pPr>
        <w:spacing w:after="120"/>
      </w:pPr>
      <w:r>
        <w:rPr>
          <w:rFonts w:ascii="Times New Roman" w:hAnsi="Times New Roman"/>
        </w:rPr>
        <w:t>We also kept privacy in mind while integrating the contract. The blockchain stores only the hashed voter identifier, not the voter's raw NID, date of birth, or uploaded KYC documents. The personal data stays in PostgreSQL and MinIO, while the contract holds only the minimum public election state needed for auditability.</w:t>
      </w:r>
    </w:p>
    <w:p>
      <w:pPr>
        <w:pStyle w:val="Heading1"/>
      </w:pPr>
      <w:r>
        <w:t>9. How We Implemented and Deployed It on Sepolia</w:t>
      </w:r>
    </w:p>
    <w:p>
      <w:pPr>
        <w:spacing w:after="120"/>
      </w:pPr>
      <w:r>
        <w:rPr>
          <w:rFonts w:ascii="Times New Roman" w:hAnsi="Times New Roman"/>
        </w:rPr>
        <w:t>Our group targeted the Sepolia Ethereum testnet because it provides real blockchain behavior without the cost of mainnet deployment. In this repository, the deployment target is clearly configured as Sepolia with chain ID 11155111, example RPC URLs such as https://rpc.sepolia.org, and Etherscan links through https://sepolia.etherscan.io.</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D9EAF7"/>
            <w:vAlign w:val="center"/>
          </w:tcPr>
          <w:p>
            <w:r>
              <w:rPr>
                <w:rFonts w:ascii="Times New Roman" w:hAnsi="Times New Roman"/>
                <w:b/>
              </w:rPr>
              <w:t>Deployment item</w:t>
            </w:r>
          </w:p>
        </w:tc>
        <w:tc>
          <w:tcPr>
            <w:tcW w:type="dxa" w:w="4896"/>
            <w:shd w:fill="D9EAF7"/>
            <w:vAlign w:val="center"/>
          </w:tcPr>
          <w:p>
            <w:r>
              <w:rPr>
                <w:rFonts w:ascii="Times New Roman" w:hAnsi="Times New Roman"/>
                <w:b/>
              </w:rPr>
              <w:t>Value or explanation</w:t>
            </w:r>
          </w:p>
        </w:tc>
      </w:tr>
      <w:tr>
        <w:tc>
          <w:tcPr>
            <w:tcW w:type="dxa" w:w="4896"/>
            <w:vAlign w:val="top"/>
          </w:tcPr>
          <w:p>
            <w:r>
              <w:rPr>
                <w:rFonts w:ascii="Times New Roman" w:hAnsi="Times New Roman"/>
              </w:rPr>
              <w:t>Network</w:t>
            </w:r>
          </w:p>
        </w:tc>
        <w:tc>
          <w:tcPr>
            <w:tcW w:type="dxa" w:w="4896"/>
            <w:vAlign w:val="top"/>
          </w:tcPr>
          <w:p>
            <w:r>
              <w:rPr>
                <w:rFonts w:ascii="Times New Roman" w:hAnsi="Times New Roman"/>
              </w:rPr>
              <w:t>Sepolia Ethereum testnet</w:t>
            </w:r>
          </w:p>
        </w:tc>
      </w:tr>
      <w:tr>
        <w:tc>
          <w:tcPr>
            <w:tcW w:type="dxa" w:w="4896"/>
            <w:vAlign w:val="top"/>
          </w:tcPr>
          <w:p>
            <w:r>
              <w:rPr>
                <w:rFonts w:ascii="Times New Roman" w:hAnsi="Times New Roman"/>
              </w:rPr>
              <w:t>Chain ID</w:t>
            </w:r>
          </w:p>
        </w:tc>
        <w:tc>
          <w:tcPr>
            <w:tcW w:type="dxa" w:w="4896"/>
            <w:vAlign w:val="top"/>
          </w:tcPr>
          <w:p>
            <w:r>
              <w:rPr>
                <w:rFonts w:ascii="Times New Roman" w:hAnsi="Times New Roman"/>
              </w:rPr>
              <w:t>11155111</w:t>
            </w:r>
          </w:p>
        </w:tc>
      </w:tr>
      <w:tr>
        <w:tc>
          <w:tcPr>
            <w:tcW w:type="dxa" w:w="4896"/>
            <w:vAlign w:val="top"/>
          </w:tcPr>
          <w:p>
            <w:r>
              <w:rPr>
                <w:rFonts w:ascii="Times New Roman" w:hAnsi="Times New Roman"/>
              </w:rPr>
              <w:t>Compiler version</w:t>
            </w:r>
          </w:p>
        </w:tc>
        <w:tc>
          <w:tcPr>
            <w:tcW w:type="dxa" w:w="4896"/>
            <w:vAlign w:val="top"/>
          </w:tcPr>
          <w:p>
            <w:r>
              <w:rPr>
                <w:rFonts w:ascii="Times New Roman" w:hAnsi="Times New Roman"/>
              </w:rPr>
              <w:t>Solidity 0.8.20</w:t>
            </w:r>
          </w:p>
        </w:tc>
      </w:tr>
      <w:tr>
        <w:tc>
          <w:tcPr>
            <w:tcW w:type="dxa" w:w="4896"/>
            <w:vAlign w:val="top"/>
          </w:tcPr>
          <w:p>
            <w:r>
              <w:rPr>
                <w:rFonts w:ascii="Times New Roman" w:hAnsi="Times New Roman"/>
              </w:rPr>
              <w:t>Contract toolchain</w:t>
            </w:r>
          </w:p>
        </w:tc>
        <w:tc>
          <w:tcPr>
            <w:tcW w:type="dxa" w:w="4896"/>
            <w:vAlign w:val="top"/>
          </w:tcPr>
          <w:p>
            <w:r>
              <w:rPr>
                <w:rFonts w:ascii="Times New Roman" w:hAnsi="Times New Roman"/>
              </w:rPr>
              <w:t>Foundry 1.5.1-stable</w:t>
            </w:r>
          </w:p>
        </w:tc>
      </w:tr>
      <w:tr>
        <w:tc>
          <w:tcPr>
            <w:tcW w:type="dxa" w:w="4896"/>
            <w:vAlign w:val="top"/>
          </w:tcPr>
          <w:p>
            <w:r>
              <w:rPr>
                <w:rFonts w:ascii="Times New Roman" w:hAnsi="Times New Roman"/>
              </w:rPr>
              <w:t>Example RPC URLs</w:t>
            </w:r>
          </w:p>
        </w:tc>
        <w:tc>
          <w:tcPr>
            <w:tcW w:type="dxa" w:w="4896"/>
            <w:vAlign w:val="top"/>
          </w:tcPr>
          <w:p>
            <w:r>
              <w:rPr>
                <w:rFonts w:ascii="Times New Roman" w:hAnsi="Times New Roman"/>
              </w:rPr>
              <w:t>https://rpc.sepolia.org, https://ethereum-sepolia-rpc.publicnode.com, https://sepolia.drpc.org</w:t>
            </w:r>
          </w:p>
        </w:tc>
      </w:tr>
      <w:tr>
        <w:tc>
          <w:tcPr>
            <w:tcW w:type="dxa" w:w="4896"/>
            <w:vAlign w:val="top"/>
          </w:tcPr>
          <w:p>
            <w:r>
              <w:rPr>
                <w:rFonts w:ascii="Times New Roman" w:hAnsi="Times New Roman"/>
              </w:rPr>
              <w:t>Explorer</w:t>
            </w:r>
          </w:p>
        </w:tc>
        <w:tc>
          <w:tcPr>
            <w:tcW w:type="dxa" w:w="4896"/>
            <w:vAlign w:val="top"/>
          </w:tcPr>
          <w:p>
            <w:r>
              <w:rPr>
                <w:rFonts w:ascii="Times New Roman" w:hAnsi="Times New Roman"/>
              </w:rPr>
              <w:t>https://sepolia.etherscan.io</w:t>
            </w:r>
          </w:p>
        </w:tc>
      </w:tr>
      <w:tr>
        <w:tc>
          <w:tcPr>
            <w:tcW w:type="dxa" w:w="4896"/>
            <w:vAlign w:val="top"/>
          </w:tcPr>
          <w:p>
            <w:r>
              <w:rPr>
                <w:rFonts w:ascii="Times New Roman" w:hAnsi="Times New Roman"/>
              </w:rPr>
              <w:t>Deployed contract address</w:t>
            </w:r>
          </w:p>
        </w:tc>
        <w:tc>
          <w:tcPr>
            <w:tcW w:type="dxa" w:w="4896"/>
            <w:vAlign w:val="top"/>
          </w:tcPr>
          <w:p>
            <w:r>
              <w:rPr>
                <w:rFonts w:ascii="Times New Roman" w:hAnsi="Times New Roman"/>
              </w:rPr>
              <w:t>Not committed in this repository. Our group left this as a project-specific value that should be copied from your .env file or Sepolia Etherscan record.</w:t>
            </w:r>
          </w:p>
        </w:tc>
      </w:tr>
      <w:tr>
        <w:tc>
          <w:tcPr>
            <w:tcW w:type="dxa" w:w="4896"/>
            <w:vAlign w:val="top"/>
          </w:tcPr>
          <w:p>
            <w:r>
              <w:rPr>
                <w:rFonts w:ascii="Times New Roman" w:hAnsi="Times New Roman"/>
              </w:rPr>
              <w:t>Owner / admin wallet</w:t>
            </w:r>
          </w:p>
        </w:tc>
        <w:tc>
          <w:tcPr>
            <w:tcW w:type="dxa" w:w="4896"/>
            <w:vAlign w:val="top"/>
          </w:tcPr>
          <w:p>
            <w:r>
              <w:rPr>
                <w:rFonts w:ascii="Times New Roman" w:hAnsi="Times New Roman"/>
              </w:rPr>
              <w:t>The wallet behind FUNDER_PRIVATE_KEY. This wallet must be the deployer because onlyOwner controls the administration functions.</w:t>
            </w:r>
          </w:p>
        </w:tc>
      </w:tr>
    </w:tbl>
    <w:p/>
    <w:p>
      <w:pPr>
        <w:spacing w:after="120"/>
      </w:pPr>
      <w:r>
        <w:rPr>
          <w:rFonts w:ascii="Times New Roman" w:hAnsi="Times New Roman"/>
        </w:rPr>
        <w:t>The deployment workflow we followed for this architecture is straightforward: we compile and test the contract with Foundry, deploy it from the owner wallet to Sepolia, copy the resulting contract address into the backend and frontend environment files, and then run the services so both the APIs and the dApp talk to the same contract instance.</w:t>
      </w:r>
    </w:p>
    <w:p>
      <w:pPr>
        <w:spacing w:after="0"/>
        <w:ind w:left="432"/>
      </w:pPr>
      <w:r>
        <w:rPr>
          <w:rFonts w:ascii="Consolas" w:hAnsi="Consolas"/>
          <w:sz w:val="19"/>
        </w:rPr>
        <w:t>cd contracts</w:t>
      </w:r>
    </w:p>
    <w:p>
      <w:pPr>
        <w:spacing w:after="0"/>
        <w:ind w:left="432"/>
      </w:pPr>
      <w:r>
        <w:rPr>
          <w:rFonts w:ascii="Consolas" w:hAnsi="Consolas"/>
          <w:sz w:val="19"/>
        </w:rPr>
        <w:t>forge build</w:t>
      </w:r>
    </w:p>
    <w:p>
      <w:pPr>
        <w:spacing w:after="0"/>
        <w:ind w:left="432"/>
      </w:pPr>
      <w:r>
        <w:rPr>
          <w:rFonts w:ascii="Consolas" w:hAnsi="Consolas"/>
          <w:sz w:val="19"/>
        </w:rPr>
        <w:t>forge test</w:t>
      </w:r>
    </w:p>
    <w:p>
      <w:pPr>
        <w:spacing w:after="0"/>
        <w:ind w:left="432"/>
      </w:pPr>
      <w:r>
        <w:rPr>
          <w:rFonts w:ascii="Consolas" w:hAnsi="Consolas"/>
          <w:sz w:val="19"/>
        </w:rPr>
        <w:t>forge create src/Election.sol:Election --rpc-url &lt;SEPOLIA_RPC_URL&gt; --private-key &lt;OWNER_PRIVATE_KEY&gt;</w:t>
      </w:r>
    </w:p>
    <w:p>
      <w:pPr>
        <w:spacing w:after="120"/>
      </w:pPr>
      <w:r>
        <w:rPr>
          <w:rFonts w:ascii="Times New Roman" w:hAnsi="Times New Roman"/>
        </w:rPr>
        <w:t>After deployment, we connect the rest of the project to the deployed contract by updating these environment values:</w:t>
      </w:r>
    </w:p>
    <w:p>
      <w:pPr>
        <w:spacing w:after="0"/>
        <w:ind w:left="432"/>
      </w:pPr>
      <w:r>
        <w:rPr>
          <w:rFonts w:ascii="Consolas" w:hAnsi="Consolas"/>
          <w:sz w:val="19"/>
        </w:rPr>
        <w:t>services/api/.env -&gt; RPC_URL, CONTRACT_ADDRESS, FUNDER_PRIVATE_KEY, FUND_AMOUNT</w:t>
      </w:r>
    </w:p>
    <w:p>
      <w:pPr>
        <w:spacing w:after="0"/>
        <w:ind w:left="432"/>
      </w:pPr>
      <w:r>
        <w:rPr>
          <w:rFonts w:ascii="Consolas" w:hAnsi="Consolas"/>
          <w:sz w:val="19"/>
        </w:rPr>
        <w:t>v2/services/offline-api/.env -&gt; RPC_URL, RPC_CHAIN_ID, RPC_CHAIN_NAME, CONTRACT_ADDRESS, FUNDER_PRIVATE_KEY, FUND_AMOUNT</w:t>
      </w:r>
    </w:p>
    <w:p>
      <w:pPr>
        <w:spacing w:after="0"/>
        <w:ind w:left="432"/>
      </w:pPr>
      <w:r>
        <w:rPr>
          <w:rFonts w:ascii="Consolas" w:hAnsi="Consolas"/>
          <w:sz w:val="19"/>
        </w:rPr>
        <w:t>apps/dapp/.env -&gt; VITE_CHAIN_ID, VITE_CHAIN_NAME, VITE_RPC_URLS, VITE_CONTRACT_ADDRESS, VITE_EXPLORER_URL</w:t>
      </w:r>
    </w:p>
    <w:p>
      <w:pPr>
        <w:spacing w:after="120"/>
      </w:pPr>
      <w:r>
        <w:rPr>
          <w:rFonts w:ascii="Times New Roman" w:hAnsi="Times New Roman"/>
        </w:rPr>
        <w:t>Because the repository does not store the real Sepolia address in source control, we intentionally describe the exact deployment method and integration points instead of inventing an address. When preparing the final project submission, we can simply replace the placeholder with the real deployed address from the environment configuration or Etherscan.</w:t>
      </w:r>
    </w:p>
    <w:p>
      <w:pPr>
        <w:pStyle w:val="Heading1"/>
      </w:pPr>
      <w:r>
        <w:t>10. Testing and Validation</w:t>
      </w:r>
    </w:p>
    <w:p>
      <w:pPr>
        <w:spacing w:after="120"/>
      </w:pPr>
      <w:r>
        <w:rPr>
          <w:rFonts w:ascii="Times New Roman" w:hAnsi="Times New Roman"/>
        </w:rPr>
        <w:t>Our group validated the contract with Foundry tests in contracts/test/Election.t.sol. The test suite checks the most important election rules and confirms that the current contract logic works as expected.</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D9EAF7"/>
            <w:vAlign w:val="center"/>
          </w:tcPr>
          <w:p>
            <w:r>
              <w:rPr>
                <w:rFonts w:ascii="Times New Roman" w:hAnsi="Times New Roman"/>
                <w:b/>
              </w:rPr>
              <w:t>Test case</w:t>
            </w:r>
          </w:p>
        </w:tc>
        <w:tc>
          <w:tcPr>
            <w:tcW w:type="dxa" w:w="4896"/>
            <w:shd w:fill="D9EAF7"/>
            <w:vAlign w:val="center"/>
          </w:tcPr>
          <w:p>
            <w:r>
              <w:rPr>
                <w:rFonts w:ascii="Times New Roman" w:hAnsi="Times New Roman"/>
                <w:b/>
              </w:rPr>
              <w:t>What it proves</w:t>
            </w:r>
          </w:p>
        </w:tc>
      </w:tr>
      <w:tr>
        <w:tc>
          <w:tcPr>
            <w:tcW w:type="dxa" w:w="4896"/>
            <w:vAlign w:val="top"/>
          </w:tcPr>
          <w:p>
            <w:r>
              <w:rPr>
                <w:rFonts w:ascii="Times New Roman" w:hAnsi="Times New Roman"/>
              </w:rPr>
              <w:t>testRegisterAndVoteOnce</w:t>
            </w:r>
          </w:p>
        </w:tc>
        <w:tc>
          <w:tcPr>
            <w:tcW w:type="dxa" w:w="4896"/>
            <w:vAlign w:val="top"/>
          </w:tcPr>
          <w:p>
            <w:r>
              <w:rPr>
                <w:rFonts w:ascii="Times New Roman" w:hAnsi="Times New Roman"/>
              </w:rPr>
              <w:t>A registered voter can vote once and the status changes correctly.</w:t>
            </w:r>
          </w:p>
        </w:tc>
      </w:tr>
      <w:tr>
        <w:tc>
          <w:tcPr>
            <w:tcW w:type="dxa" w:w="4896"/>
            <w:vAlign w:val="top"/>
          </w:tcPr>
          <w:p>
            <w:r>
              <w:rPr>
                <w:rFonts w:ascii="Times New Roman" w:hAnsi="Times New Roman"/>
              </w:rPr>
              <w:t>testDoubleVoteReverts</w:t>
            </w:r>
          </w:p>
        </w:tc>
        <w:tc>
          <w:tcPr>
            <w:tcW w:type="dxa" w:w="4896"/>
            <w:vAlign w:val="top"/>
          </w:tcPr>
          <w:p>
            <w:r>
              <w:rPr>
                <w:rFonts w:ascii="Times New Roman" w:hAnsi="Times New Roman"/>
              </w:rPr>
              <w:t>The same wallet cannot vote twice.</w:t>
            </w:r>
          </w:p>
        </w:tc>
      </w:tr>
      <w:tr>
        <w:tc>
          <w:tcPr>
            <w:tcW w:type="dxa" w:w="4896"/>
            <w:vAlign w:val="top"/>
          </w:tcPr>
          <w:p>
            <w:r>
              <w:rPr>
                <w:rFonts w:ascii="Times New Roman" w:hAnsi="Times New Roman"/>
              </w:rPr>
              <w:t>testResultsHiddenUntilPublished</w:t>
            </w:r>
          </w:p>
        </w:tc>
        <w:tc>
          <w:tcPr>
            <w:tcW w:type="dxa" w:w="4896"/>
            <w:vAlign w:val="top"/>
          </w:tcPr>
          <w:p>
            <w:r>
              <w:rPr>
                <w:rFonts w:ascii="Times New Roman" w:hAnsi="Times New Roman"/>
              </w:rPr>
              <w:t>Public users cannot read results before publication.</w:t>
            </w:r>
          </w:p>
        </w:tc>
      </w:tr>
      <w:tr>
        <w:tc>
          <w:tcPr>
            <w:tcW w:type="dxa" w:w="4896"/>
            <w:vAlign w:val="top"/>
          </w:tcPr>
          <w:p>
            <w:r>
              <w:rPr>
                <w:rFonts w:ascii="Times New Roman" w:hAnsi="Times New Roman"/>
              </w:rPr>
              <w:t>testPublishResultsAfterClose</w:t>
            </w:r>
          </w:p>
        </w:tc>
        <w:tc>
          <w:tcPr>
            <w:tcW w:type="dxa" w:w="4896"/>
            <w:vAlign w:val="top"/>
          </w:tcPr>
          <w:p>
            <w:r>
              <w:rPr>
                <w:rFonts w:ascii="Times New Roman" w:hAnsi="Times New Roman"/>
              </w:rPr>
              <w:t>Results can be published only after the election is closed.</w:t>
            </w:r>
          </w:p>
        </w:tc>
      </w:tr>
      <w:tr>
        <w:tc>
          <w:tcPr>
            <w:tcW w:type="dxa" w:w="4896"/>
            <w:vAlign w:val="top"/>
          </w:tcPr>
          <w:p>
            <w:r>
              <w:rPr>
                <w:rFonts w:ascii="Times New Roman" w:hAnsi="Times New Roman"/>
              </w:rPr>
              <w:t>testPublishResultsWhileActiveReverts</w:t>
            </w:r>
          </w:p>
        </w:tc>
        <w:tc>
          <w:tcPr>
            <w:tcW w:type="dxa" w:w="4896"/>
            <w:vAlign w:val="top"/>
          </w:tcPr>
          <w:p>
            <w:r>
              <w:rPr>
                <w:rFonts w:ascii="Times New Roman" w:hAnsi="Times New Roman"/>
              </w:rPr>
              <w:t>The contract rejects result publication while voting is still active.</w:t>
            </w:r>
          </w:p>
        </w:tc>
      </w:tr>
      <w:tr>
        <w:tc>
          <w:tcPr>
            <w:tcW w:type="dxa" w:w="4896"/>
            <w:vAlign w:val="top"/>
          </w:tcPr>
          <w:p>
            <w:r>
              <w:rPr>
                <w:rFonts w:ascii="Times New Roman" w:hAnsi="Times New Roman"/>
              </w:rPr>
              <w:t>testVoteAfterPublishReverts</w:t>
            </w:r>
          </w:p>
        </w:tc>
        <w:tc>
          <w:tcPr>
            <w:tcW w:type="dxa" w:w="4896"/>
            <w:vAlign w:val="top"/>
          </w:tcPr>
          <w:p>
            <w:r>
              <w:rPr>
                <w:rFonts w:ascii="Times New Roman" w:hAnsi="Times New Roman"/>
              </w:rPr>
              <w:t>Voting is blocked after the election has been closed and results published.</w:t>
            </w:r>
          </w:p>
        </w:tc>
      </w:tr>
      <w:tr>
        <w:tc>
          <w:tcPr>
            <w:tcW w:type="dxa" w:w="4896"/>
            <w:vAlign w:val="top"/>
          </w:tcPr>
          <w:p>
            <w:r>
              <w:rPr>
                <w:rFonts w:ascii="Times New Roman" w:hAnsi="Times New Roman"/>
              </w:rPr>
              <w:t>testResetElectionStartsFresh</w:t>
            </w:r>
          </w:p>
        </w:tc>
        <w:tc>
          <w:tcPr>
            <w:tcW w:type="dxa" w:w="4896"/>
            <w:vAlign w:val="top"/>
          </w:tcPr>
          <w:p>
            <w:r>
              <w:rPr>
                <w:rFonts w:ascii="Times New Roman" w:hAnsi="Times New Roman"/>
              </w:rPr>
              <w:t>A reset creates a new clean election cycle with empty candidates and default voter state.</w:t>
            </w:r>
          </w:p>
        </w:tc>
      </w:tr>
    </w:tbl>
    <w:p/>
    <w:p>
      <w:pPr>
        <w:spacing w:after="120"/>
      </w:pPr>
      <w:r>
        <w:rPr>
          <w:rFonts w:ascii="Times New Roman" w:hAnsi="Times New Roman"/>
        </w:rPr>
        <w:t>We also re-ran forge test in this workspace and confirmed that all 7 tests passed successfully. That gave us confidence that the behavior documented here matches the current implementation.</w:t>
      </w:r>
    </w:p>
    <w:p>
      <w:pPr>
        <w:pStyle w:val="Heading1"/>
      </w:pPr>
      <w:r>
        <w:t>11. Why This Contract Design Works for the Project</w:t>
      </w:r>
    </w:p>
    <w:p>
      <w:pPr>
        <w:pStyle w:val="ListBullet"/>
        <w:spacing w:after="40"/>
      </w:pPr>
      <w:r>
        <w:rPr>
          <w:rFonts w:ascii="Times New Roman" w:hAnsi="Times New Roman"/>
        </w:rPr>
        <w:t>We kept the on-chain logic intentionally focused: the contract stores election state, candidate data, voter status, and vote totals, while sensitive identity data stays off-chain.</w:t>
      </w:r>
    </w:p>
    <w:p>
      <w:pPr>
        <w:pStyle w:val="ListBullet"/>
        <w:spacing w:after="40"/>
      </w:pPr>
      <w:r>
        <w:rPr>
          <w:rFonts w:ascii="Times New Roman" w:hAnsi="Times New Roman"/>
        </w:rPr>
        <w:t>We protected all administrative actions with onlyOwner so the election cannot be altered by ordinary wallets.</w:t>
      </w:r>
    </w:p>
    <w:p>
      <w:pPr>
        <w:pStyle w:val="ListBullet"/>
        <w:spacing w:after="40"/>
      </w:pPr>
      <w:r>
        <w:rPr>
          <w:rFonts w:ascii="Times New Roman" w:hAnsi="Times New Roman"/>
        </w:rPr>
        <w:t>We used a voter hash instead of personal data so that the blockchain layer preserves privacy better than storing raw identity fields.</w:t>
      </w:r>
    </w:p>
    <w:p>
      <w:pPr>
        <w:pStyle w:val="ListBullet"/>
        <w:spacing w:after="40"/>
      </w:pPr>
      <w:r>
        <w:rPr>
          <w:rFonts w:ascii="Times New Roman" w:hAnsi="Times New Roman"/>
        </w:rPr>
        <w:t>We used electionId to avoid expensive or awkward storage clearing operations and to make new election cycles simple to start.</w:t>
      </w:r>
    </w:p>
    <w:p>
      <w:pPr>
        <w:pStyle w:val="ListBullet"/>
        <w:spacing w:after="40"/>
      </w:pPr>
      <w:r>
        <w:rPr>
          <w:rFonts w:ascii="Times New Roman" w:hAnsi="Times New Roman"/>
        </w:rPr>
        <w:t>We supported transparency by exposing candidate lists, voter status, and published results directly from the contract.</w:t>
      </w:r>
    </w:p>
    <w:p>
      <w:pPr>
        <w:pStyle w:val="Heading1"/>
      </w:pPr>
      <w:r>
        <w:t>12. Limitations and Future Improvement</w:t>
      </w:r>
    </w:p>
    <w:p>
      <w:pPr>
        <w:pStyle w:val="ListBullet"/>
        <w:spacing w:after="40"/>
      </w:pPr>
      <w:r>
        <w:rPr>
          <w:rFonts w:ascii="Times New Roman" w:hAnsi="Times New Roman"/>
        </w:rPr>
        <w:t>At the moment, the contract uses a single owner model. For a larger production system, we would consider role-based access control or multisig ownership.</w:t>
      </w:r>
    </w:p>
    <w:p>
      <w:pPr>
        <w:pStyle w:val="ListBullet"/>
        <w:spacing w:after="40"/>
      </w:pPr>
      <w:r>
        <w:rPr>
          <w:rFonts w:ascii="Times New Roman" w:hAnsi="Times New Roman"/>
        </w:rPr>
        <w:t>The contract does not store candidate manifestos or images on-chain. Those richer details are kept off-chain for cost and practicality reasons.</w:t>
      </w:r>
    </w:p>
    <w:p>
      <w:pPr>
        <w:pStyle w:val="ListBullet"/>
        <w:spacing w:after="40"/>
      </w:pPr>
      <w:r>
        <w:rPr>
          <w:rFonts w:ascii="Times New Roman" w:hAnsi="Times New Roman"/>
        </w:rPr>
        <w:t>The real contract address is environment-specific and should be documented separately in the final deployment record.</w:t>
      </w:r>
    </w:p>
    <w:p>
      <w:pPr>
        <w:pStyle w:val="ListBullet"/>
        <w:spacing w:after="40"/>
      </w:pPr>
      <w:r>
        <w:rPr>
          <w:rFonts w:ascii="Times New Roman" w:hAnsi="Times New Roman"/>
        </w:rPr>
        <w:t>Sepolia is appropriate for demonstration and academic evaluation, but a production deployment would require stronger operational controls, audits, and mainnet cost planning.</w:t>
      </w:r>
    </w:p>
    <w:p>
      <w:pPr>
        <w:pStyle w:val="Heading1"/>
      </w:pPr>
      <w:r>
        <w:t>13. Conclusion</w:t>
      </w:r>
    </w:p>
    <w:p>
      <w:pPr>
        <w:spacing w:after="120"/>
      </w:pPr>
      <w:r>
        <w:rPr>
          <w:rFonts w:ascii="Times New Roman" w:hAnsi="Times New Roman"/>
        </w:rPr>
        <w:t>In summary, our group developed the Election smart contract as the reliable blockchain core of our voting system. We implemented controlled voter registration, candidate management, one-time voting, protected result publication, and election reset in a way that is practical for Solidity and easy to integrate with the rest of the platform. By deploying the contract to Sepolia and linking it to the APIs and dApp through environment configuration, we turned the contract from a standalone Solidity file into a working part of the full VoteHybrid application.</w:t>
      </w:r>
    </w:p>
    <w:p>
      <w:pPr>
        <w:spacing w:after="120"/>
      </w:pPr>
      <w:r>
        <w:rPr>
          <w:rFonts w:ascii="Times New Roman" w:hAnsi="Times New Roman"/>
        </w:rPr>
        <w:t>This documentation can be submitted as a clear explanation of what our group built, how each function works, why our group designed it this way, and how we implemented and deployed it within the project.</w:t>
      </w:r>
    </w:p>
    <w:sectPr w:rsidR="00FC693F" w:rsidRPr="0006063C" w:rsidSect="00034616">
      <w:pgSz w:w="12240" w:h="15840"/>
      <w:pgMar w:top="1296"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Contract Documentation</dc:title>
  <dc:subject>Election.sol development and Sepolia deployment</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