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82587" w14:textId="183F5BCA" w:rsidR="00F36015" w:rsidRDefault="00D621BD" w:rsidP="00D621BD">
      <w:pPr>
        <w:spacing w:after="120"/>
        <w:jc w:val="center"/>
        <w:rPr>
          <w:rFonts w:ascii="Arial" w:hAnsi="Arial" w:cs="Arial"/>
          <w:b/>
          <w:color w:val="176B4D"/>
          <w:sz w:val="48"/>
        </w:rPr>
      </w:pPr>
      <w:r>
        <w:rPr>
          <w:rFonts w:ascii="Arial" w:hAnsi="Arial" w:cs="Arial"/>
          <w:b/>
          <w:color w:val="176B4D"/>
          <w:sz w:val="48"/>
        </w:rPr>
        <w:t>AnnPath â€” A Path from Surplus to Need</w:t>
      </w:r>
    </w:p>
    <w:p w14:paraId="13C023F8" w14:textId="4D30AB7F" w:rsidR="00D621BD" w:rsidRDefault="00D621BD" w:rsidP="00D621BD">
      <w:pPr>
        <w:spacing w:after="120"/>
        <w:jc w:val="center"/>
        <w:rPr>
          <w:rFonts w:ascii="Arial" w:hAnsi="Arial" w:cs="Arial"/>
          <w:i/>
          <w:color w:val="F28C28"/>
          <w:sz w:val="26"/>
        </w:rPr>
      </w:pPr>
      <w:r>
        <w:rPr>
          <w:rFonts w:ascii="Arial" w:hAnsi="Arial" w:cs="Arial"/>
          <w:i/>
          <w:color w:val="F28C28"/>
          <w:sz w:val="26"/>
        </w:rPr>
        <w:t>Global Food Surplus Redistribution Web Platform: Phase-I Project Introduction and Research Proposal</w:t>
      </w:r>
    </w:p>
    <w:p w14:paraId="51C1900C" w14:textId="09C01080" w:rsidR="00D621BD" w:rsidRDefault="00D621BD" w:rsidP="00D621BD">
      <w:pPr>
        <w:spacing w:after="360"/>
        <w:jc w:val="center"/>
        <w:rPr>
          <w:rFonts w:ascii="Arial" w:hAnsi="Arial" w:cs="Arial"/>
          <w:color w:val="666666"/>
          <w:sz w:val="19"/>
        </w:rPr>
      </w:pPr>
      <w:r>
        <w:rPr>
          <w:rFonts w:ascii="Arial" w:hAnsi="Arial" w:cs="Arial"/>
          <w:color w:val="666666"/>
          <w:sz w:val="19"/>
        </w:rPr>
        <w:t>Project Stage: Phase-I Comprehensive Proposal | Architecture: Java EE 7 MVC | Date: September 2026</w:t>
      </w:r>
    </w:p>
    <w:tbl>
      <w:tblPr>
        <w:tblW w:w="0" w:type="auto"/>
        <w:tblBorders>
          <w:top w:val="single" w:sz="4" w:space="0" w:color="176B4D"/>
          <w:left w:val="single" w:sz="4" w:space="0" w:color="176B4D"/>
          <w:bottom w:val="single" w:sz="4" w:space="0" w:color="176B4D"/>
          <w:right w:val="single" w:sz="4" w:space="0" w:color="176B4D"/>
        </w:tblBorders>
        <w:shd w:val="clear" w:color="auto" w:fill="F6F7F5"/>
        <w:tblLayout w:type="fixed"/>
        <w:tblLook w:val="0000" w:firstRow="0" w:lastRow="0" w:firstColumn="0" w:lastColumn="0" w:noHBand="0" w:noVBand="0"/>
      </w:tblPr>
      <w:tblGrid>
        <w:gridCol w:w="9030"/>
      </w:tblGrid>
      <w:tr w:rsidR="00D621BD" w14:paraId="6AC01261" w14:textId="77777777" w:rsidTr="00D621BD">
        <w:tblPrEx>
          <w:tblCellMar>
            <w:top w:w="0" w:type="dxa"/>
            <w:bottom w:w="0" w:type="dxa"/>
          </w:tblCellMar>
        </w:tblPrEx>
        <w:tc>
          <w:tcPr>
            <w:tcW w:w="9030" w:type="dxa"/>
            <w:shd w:val="clear" w:color="auto" w:fill="F6F7F5"/>
          </w:tcPr>
          <w:p w14:paraId="12A7349A" w14:textId="77777777" w:rsidR="00D621BD" w:rsidRPr="00D621BD" w:rsidRDefault="00D621BD" w:rsidP="00D621BD">
            <w:pPr>
              <w:spacing w:after="200"/>
              <w:rPr>
                <w:rFonts w:ascii="Calibri" w:hAnsi="Calibri" w:cs="Calibri"/>
                <w:b/>
                <w:color w:val="176B4D"/>
                <w:sz w:val="21"/>
              </w:rPr>
            </w:pPr>
            <w:r w:rsidRPr="00D621BD">
              <w:rPr>
                <w:rFonts w:ascii="Calibri" w:hAnsi="Calibri" w:cs="Calibri"/>
                <w:b/>
                <w:color w:val="176B4D"/>
                <w:sz w:val="21"/>
              </w:rPr>
              <w:t>EXECUTIVE SUMMARY AND PROPOSAL HIGHLIGHTS</w:t>
            </w:r>
          </w:p>
          <w:p w14:paraId="10821DDB" w14:textId="75C0B7E8" w:rsidR="00D621BD" w:rsidRPr="00D621BD" w:rsidRDefault="00D621BD" w:rsidP="00D621BD">
            <w:pPr>
              <w:spacing w:after="200"/>
              <w:rPr>
                <w:rFonts w:ascii="Calibri" w:hAnsi="Calibri" w:cs="Calibri"/>
                <w:color w:val="666666"/>
                <w:sz w:val="21"/>
              </w:rPr>
            </w:pPr>
            <w:r>
              <w:rPr>
                <w:rFonts w:ascii="Calibri" w:hAnsi="Calibri" w:cs="Calibri"/>
                <w:color w:val="666666"/>
                <w:sz w:val="21"/>
              </w:rPr>
              <w:t>AnnPath is an enterprise-grade, peer-to-peer web platform engineered to resolve the structural mismatch between commercial food surplus and humanitarian food insecurity. Built under a strict 70% traditional Java EE 7 / 30% selective production enhancement model, the platform introduces a deterministic explainable Rescue Priority Scoring (RPS) engine, automated regulatory NGO verification, spatial Haversine volunteer routing, and cryptographic dual-handover Digital Rescue Receipts with SHA-256 signatures.</w:t>
            </w:r>
          </w:p>
        </w:tc>
      </w:tr>
    </w:tbl>
    <w:p w14:paraId="17E8B18B" w14:textId="77777777" w:rsidR="00D621BD" w:rsidRDefault="00D621BD" w:rsidP="00D621BD">
      <w:pPr>
        <w:spacing w:after="200"/>
        <w:rPr>
          <w:rFonts w:ascii="Arial" w:hAnsi="Arial" w:cs="Arial"/>
          <w:color w:val="666666"/>
          <w:sz w:val="19"/>
        </w:rPr>
      </w:pPr>
    </w:p>
    <w:p w14:paraId="571348C2" w14:textId="19DB204F" w:rsidR="00D621BD" w:rsidRDefault="00D621BD" w:rsidP="00D621BD">
      <w:pPr>
        <w:keepNext/>
        <w:spacing w:before="320" w:after="120"/>
        <w:rPr>
          <w:rFonts w:ascii="Arial" w:hAnsi="Arial" w:cs="Arial"/>
          <w:b/>
          <w:color w:val="176B4D"/>
          <w:sz w:val="30"/>
        </w:rPr>
      </w:pPr>
      <w:r>
        <w:rPr>
          <w:rFonts w:ascii="Arial" w:hAnsi="Arial" w:cs="Arial"/>
          <w:b/>
          <w:color w:val="176B4D"/>
          <w:sz w:val="30"/>
        </w:rPr>
        <w:lastRenderedPageBreak/>
        <w:t>1. Comprehensive Problem Statement</w:t>
      </w:r>
    </w:p>
    <w:p w14:paraId="0A487BFB" w14:textId="508316DE" w:rsidR="00D621BD" w:rsidRDefault="00D621BD" w:rsidP="00D621BD">
      <w:pPr>
        <w:spacing w:after="120"/>
        <w:jc w:val="both"/>
        <w:rPr>
          <w:rFonts w:ascii="Calibri" w:hAnsi="Calibri" w:cs="Calibri"/>
          <w:color w:val="252525"/>
        </w:rPr>
      </w:pPr>
      <w:r>
        <w:rPr>
          <w:rFonts w:ascii="Calibri" w:hAnsi="Calibri" w:cs="Calibri"/>
          <w:color w:val="252525"/>
        </w:rPr>
        <w:t>Food insecurity and food waste represent one of the greatest paradoxes of modern civilization. Despite significant advances in agricultural production and logistics, global food redistribution systems suffer from catastrophic operational inefficiencies, regulatory mistrust, and technological fragmentation.</w:t>
      </w:r>
    </w:p>
    <w:p w14:paraId="39C6ECDF" w14:textId="1F79EAC0" w:rsidR="00D621BD" w:rsidRDefault="00D621BD" w:rsidP="00D621BD">
      <w:pPr>
        <w:keepNext/>
        <w:spacing w:before="240" w:after="80"/>
        <w:rPr>
          <w:rFonts w:ascii="Arial" w:hAnsi="Arial" w:cs="Arial"/>
          <w:b/>
          <w:color w:val="252525"/>
          <w:sz w:val="24"/>
        </w:rPr>
      </w:pPr>
      <w:r>
        <w:rPr>
          <w:rFonts w:ascii="Arial" w:hAnsi="Arial" w:cs="Arial"/>
          <w:b/>
          <w:color w:val="252525"/>
          <w:sz w:val="24"/>
        </w:rPr>
        <w:t>1.1 The Global Food Paradox: Scale of Surplus vs. Scale of Hunger</w:t>
      </w:r>
    </w:p>
    <w:p w14:paraId="70C2244A" w14:textId="1A469D4C" w:rsidR="00D621BD" w:rsidRDefault="00D621BD" w:rsidP="00D621BD">
      <w:pPr>
        <w:spacing w:after="120"/>
        <w:jc w:val="both"/>
        <w:rPr>
          <w:rFonts w:ascii="Calibri" w:hAnsi="Calibri" w:cs="Calibri"/>
          <w:color w:val="252525"/>
        </w:rPr>
      </w:pPr>
      <w:r>
        <w:rPr>
          <w:rFonts w:ascii="Calibri" w:hAnsi="Calibri" w:cs="Calibri"/>
          <w:color w:val="252525"/>
        </w:rPr>
        <w:t>According to the Food and Agriculture Organization (FAO) and UNEP Food Waste Index Report, approximately 1.3 billion metric tonnes of edible food is lost or wasted globally each year, representing one-third of all food produced for human consumption. Simultaneously, over 828 million individuals worldwide experience chronic hunger and acute undernourishment. In urban and peri-urban centers, large volumes of high-quality, freshly prepared food from hotels, banquet halls, corporate cafeterias, bakeries, and restaurants are discarded daily directly into municipal landfills.</w:t>
      </w:r>
    </w:p>
    <w:p w14:paraId="7071912C" w14:textId="4FDB4689" w:rsidR="00D621BD" w:rsidRDefault="00D621BD" w:rsidP="00D621BD">
      <w:pPr>
        <w:keepNext/>
        <w:spacing w:before="240" w:after="80"/>
        <w:rPr>
          <w:rFonts w:ascii="Arial" w:hAnsi="Arial" w:cs="Arial"/>
          <w:b/>
          <w:color w:val="252525"/>
          <w:sz w:val="24"/>
        </w:rPr>
      </w:pPr>
      <w:r>
        <w:rPr>
          <w:rFonts w:ascii="Arial" w:hAnsi="Arial" w:cs="Arial"/>
          <w:b/>
          <w:color w:val="252525"/>
          <w:sz w:val="24"/>
        </w:rPr>
        <w:t>1.2 Operational Latencies and Extreme Perishability Constraints</w:t>
      </w:r>
    </w:p>
    <w:p w14:paraId="3AD8A177" w14:textId="43C98FBB" w:rsidR="00D621BD" w:rsidRDefault="00D621BD" w:rsidP="00D621BD">
      <w:pPr>
        <w:spacing w:after="120"/>
        <w:jc w:val="both"/>
        <w:rPr>
          <w:rFonts w:ascii="Calibri" w:hAnsi="Calibri" w:cs="Calibri"/>
          <w:color w:val="252525"/>
        </w:rPr>
      </w:pPr>
      <w:r>
        <w:rPr>
          <w:rFonts w:ascii="Calibri" w:hAnsi="Calibri" w:cs="Calibri"/>
          <w:color w:val="252525"/>
        </w:rPr>
        <w:t xml:space="preserve">Cooked and prepared surplus food is subject to strict biological decay parameters. Per public health safety guidelines (such as FSSAI, US FDA, and WHO standards), cooked surplus food maintained outside temperature control enters the microbiological danger zone (5 deg C to 60 deg C) within 3 to 6 hours. Current donation mechanisms rely on phone calls, informal WhatsApp groups, or delayed manual </w:t>
      </w:r>
      <w:r>
        <w:rPr>
          <w:rFonts w:ascii="Calibri" w:hAnsi="Calibri" w:cs="Calibri"/>
          <w:color w:val="252525"/>
        </w:rPr>
        <w:lastRenderedPageBreak/>
        <w:t>volunteer mobilization, resulting in the surplus expiring before collection and distribution can take place.</w:t>
      </w:r>
    </w:p>
    <w:p w14:paraId="423F8F9F" w14:textId="1B75931E" w:rsidR="00D621BD" w:rsidRDefault="00D621BD" w:rsidP="00D621BD">
      <w:pPr>
        <w:keepNext/>
        <w:spacing w:before="240" w:after="80"/>
        <w:rPr>
          <w:rFonts w:ascii="Arial" w:hAnsi="Arial" w:cs="Arial"/>
          <w:b/>
          <w:color w:val="252525"/>
          <w:sz w:val="24"/>
        </w:rPr>
      </w:pPr>
      <w:r>
        <w:rPr>
          <w:rFonts w:ascii="Arial" w:hAnsi="Arial" w:cs="Arial"/>
          <w:b/>
          <w:color w:val="252525"/>
          <w:sz w:val="24"/>
        </w:rPr>
        <w:t>1.3 Centralized Intermediary Overhead and Warehouse Bottlenecks</w:t>
      </w:r>
    </w:p>
    <w:p w14:paraId="0824E379" w14:textId="0622F402" w:rsidR="00D621BD" w:rsidRDefault="00D621BD" w:rsidP="00D621BD">
      <w:pPr>
        <w:spacing w:after="120"/>
        <w:jc w:val="both"/>
        <w:rPr>
          <w:rFonts w:ascii="Calibri" w:hAnsi="Calibri" w:cs="Calibri"/>
          <w:color w:val="252525"/>
        </w:rPr>
      </w:pPr>
      <w:r>
        <w:rPr>
          <w:rFonts w:ascii="Calibri" w:hAnsi="Calibri" w:cs="Calibri"/>
          <w:color w:val="252525"/>
        </w:rPr>
        <w:t>Traditional charity models rely on centralized brick-and-mortar food banks. Donated food must be transported to a central sorting facility, cataloged, stored in refrigerated facilities, and subsequently distributed. This centralized hub-and-spoke model introduces prohibitive logistics costs, energy consumption, and administrative delays that are fundamentally incompatible with short-shelf-life cooked meals.</w:t>
      </w:r>
    </w:p>
    <w:p w14:paraId="0A37BB7C" w14:textId="172049E2" w:rsidR="00D621BD" w:rsidRDefault="00D621BD" w:rsidP="00D621BD">
      <w:pPr>
        <w:keepNext/>
        <w:spacing w:before="240" w:after="80"/>
        <w:rPr>
          <w:rFonts w:ascii="Arial" w:hAnsi="Arial" w:cs="Arial"/>
          <w:b/>
          <w:color w:val="252525"/>
          <w:sz w:val="24"/>
        </w:rPr>
      </w:pPr>
      <w:r>
        <w:rPr>
          <w:rFonts w:ascii="Arial" w:hAnsi="Arial" w:cs="Arial"/>
          <w:b/>
          <w:color w:val="252525"/>
          <w:sz w:val="24"/>
        </w:rPr>
        <w:t>1.4 Regulatory Compliance, Trust Deficit and Food Diversion Risks</w:t>
      </w:r>
    </w:p>
    <w:p w14:paraId="5B7B6A4C" w14:textId="13A6AA81" w:rsidR="00D621BD" w:rsidRDefault="00D621BD" w:rsidP="00D621BD">
      <w:pPr>
        <w:spacing w:after="120"/>
        <w:jc w:val="both"/>
        <w:rPr>
          <w:rFonts w:ascii="Calibri" w:hAnsi="Calibri" w:cs="Calibri"/>
          <w:color w:val="252525"/>
        </w:rPr>
      </w:pPr>
      <w:r>
        <w:rPr>
          <w:rFonts w:ascii="Calibri" w:hAnsi="Calibri" w:cs="Calibri"/>
          <w:color w:val="252525"/>
        </w:rPr>
        <w:t>Commercial donors hesitate to donate surplus food due to acute legal liability concerns, fear of brand damage, and absence of formal chain-of-custody verification. Furthermore, fraudulent organizations exploit manual donation drives, acquiring food for commercial resale rather than genuine charitable feeding. Existing digital systems lack country-specific automated legal compliance checks (such as Section 80G/12A/FCRA in India or 501(c)(3) in the United States).</w:t>
      </w:r>
    </w:p>
    <w:p w14:paraId="068F3A2D" w14:textId="3FB793B5" w:rsidR="00D621BD" w:rsidRDefault="00D621BD" w:rsidP="00D621BD">
      <w:pPr>
        <w:keepNext/>
        <w:spacing w:before="240" w:after="80"/>
        <w:rPr>
          <w:rFonts w:ascii="Arial" w:hAnsi="Arial" w:cs="Arial"/>
          <w:b/>
          <w:color w:val="252525"/>
          <w:sz w:val="24"/>
        </w:rPr>
      </w:pPr>
      <w:r>
        <w:rPr>
          <w:rFonts w:ascii="Arial" w:hAnsi="Arial" w:cs="Arial"/>
          <w:b/>
          <w:color w:val="252525"/>
          <w:sz w:val="24"/>
        </w:rPr>
        <w:lastRenderedPageBreak/>
        <w:t>1.5 The Volunteer Dispatch and Capacity Problem</w:t>
      </w:r>
    </w:p>
    <w:p w14:paraId="24FA855D" w14:textId="244338B1" w:rsidR="00D621BD" w:rsidRDefault="00D621BD" w:rsidP="00D621BD">
      <w:pPr>
        <w:spacing w:after="120"/>
        <w:jc w:val="both"/>
        <w:rPr>
          <w:rFonts w:ascii="Calibri" w:hAnsi="Calibri" w:cs="Calibri"/>
          <w:color w:val="252525"/>
        </w:rPr>
      </w:pPr>
      <w:r>
        <w:rPr>
          <w:rFonts w:ascii="Calibri" w:hAnsi="Calibri" w:cs="Calibri"/>
          <w:color w:val="252525"/>
        </w:rPr>
        <w:t>Existing volunteer platforms rely on broadcast push notifications where volunteers must self-select tasks. This causes volunteer burnout for popular routes, while remote or smaller donations are completely neglected. Moreover, volunteer vehicles (bicycles, two-wheelers, hatchbacks) are not matched to cargo volume constraints, leading to dispatch failures.</w:t>
      </w:r>
    </w:p>
    <w:p w14:paraId="2CE266C0" w14:textId="048C9A7C" w:rsidR="00D621BD" w:rsidRDefault="00D621BD" w:rsidP="00D621BD">
      <w:pPr>
        <w:keepNext/>
        <w:spacing w:before="320" w:after="120"/>
        <w:rPr>
          <w:rFonts w:ascii="Arial" w:hAnsi="Arial" w:cs="Arial"/>
          <w:b/>
          <w:color w:val="176B4D"/>
          <w:sz w:val="30"/>
        </w:rPr>
      </w:pPr>
      <w:r>
        <w:rPr>
          <w:rFonts w:ascii="Arial" w:hAnsi="Arial" w:cs="Arial"/>
          <w:b/>
          <w:color w:val="176B4D"/>
          <w:sz w:val="30"/>
        </w:rPr>
        <w:t>2. Project Objectives</w:t>
      </w:r>
    </w:p>
    <w:p w14:paraId="62F6D950" w14:textId="32FBB3D8" w:rsidR="00D621BD" w:rsidRDefault="00D621BD" w:rsidP="00D621BD">
      <w:pPr>
        <w:spacing w:after="120"/>
        <w:jc w:val="both"/>
        <w:rPr>
          <w:rFonts w:ascii="Calibri" w:hAnsi="Calibri" w:cs="Calibri"/>
          <w:color w:val="252525"/>
        </w:rPr>
      </w:pPr>
      <w:r>
        <w:rPr>
          <w:rFonts w:ascii="Calibri" w:hAnsi="Calibri" w:cs="Calibri"/>
          <w:color w:val="252525"/>
        </w:rPr>
        <w:t>The AnnPath platform is architected to address these operational, algorithmic, and regulatory bottlenecks through a resilient, transparent, and scalable peer-to-peer web platform.</w:t>
      </w:r>
    </w:p>
    <w:p w14:paraId="18D8E8A8" w14:textId="546244AE" w:rsidR="00D621BD" w:rsidRDefault="00D621BD" w:rsidP="00D621BD">
      <w:pPr>
        <w:keepNext/>
        <w:spacing w:before="240" w:after="80"/>
        <w:rPr>
          <w:rFonts w:ascii="Arial" w:hAnsi="Arial" w:cs="Arial"/>
          <w:b/>
          <w:color w:val="252525"/>
          <w:sz w:val="24"/>
        </w:rPr>
      </w:pPr>
      <w:r>
        <w:rPr>
          <w:rFonts w:ascii="Arial" w:hAnsi="Arial" w:cs="Arial"/>
          <w:b/>
          <w:color w:val="252525"/>
          <w:sz w:val="24"/>
        </w:rPr>
        <w:t>2.1 Primary Objective</w:t>
      </w:r>
    </w:p>
    <w:p w14:paraId="4937DBD5" w14:textId="40400193" w:rsidR="00D621BD" w:rsidRDefault="00D621BD" w:rsidP="00D621BD">
      <w:pPr>
        <w:spacing w:after="120"/>
        <w:jc w:val="both"/>
        <w:rPr>
          <w:rFonts w:ascii="Calibri" w:hAnsi="Calibri" w:cs="Calibri"/>
          <w:color w:val="252525"/>
        </w:rPr>
      </w:pPr>
      <w:r>
        <w:rPr>
          <w:rFonts w:ascii="Calibri" w:hAnsi="Calibri" w:cs="Calibri"/>
          <w:color w:val="252525"/>
        </w:rPr>
        <w:t>To design, develop, and benchmark a global, zero-administrative-overhead food surplus redistribution platform that connects commercial food donors with verified non-governmental organizations and proximity-optimized volunteer dispatch networks in real time.</w:t>
      </w:r>
    </w:p>
    <w:p w14:paraId="1459B6E4" w14:textId="50CA0332" w:rsidR="00D621BD" w:rsidRDefault="00D621BD" w:rsidP="00D621BD">
      <w:pPr>
        <w:keepNext/>
        <w:spacing w:before="240" w:after="80"/>
        <w:rPr>
          <w:rFonts w:ascii="Arial" w:hAnsi="Arial" w:cs="Arial"/>
          <w:b/>
          <w:color w:val="252525"/>
          <w:sz w:val="24"/>
        </w:rPr>
      </w:pPr>
      <w:r>
        <w:rPr>
          <w:rFonts w:ascii="Arial" w:hAnsi="Arial" w:cs="Arial"/>
          <w:b/>
          <w:color w:val="252525"/>
          <w:sz w:val="24"/>
        </w:rPr>
        <w:lastRenderedPageBreak/>
        <w:t>2.2 Specific Technical Objectives</w:t>
      </w:r>
    </w:p>
    <w:p w14:paraId="49314A0F" w14:textId="3C4EF23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Deterministic Explainable Priority Engine: </w:t>
      </w:r>
      <w:r>
        <w:rPr>
          <w:rFonts w:ascii="Calibri" w:hAnsi="Calibri" w:cs="Calibri"/>
          <w:color w:val="252525"/>
        </w:rPr>
        <w:t>Formulate and implement a mathematically rigorous Rescue Priority Scoring (RPS) engine (0-100 scale) that evaluates remaining shelf-life, food storage perishability, surplus volume, and localized NGO demand with human-readable rationale.</w:t>
      </w:r>
    </w:p>
    <w:p w14:paraId="27D38148" w14:textId="1B4C1639"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Dynamic Shelf-Life Urgency State Machine: </w:t>
      </w:r>
      <w:r>
        <w:rPr>
          <w:rFonts w:ascii="Calibri" w:hAnsi="Calibri" w:cs="Calibri"/>
          <w:color w:val="252525"/>
        </w:rPr>
        <w:t>Develop an autonomous, background-scheduled urgency engine that dynamically categorizes inventory into FRESH, EXPIRING_SOON, CRITICAL, and EXPIRED tiers every 60 seconds.</w:t>
      </w:r>
    </w:p>
    <w:p w14:paraId="1EB2A079" w14:textId="63F52D7E"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Automated Regulatory NGO Verification: </w:t>
      </w:r>
      <w:r>
        <w:rPr>
          <w:rFonts w:ascii="Calibri" w:hAnsi="Calibri" w:cs="Calibri"/>
          <w:color w:val="252525"/>
        </w:rPr>
        <w:t>Implement country-configurable automated compliance verification that validates official registration numbers, tax exemption certificates, and uploaded legal documentation prior to surplus allocation.</w:t>
      </w:r>
    </w:p>
    <w:p w14:paraId="4081EA87" w14:textId="06B3D958"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Proximity-Aware Volunteer Dispatch: </w:t>
      </w:r>
      <w:r>
        <w:rPr>
          <w:rFonts w:ascii="Calibri" w:hAnsi="Calibri" w:cs="Calibri"/>
          <w:color w:val="252525"/>
        </w:rPr>
        <w:t>Deploy a Haversine geodesic dispatch algorithm that evaluates volunteer geographic coordinates, vehicle volume capabilities, and active workload thresholds, with an automated 30-minute fallback escalation to direct NGO self-pickup.</w:t>
      </w:r>
    </w:p>
    <w:p w14:paraId="3CB8BE0D" w14:textId="75DB677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Cryptographic Chain of Custody and Dual Handover: </w:t>
      </w:r>
      <w:r>
        <w:rPr>
          <w:rFonts w:ascii="Calibri" w:hAnsi="Calibri" w:cs="Calibri"/>
          <w:color w:val="252525"/>
        </w:rPr>
        <w:t>Enforce a dual-handover OTP protocol (donor-to-volunteer pickup and volunteer-to-NGO delivery) generating immutable, tamper-evident SHA-256 signed Digital Rescue Receipts for CSR audits and tax incentives.</w:t>
      </w:r>
    </w:p>
    <w:p w14:paraId="48E985DF" w14:textId="393A2DE8" w:rsidR="00D621BD" w:rsidRDefault="00D621BD" w:rsidP="00D621BD">
      <w:pPr>
        <w:spacing w:after="80"/>
        <w:ind w:left="360" w:hanging="200"/>
        <w:rPr>
          <w:rFonts w:ascii="Calibri" w:hAnsi="Calibri" w:cs="Calibri"/>
          <w:color w:val="252525"/>
        </w:rPr>
      </w:pPr>
      <w:r>
        <w:rPr>
          <w:rFonts w:ascii="Calibri" w:hAnsi="Calibri" w:cs="Calibri"/>
          <w:b/>
          <w:color w:val="176B4D"/>
        </w:rPr>
        <w:lastRenderedPageBreak/>
        <w:t xml:space="preserve">• Strict Zero-Admin Peer Architecture: </w:t>
      </w:r>
      <w:r>
        <w:rPr>
          <w:rFonts w:ascii="Calibri" w:hAnsi="Calibri" w:cs="Calibri"/>
          <w:color w:val="252525"/>
        </w:rPr>
        <w:t>Eliminate administrative intermediaries and central approval bottlenecks by establishing direct peer-to-peer workflows between Donors, Verified NGOs, and Volunteers.</w:t>
      </w:r>
    </w:p>
    <w:p w14:paraId="7DBE9FB6" w14:textId="150209EC" w:rsidR="00D621BD" w:rsidRDefault="00D621BD" w:rsidP="00D621BD">
      <w:pPr>
        <w:keepNext/>
        <w:spacing w:before="320" w:after="120"/>
        <w:rPr>
          <w:rFonts w:ascii="Arial" w:hAnsi="Arial" w:cs="Arial"/>
          <w:b/>
          <w:color w:val="176B4D"/>
          <w:sz w:val="30"/>
        </w:rPr>
      </w:pPr>
      <w:r>
        <w:rPr>
          <w:rFonts w:ascii="Arial" w:hAnsi="Arial" w:cs="Arial"/>
          <w:b/>
          <w:color w:val="176B4D"/>
          <w:sz w:val="30"/>
        </w:rPr>
        <w:t>3. Comprehensive Literature Survey</w:t>
      </w:r>
    </w:p>
    <w:p w14:paraId="55B39740" w14:textId="65BE65B6" w:rsidR="00D621BD" w:rsidRDefault="00D621BD" w:rsidP="00D621BD">
      <w:pPr>
        <w:spacing w:after="120"/>
        <w:jc w:val="both"/>
        <w:rPr>
          <w:rFonts w:ascii="Calibri" w:hAnsi="Calibri" w:cs="Calibri"/>
          <w:color w:val="252525"/>
        </w:rPr>
      </w:pPr>
      <w:r>
        <w:rPr>
          <w:rFonts w:ascii="Calibri" w:hAnsi="Calibri" w:cs="Calibri"/>
          <w:color w:val="252525"/>
        </w:rPr>
        <w:t>A systematic review of contemporary food redistribution literature, commercial mobile applications, and non-profit logistics systems was conducted to identify prevailing architectural gaps.</w:t>
      </w:r>
    </w:p>
    <w:p w14:paraId="40A5BC8A" w14:textId="313ED566" w:rsidR="00D621BD" w:rsidRDefault="00D621BD" w:rsidP="00D621BD">
      <w:pPr>
        <w:keepNext/>
        <w:spacing w:before="240" w:after="80"/>
        <w:rPr>
          <w:rFonts w:ascii="Arial" w:hAnsi="Arial" w:cs="Arial"/>
          <w:b/>
          <w:color w:val="252525"/>
          <w:sz w:val="24"/>
        </w:rPr>
      </w:pPr>
      <w:r>
        <w:rPr>
          <w:rFonts w:ascii="Arial" w:hAnsi="Arial" w:cs="Arial"/>
          <w:b/>
          <w:color w:val="252525"/>
          <w:sz w:val="24"/>
        </w:rPr>
        <w:t>3.1 Review of Contemporary Platforms and Paradigms</w:t>
      </w:r>
    </w:p>
    <w:p w14:paraId="15A8AC4E" w14:textId="02E6DB52" w:rsidR="00D621BD" w:rsidRDefault="00D621BD" w:rsidP="00D621BD">
      <w:pPr>
        <w:spacing w:after="120"/>
        <w:jc w:val="both"/>
        <w:rPr>
          <w:rFonts w:ascii="Calibri" w:hAnsi="Calibri" w:cs="Calibri"/>
          <w:color w:val="252525"/>
        </w:rPr>
      </w:pPr>
      <w:r>
        <w:rPr>
          <w:rFonts w:ascii="Calibri" w:hAnsi="Calibri" w:cs="Calibri"/>
          <w:color w:val="252525"/>
        </w:rPr>
        <w:t>Existing solutions fall broadly into three categories: Commercial Discount Apps, Informal Non-Profit Networks, and Centralized Food Banking Infrastructures.</w:t>
      </w:r>
    </w:p>
    <w:p w14:paraId="440605C0" w14:textId="4F4F369D"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Commercial Surplus Apps (Too Good To Go, Karma, ResQ Club): </w:t>
      </w:r>
      <w:r>
        <w:rPr>
          <w:rFonts w:ascii="Calibri" w:hAnsi="Calibri" w:cs="Calibri"/>
          <w:color w:val="252525"/>
        </w:rPr>
        <w:t>These commercial consumer applications monetize surplus by selling mystery bags to individuals at discounted prices. While reducing commercial waste, they cater strictly to paying consumers rather than addressing acute socioeconomic food deprivation, and offer no integration with registered charities or volunteer delivery fleets.</w:t>
      </w:r>
    </w:p>
    <w:p w14:paraId="6927785D" w14:textId="2A0BA022" w:rsidR="00D621BD" w:rsidRDefault="00D621BD" w:rsidP="00D621BD">
      <w:pPr>
        <w:spacing w:after="80"/>
        <w:ind w:left="360" w:hanging="200"/>
        <w:rPr>
          <w:rFonts w:ascii="Calibri" w:hAnsi="Calibri" w:cs="Calibri"/>
          <w:color w:val="252525"/>
        </w:rPr>
      </w:pPr>
      <w:r>
        <w:rPr>
          <w:rFonts w:ascii="Calibri" w:hAnsi="Calibri" w:cs="Calibri"/>
          <w:b/>
          <w:color w:val="176B4D"/>
        </w:rPr>
        <w:lastRenderedPageBreak/>
        <w:t xml:space="preserve">• Peer-to-Peer Food Sharing (Olio): </w:t>
      </w:r>
      <w:r>
        <w:rPr>
          <w:rFonts w:ascii="Calibri" w:hAnsi="Calibri" w:cs="Calibri"/>
          <w:color w:val="252525"/>
        </w:rPr>
        <w:t>Olio facilitates hyper-local community food sharing between households. However, it lacks institutional donor capabilities, pallet-scale quantity handling, automated NGO compliance vetting, and formal tax deduction certification.</w:t>
      </w:r>
    </w:p>
    <w:p w14:paraId="11922150" w14:textId="5A15DB38"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Traditional Food Banking Networks (Feeding America, Global FoodBanking Network): </w:t>
      </w:r>
      <w:r>
        <w:rPr>
          <w:rFonts w:ascii="Calibri" w:hAnsi="Calibri" w:cs="Calibri"/>
          <w:color w:val="252525"/>
        </w:rPr>
        <w:t>These organizations excel in non-perishable canned food logistics and disaster relief. However, their reliance on physical warehousing, manual inventory tracking, and hub-and-spoke distribution makes them incapable of rescuing cooked food within a 2-4 hour window.</w:t>
      </w:r>
    </w:p>
    <w:p w14:paraId="5C784E81" w14:textId="4E4FD7BB"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Informal Volunteer Collectives (Robin Hood Army): </w:t>
      </w:r>
      <w:r>
        <w:rPr>
          <w:rFonts w:ascii="Calibri" w:hAnsi="Calibri" w:cs="Calibri"/>
          <w:color w:val="252525"/>
        </w:rPr>
        <w:t>While delivering high humanitarian impact, volunteer communication relies heavily on unencrypted instant messaging groups and spreadsheets, resulting in poor auditability, potential volunteer routing inefficiencies, and zero cryptographic proof of delivery.</w:t>
      </w:r>
    </w:p>
    <w:p w14:paraId="64C14A7C" w14:textId="665356F4" w:rsidR="00D621BD" w:rsidRDefault="00D621BD" w:rsidP="00D621BD">
      <w:pPr>
        <w:keepNext/>
        <w:spacing w:before="240" w:after="80"/>
        <w:rPr>
          <w:rFonts w:ascii="Arial" w:hAnsi="Arial" w:cs="Arial"/>
          <w:b/>
          <w:color w:val="252525"/>
          <w:sz w:val="24"/>
        </w:rPr>
      </w:pPr>
      <w:r>
        <w:rPr>
          <w:rFonts w:ascii="Arial" w:hAnsi="Arial" w:cs="Arial"/>
          <w:b/>
          <w:color w:val="252525"/>
          <w:sz w:val="24"/>
        </w:rPr>
        <w:t>3.2 Comparative Analysis Matrix</w:t>
      </w:r>
    </w:p>
    <w:p w14:paraId="5C9B273F" w14:textId="473D8875" w:rsidR="00D621BD" w:rsidRDefault="00D621BD" w:rsidP="00D621BD">
      <w:pPr>
        <w:spacing w:after="120"/>
        <w:jc w:val="both"/>
        <w:rPr>
          <w:rFonts w:ascii="Calibri" w:hAnsi="Calibri" w:cs="Calibri"/>
          <w:color w:val="252525"/>
        </w:rPr>
      </w:pPr>
      <w:r>
        <w:rPr>
          <w:rFonts w:ascii="Calibri" w:hAnsi="Calibri" w:cs="Calibri"/>
          <w:color w:val="252525"/>
        </w:rPr>
        <w:t>Table 1 benchmarks AnnPath against leading global solutions across foundational architectural, algorithmic, and governance parameters.</w:t>
      </w:r>
    </w:p>
    <w:tbl>
      <w:tblPr>
        <w:tblW w:w="0" w:type="auto"/>
        <w:tblBorders>
          <w:top w:val="single" w:sz="4" w:space="0" w:color="176B4D"/>
          <w:left w:val="single" w:sz="4" w:space="0" w:color="176B4D"/>
          <w:bottom w:val="single" w:sz="4" w:space="0" w:color="176B4D"/>
          <w:right w:val="single" w:sz="4" w:space="0" w:color="176B4D"/>
          <w:insideH w:val="single" w:sz="4" w:space="0" w:color="D0D0D0"/>
          <w:insideV w:val="single" w:sz="4" w:space="0" w:color="D0D0D0"/>
        </w:tblBorders>
        <w:tblLayout w:type="fixed"/>
        <w:tblLook w:val="0000" w:firstRow="0" w:lastRow="0" w:firstColumn="0" w:lastColumn="0" w:noHBand="0" w:noVBand="0"/>
      </w:tblPr>
      <w:tblGrid>
        <w:gridCol w:w="1290"/>
        <w:gridCol w:w="1290"/>
        <w:gridCol w:w="1290"/>
        <w:gridCol w:w="1290"/>
        <w:gridCol w:w="1290"/>
        <w:gridCol w:w="1290"/>
        <w:gridCol w:w="1290"/>
      </w:tblGrid>
      <w:tr w:rsidR="00D621BD" w14:paraId="2DDEC731" w14:textId="77777777" w:rsidTr="00D621BD">
        <w:tblPrEx>
          <w:tblCellMar>
            <w:top w:w="0" w:type="dxa"/>
            <w:bottom w:w="0" w:type="dxa"/>
          </w:tblCellMar>
        </w:tblPrEx>
        <w:tc>
          <w:tcPr>
            <w:tcW w:w="1290" w:type="dxa"/>
            <w:tcBorders>
              <w:top w:val="single" w:sz="4" w:space="0" w:color="176B4D"/>
              <w:bottom w:val="single" w:sz="4" w:space="0" w:color="D0D0D0"/>
            </w:tcBorders>
            <w:shd w:val="clear" w:color="auto" w:fill="176B4D"/>
          </w:tcPr>
          <w:p w14:paraId="08C8FCB0" w14:textId="5B52A132"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Dimension</w:t>
            </w:r>
          </w:p>
        </w:tc>
        <w:tc>
          <w:tcPr>
            <w:tcW w:w="1290" w:type="dxa"/>
            <w:tcBorders>
              <w:top w:val="single" w:sz="4" w:space="0" w:color="176B4D"/>
              <w:bottom w:val="single" w:sz="4" w:space="0" w:color="D0D0D0"/>
            </w:tcBorders>
            <w:shd w:val="clear" w:color="auto" w:fill="176B4D"/>
          </w:tcPr>
          <w:p w14:paraId="2192A602" w14:textId="0BFEDCE0"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AnnPath (Proposed)</w:t>
            </w:r>
          </w:p>
        </w:tc>
        <w:tc>
          <w:tcPr>
            <w:tcW w:w="1290" w:type="dxa"/>
            <w:tcBorders>
              <w:top w:val="single" w:sz="4" w:space="0" w:color="176B4D"/>
              <w:bottom w:val="single" w:sz="4" w:space="0" w:color="D0D0D0"/>
            </w:tcBorders>
            <w:shd w:val="clear" w:color="auto" w:fill="176B4D"/>
          </w:tcPr>
          <w:p w14:paraId="11F76BCD" w14:textId="4B6C2B75"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Too Good To Go</w:t>
            </w:r>
          </w:p>
        </w:tc>
        <w:tc>
          <w:tcPr>
            <w:tcW w:w="1290" w:type="dxa"/>
            <w:tcBorders>
              <w:top w:val="single" w:sz="4" w:space="0" w:color="176B4D"/>
              <w:bottom w:val="single" w:sz="4" w:space="0" w:color="D0D0D0"/>
            </w:tcBorders>
            <w:shd w:val="clear" w:color="auto" w:fill="176B4D"/>
          </w:tcPr>
          <w:p w14:paraId="5BEF5F7A" w14:textId="0FCBF62F"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Olio</w:t>
            </w:r>
          </w:p>
        </w:tc>
        <w:tc>
          <w:tcPr>
            <w:tcW w:w="1290" w:type="dxa"/>
            <w:tcBorders>
              <w:top w:val="single" w:sz="4" w:space="0" w:color="176B4D"/>
              <w:bottom w:val="single" w:sz="4" w:space="0" w:color="D0D0D0"/>
            </w:tcBorders>
            <w:shd w:val="clear" w:color="auto" w:fill="176B4D"/>
          </w:tcPr>
          <w:p w14:paraId="092EBA84" w14:textId="1EB011EA"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Feeding America</w:t>
            </w:r>
          </w:p>
        </w:tc>
        <w:tc>
          <w:tcPr>
            <w:tcW w:w="1290" w:type="dxa"/>
            <w:tcBorders>
              <w:top w:val="single" w:sz="4" w:space="0" w:color="176B4D"/>
              <w:bottom w:val="single" w:sz="4" w:space="0" w:color="D0D0D0"/>
            </w:tcBorders>
            <w:shd w:val="clear" w:color="auto" w:fill="176B4D"/>
          </w:tcPr>
          <w:p w14:paraId="60B622B5" w14:textId="63ABF142"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Robin Hood Army</w:t>
            </w:r>
          </w:p>
        </w:tc>
        <w:tc>
          <w:tcPr>
            <w:tcW w:w="1290" w:type="dxa"/>
            <w:tcBorders>
              <w:top w:val="single" w:sz="4" w:space="0" w:color="176B4D"/>
              <w:bottom w:val="single" w:sz="4" w:space="0" w:color="D0D0D0"/>
            </w:tcBorders>
            <w:shd w:val="clear" w:color="auto" w:fill="176B4D"/>
          </w:tcPr>
          <w:p w14:paraId="465E61E7" w14:textId="5653541B" w:rsidR="00D621BD" w:rsidRPr="00D621BD" w:rsidRDefault="00D621BD" w:rsidP="00D621BD">
            <w:pPr>
              <w:spacing w:after="120"/>
              <w:jc w:val="both"/>
              <w:rPr>
                <w:rFonts w:ascii="Calibri" w:hAnsi="Calibri" w:cs="Calibri"/>
                <w:b/>
                <w:color w:val="FFFFFF"/>
                <w:sz w:val="17"/>
              </w:rPr>
            </w:pPr>
            <w:r w:rsidRPr="00D621BD">
              <w:rPr>
                <w:rFonts w:ascii="Calibri" w:hAnsi="Calibri" w:cs="Calibri"/>
                <w:b/>
                <w:color w:val="FFFFFF"/>
                <w:sz w:val="17"/>
              </w:rPr>
              <w:t>Food Rescue US</w:t>
            </w:r>
          </w:p>
        </w:tc>
      </w:tr>
      <w:tr w:rsidR="00D621BD" w14:paraId="71A144E6" w14:textId="77777777" w:rsidTr="00D621BD">
        <w:tblPrEx>
          <w:tblCellMar>
            <w:top w:w="0" w:type="dxa"/>
            <w:bottom w:w="0" w:type="dxa"/>
          </w:tblCellMar>
        </w:tblPrEx>
        <w:tc>
          <w:tcPr>
            <w:tcW w:w="1290" w:type="dxa"/>
            <w:tcBorders>
              <w:top w:val="single" w:sz="4" w:space="0" w:color="D0D0D0"/>
              <w:bottom w:val="single" w:sz="4" w:space="0" w:color="D0D0D0"/>
            </w:tcBorders>
          </w:tcPr>
          <w:p w14:paraId="568C6855" w14:textId="55CE758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lastRenderedPageBreak/>
              <w:t>Target Beneficiaries</w:t>
            </w:r>
          </w:p>
        </w:tc>
        <w:tc>
          <w:tcPr>
            <w:tcW w:w="1290" w:type="dxa"/>
            <w:tcBorders>
              <w:top w:val="single" w:sz="4" w:space="0" w:color="D0D0D0"/>
              <w:bottom w:val="single" w:sz="4" w:space="0" w:color="D0D0D0"/>
            </w:tcBorders>
          </w:tcPr>
          <w:p w14:paraId="638B744C" w14:textId="6C80E26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Verified NGOs and Shelters</w:t>
            </w:r>
          </w:p>
        </w:tc>
        <w:tc>
          <w:tcPr>
            <w:tcW w:w="1290" w:type="dxa"/>
            <w:tcBorders>
              <w:top w:val="single" w:sz="4" w:space="0" w:color="D0D0D0"/>
              <w:bottom w:val="single" w:sz="4" w:space="0" w:color="D0D0D0"/>
            </w:tcBorders>
          </w:tcPr>
          <w:p w14:paraId="77F96544" w14:textId="277AD2D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Paying Consumers</w:t>
            </w:r>
          </w:p>
        </w:tc>
        <w:tc>
          <w:tcPr>
            <w:tcW w:w="1290" w:type="dxa"/>
            <w:tcBorders>
              <w:top w:val="single" w:sz="4" w:space="0" w:color="D0D0D0"/>
              <w:bottom w:val="single" w:sz="4" w:space="0" w:color="D0D0D0"/>
            </w:tcBorders>
          </w:tcPr>
          <w:p w14:paraId="35AEE3DB" w14:textId="2DF6CC1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Individuals</w:t>
            </w:r>
          </w:p>
        </w:tc>
        <w:tc>
          <w:tcPr>
            <w:tcW w:w="1290" w:type="dxa"/>
            <w:tcBorders>
              <w:top w:val="single" w:sz="4" w:space="0" w:color="D0D0D0"/>
              <w:bottom w:val="single" w:sz="4" w:space="0" w:color="D0D0D0"/>
            </w:tcBorders>
          </w:tcPr>
          <w:p w14:paraId="11680FAB" w14:textId="70001CE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Low-income Families</w:t>
            </w:r>
          </w:p>
        </w:tc>
        <w:tc>
          <w:tcPr>
            <w:tcW w:w="1290" w:type="dxa"/>
            <w:tcBorders>
              <w:top w:val="single" w:sz="4" w:space="0" w:color="D0D0D0"/>
              <w:bottom w:val="single" w:sz="4" w:space="0" w:color="D0D0D0"/>
            </w:tcBorders>
          </w:tcPr>
          <w:p w14:paraId="602DD50E" w14:textId="4F6139C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Vulnerable Communities</w:t>
            </w:r>
          </w:p>
        </w:tc>
        <w:tc>
          <w:tcPr>
            <w:tcW w:w="1290" w:type="dxa"/>
            <w:tcBorders>
              <w:top w:val="single" w:sz="4" w:space="0" w:color="D0D0D0"/>
              <w:bottom w:val="single" w:sz="4" w:space="0" w:color="D0D0D0"/>
            </w:tcBorders>
          </w:tcPr>
          <w:p w14:paraId="5953744B" w14:textId="5FF39217"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Local Agencies</w:t>
            </w:r>
          </w:p>
        </w:tc>
      </w:tr>
      <w:tr w:rsidR="00D621BD" w14:paraId="18DC2523" w14:textId="77777777" w:rsidTr="00D621BD">
        <w:tblPrEx>
          <w:tblCellMar>
            <w:top w:w="0" w:type="dxa"/>
            <w:bottom w:w="0" w:type="dxa"/>
          </w:tblCellMar>
        </w:tblPrEx>
        <w:tc>
          <w:tcPr>
            <w:tcW w:w="1290" w:type="dxa"/>
            <w:tcBorders>
              <w:top w:val="single" w:sz="4" w:space="0" w:color="D0D0D0"/>
              <w:bottom w:val="single" w:sz="4" w:space="0" w:color="D0D0D0"/>
            </w:tcBorders>
            <w:shd w:val="clear" w:color="auto" w:fill="F6F7F5"/>
          </w:tcPr>
          <w:p w14:paraId="52DD1BB9" w14:textId="1E3858A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Priority Algorithm</w:t>
            </w:r>
          </w:p>
        </w:tc>
        <w:tc>
          <w:tcPr>
            <w:tcW w:w="1290" w:type="dxa"/>
            <w:tcBorders>
              <w:top w:val="single" w:sz="4" w:space="0" w:color="D0D0D0"/>
              <w:bottom w:val="single" w:sz="4" w:space="0" w:color="D0D0D0"/>
            </w:tcBorders>
            <w:shd w:val="clear" w:color="auto" w:fill="F6F7F5"/>
          </w:tcPr>
          <w:p w14:paraId="077D5EE7" w14:textId="72AE699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Explainable Multi-Vector RPS</w:t>
            </w:r>
          </w:p>
        </w:tc>
        <w:tc>
          <w:tcPr>
            <w:tcW w:w="1290" w:type="dxa"/>
            <w:tcBorders>
              <w:top w:val="single" w:sz="4" w:space="0" w:color="D0D0D0"/>
              <w:bottom w:val="single" w:sz="4" w:space="0" w:color="D0D0D0"/>
            </w:tcBorders>
            <w:shd w:val="clear" w:color="auto" w:fill="F6F7F5"/>
          </w:tcPr>
          <w:p w14:paraId="6FAE7D76" w14:textId="2814CA8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None (Chronological)</w:t>
            </w:r>
          </w:p>
        </w:tc>
        <w:tc>
          <w:tcPr>
            <w:tcW w:w="1290" w:type="dxa"/>
            <w:tcBorders>
              <w:top w:val="single" w:sz="4" w:space="0" w:color="D0D0D0"/>
              <w:bottom w:val="single" w:sz="4" w:space="0" w:color="D0D0D0"/>
            </w:tcBorders>
            <w:shd w:val="clear" w:color="auto" w:fill="F6F7F5"/>
          </w:tcPr>
          <w:p w14:paraId="141004E4" w14:textId="40AA516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None (Chronological)</w:t>
            </w:r>
          </w:p>
        </w:tc>
        <w:tc>
          <w:tcPr>
            <w:tcW w:w="1290" w:type="dxa"/>
            <w:tcBorders>
              <w:top w:val="single" w:sz="4" w:space="0" w:color="D0D0D0"/>
              <w:bottom w:val="single" w:sz="4" w:space="0" w:color="D0D0D0"/>
            </w:tcBorders>
            <w:shd w:val="clear" w:color="auto" w:fill="F6F7F5"/>
          </w:tcPr>
          <w:p w14:paraId="45985D65" w14:textId="61024E6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Allocation</w:t>
            </w:r>
          </w:p>
        </w:tc>
        <w:tc>
          <w:tcPr>
            <w:tcW w:w="1290" w:type="dxa"/>
            <w:tcBorders>
              <w:top w:val="single" w:sz="4" w:space="0" w:color="D0D0D0"/>
              <w:bottom w:val="single" w:sz="4" w:space="0" w:color="D0D0D0"/>
            </w:tcBorders>
            <w:shd w:val="clear" w:color="auto" w:fill="F6F7F5"/>
          </w:tcPr>
          <w:p w14:paraId="0143B8DF" w14:textId="3087ECFD"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 Chat</w:t>
            </w:r>
          </w:p>
        </w:tc>
        <w:tc>
          <w:tcPr>
            <w:tcW w:w="1290" w:type="dxa"/>
            <w:tcBorders>
              <w:top w:val="single" w:sz="4" w:space="0" w:color="D0D0D0"/>
              <w:bottom w:val="single" w:sz="4" w:space="0" w:color="D0D0D0"/>
            </w:tcBorders>
            <w:shd w:val="clear" w:color="auto" w:fill="F6F7F5"/>
          </w:tcPr>
          <w:p w14:paraId="1E17F9F0" w14:textId="699B78A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Dispatcher Assigned</w:t>
            </w:r>
          </w:p>
        </w:tc>
      </w:tr>
      <w:tr w:rsidR="00D621BD" w14:paraId="76C90406" w14:textId="77777777" w:rsidTr="00D621BD">
        <w:tblPrEx>
          <w:tblCellMar>
            <w:top w:w="0" w:type="dxa"/>
            <w:bottom w:w="0" w:type="dxa"/>
          </w:tblCellMar>
        </w:tblPrEx>
        <w:tc>
          <w:tcPr>
            <w:tcW w:w="1290" w:type="dxa"/>
            <w:tcBorders>
              <w:top w:val="single" w:sz="4" w:space="0" w:color="D0D0D0"/>
              <w:bottom w:val="single" w:sz="4" w:space="0" w:color="D0D0D0"/>
            </w:tcBorders>
          </w:tcPr>
          <w:p w14:paraId="5089707D" w14:textId="0C6FA6B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Urgency State Scanning</w:t>
            </w:r>
          </w:p>
        </w:tc>
        <w:tc>
          <w:tcPr>
            <w:tcW w:w="1290" w:type="dxa"/>
            <w:tcBorders>
              <w:top w:val="single" w:sz="4" w:space="0" w:color="D0D0D0"/>
              <w:bottom w:val="single" w:sz="4" w:space="0" w:color="D0D0D0"/>
            </w:tcBorders>
          </w:tcPr>
          <w:p w14:paraId="43AD5984" w14:textId="325B4F03"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Automated 60s State Machine</w:t>
            </w:r>
          </w:p>
        </w:tc>
        <w:tc>
          <w:tcPr>
            <w:tcW w:w="1290" w:type="dxa"/>
            <w:tcBorders>
              <w:top w:val="single" w:sz="4" w:space="0" w:color="D0D0D0"/>
              <w:bottom w:val="single" w:sz="4" w:space="0" w:color="D0D0D0"/>
            </w:tcBorders>
          </w:tcPr>
          <w:p w14:paraId="6C5006E6" w14:textId="73F2F71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Merchant Cutoff</w:t>
            </w:r>
          </w:p>
        </w:tc>
        <w:tc>
          <w:tcPr>
            <w:tcW w:w="1290" w:type="dxa"/>
            <w:tcBorders>
              <w:top w:val="single" w:sz="4" w:space="0" w:color="D0D0D0"/>
              <w:bottom w:val="single" w:sz="4" w:space="0" w:color="D0D0D0"/>
            </w:tcBorders>
          </w:tcPr>
          <w:p w14:paraId="55259F9D" w14:textId="4AFDEE6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None</w:t>
            </w:r>
          </w:p>
        </w:tc>
        <w:tc>
          <w:tcPr>
            <w:tcW w:w="1290" w:type="dxa"/>
            <w:tcBorders>
              <w:top w:val="single" w:sz="4" w:space="0" w:color="D0D0D0"/>
              <w:bottom w:val="single" w:sz="4" w:space="0" w:color="D0D0D0"/>
            </w:tcBorders>
          </w:tcPr>
          <w:p w14:paraId="1F691FD5" w14:textId="0AAF65A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Batch Processing</w:t>
            </w:r>
          </w:p>
        </w:tc>
        <w:tc>
          <w:tcPr>
            <w:tcW w:w="1290" w:type="dxa"/>
            <w:tcBorders>
              <w:top w:val="single" w:sz="4" w:space="0" w:color="D0D0D0"/>
              <w:bottom w:val="single" w:sz="4" w:space="0" w:color="D0D0D0"/>
            </w:tcBorders>
          </w:tcPr>
          <w:p w14:paraId="1EF6E108" w14:textId="05DB3353"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WhatsApp</w:t>
            </w:r>
          </w:p>
        </w:tc>
        <w:tc>
          <w:tcPr>
            <w:tcW w:w="1290" w:type="dxa"/>
            <w:tcBorders>
              <w:top w:val="single" w:sz="4" w:space="0" w:color="D0D0D0"/>
              <w:bottom w:val="single" w:sz="4" w:space="0" w:color="D0D0D0"/>
            </w:tcBorders>
          </w:tcPr>
          <w:p w14:paraId="0023C1A8" w14:textId="454CBC7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Scheduled Windows</w:t>
            </w:r>
          </w:p>
        </w:tc>
      </w:tr>
      <w:tr w:rsidR="00D621BD" w14:paraId="074DAD30" w14:textId="77777777" w:rsidTr="00D621BD">
        <w:tblPrEx>
          <w:tblCellMar>
            <w:top w:w="0" w:type="dxa"/>
            <w:bottom w:w="0" w:type="dxa"/>
          </w:tblCellMar>
        </w:tblPrEx>
        <w:tc>
          <w:tcPr>
            <w:tcW w:w="1290" w:type="dxa"/>
            <w:tcBorders>
              <w:top w:val="single" w:sz="4" w:space="0" w:color="D0D0D0"/>
              <w:bottom w:val="single" w:sz="4" w:space="0" w:color="D0D0D0"/>
            </w:tcBorders>
            <w:shd w:val="clear" w:color="auto" w:fill="F6F7F5"/>
          </w:tcPr>
          <w:p w14:paraId="18AC4AA7" w14:textId="2BE6D562"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Volunteer Dispatch</w:t>
            </w:r>
          </w:p>
        </w:tc>
        <w:tc>
          <w:tcPr>
            <w:tcW w:w="1290" w:type="dxa"/>
            <w:tcBorders>
              <w:top w:val="single" w:sz="4" w:space="0" w:color="D0D0D0"/>
              <w:bottom w:val="single" w:sz="4" w:space="0" w:color="D0D0D0"/>
            </w:tcBorders>
            <w:shd w:val="clear" w:color="auto" w:fill="F6F7F5"/>
          </w:tcPr>
          <w:p w14:paraId="24B89CE5" w14:textId="5194D443"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Haversine + Vehicle Capacity</w:t>
            </w:r>
          </w:p>
        </w:tc>
        <w:tc>
          <w:tcPr>
            <w:tcW w:w="1290" w:type="dxa"/>
            <w:tcBorders>
              <w:top w:val="single" w:sz="4" w:space="0" w:color="D0D0D0"/>
              <w:bottom w:val="single" w:sz="4" w:space="0" w:color="D0D0D0"/>
            </w:tcBorders>
            <w:shd w:val="clear" w:color="auto" w:fill="F6F7F5"/>
          </w:tcPr>
          <w:p w14:paraId="5967C7D2" w14:textId="559FE90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Self Pickup by Buyer</w:t>
            </w:r>
          </w:p>
        </w:tc>
        <w:tc>
          <w:tcPr>
            <w:tcW w:w="1290" w:type="dxa"/>
            <w:tcBorders>
              <w:top w:val="single" w:sz="4" w:space="0" w:color="D0D0D0"/>
              <w:bottom w:val="single" w:sz="4" w:space="0" w:color="D0D0D0"/>
            </w:tcBorders>
            <w:shd w:val="clear" w:color="auto" w:fill="F6F7F5"/>
          </w:tcPr>
          <w:p w14:paraId="7D6999D4" w14:textId="72BA9CF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Self Pickup</w:t>
            </w:r>
          </w:p>
        </w:tc>
        <w:tc>
          <w:tcPr>
            <w:tcW w:w="1290" w:type="dxa"/>
            <w:tcBorders>
              <w:top w:val="single" w:sz="4" w:space="0" w:color="D0D0D0"/>
              <w:bottom w:val="single" w:sz="4" w:space="0" w:color="D0D0D0"/>
            </w:tcBorders>
            <w:shd w:val="clear" w:color="auto" w:fill="F6F7F5"/>
          </w:tcPr>
          <w:p w14:paraId="573F5259" w14:textId="7C245BC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Third-Party Freight</w:t>
            </w:r>
          </w:p>
        </w:tc>
        <w:tc>
          <w:tcPr>
            <w:tcW w:w="1290" w:type="dxa"/>
            <w:tcBorders>
              <w:top w:val="single" w:sz="4" w:space="0" w:color="D0D0D0"/>
              <w:bottom w:val="single" w:sz="4" w:space="0" w:color="D0D0D0"/>
            </w:tcBorders>
            <w:shd w:val="clear" w:color="auto" w:fill="F6F7F5"/>
          </w:tcPr>
          <w:p w14:paraId="334715BF" w14:textId="19E226B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Manual Self-Selection</w:t>
            </w:r>
          </w:p>
        </w:tc>
        <w:tc>
          <w:tcPr>
            <w:tcW w:w="1290" w:type="dxa"/>
            <w:tcBorders>
              <w:top w:val="single" w:sz="4" w:space="0" w:color="D0D0D0"/>
              <w:bottom w:val="single" w:sz="4" w:space="0" w:color="D0D0D0"/>
            </w:tcBorders>
            <w:shd w:val="clear" w:color="auto" w:fill="F6F7F5"/>
          </w:tcPr>
          <w:p w14:paraId="491A0C10" w14:textId="13F49F6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App-Based Claims</w:t>
            </w:r>
          </w:p>
        </w:tc>
      </w:tr>
      <w:tr w:rsidR="00D621BD" w14:paraId="1C2A7D04" w14:textId="77777777" w:rsidTr="00D621BD">
        <w:tblPrEx>
          <w:tblCellMar>
            <w:top w:w="0" w:type="dxa"/>
            <w:bottom w:w="0" w:type="dxa"/>
          </w:tblCellMar>
        </w:tblPrEx>
        <w:tc>
          <w:tcPr>
            <w:tcW w:w="1290" w:type="dxa"/>
            <w:tcBorders>
              <w:top w:val="single" w:sz="4" w:space="0" w:color="D0D0D0"/>
              <w:bottom w:val="single" w:sz="4" w:space="0" w:color="D0D0D0"/>
            </w:tcBorders>
          </w:tcPr>
          <w:p w14:paraId="49F9C914" w14:textId="2A936F6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Chain of Custody</w:t>
            </w:r>
          </w:p>
        </w:tc>
        <w:tc>
          <w:tcPr>
            <w:tcW w:w="1290" w:type="dxa"/>
            <w:tcBorders>
              <w:top w:val="single" w:sz="4" w:space="0" w:color="D0D0D0"/>
              <w:bottom w:val="single" w:sz="4" w:space="0" w:color="D0D0D0"/>
            </w:tcBorders>
          </w:tcPr>
          <w:p w14:paraId="0EA3D86A" w14:textId="7526C053"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Dual OTP + SHA-256 Signatures</w:t>
            </w:r>
          </w:p>
        </w:tc>
        <w:tc>
          <w:tcPr>
            <w:tcW w:w="1290" w:type="dxa"/>
            <w:tcBorders>
              <w:top w:val="single" w:sz="4" w:space="0" w:color="D0D0D0"/>
              <w:bottom w:val="single" w:sz="4" w:space="0" w:color="D0D0D0"/>
            </w:tcBorders>
          </w:tcPr>
          <w:p w14:paraId="3EB20D4F" w14:textId="6AAD298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In-App Tap Confirmation</w:t>
            </w:r>
          </w:p>
        </w:tc>
        <w:tc>
          <w:tcPr>
            <w:tcW w:w="1290" w:type="dxa"/>
            <w:tcBorders>
              <w:top w:val="single" w:sz="4" w:space="0" w:color="D0D0D0"/>
              <w:bottom w:val="single" w:sz="4" w:space="0" w:color="D0D0D0"/>
            </w:tcBorders>
          </w:tcPr>
          <w:p w14:paraId="4FB56F62" w14:textId="101F508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Peer Chat Confirmation</w:t>
            </w:r>
          </w:p>
        </w:tc>
        <w:tc>
          <w:tcPr>
            <w:tcW w:w="1290" w:type="dxa"/>
            <w:tcBorders>
              <w:top w:val="single" w:sz="4" w:space="0" w:color="D0D0D0"/>
              <w:bottom w:val="single" w:sz="4" w:space="0" w:color="D0D0D0"/>
            </w:tcBorders>
          </w:tcPr>
          <w:p w14:paraId="7E7EDAB7" w14:textId="1C600F4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Paper Bill of Lading</w:t>
            </w:r>
          </w:p>
        </w:tc>
        <w:tc>
          <w:tcPr>
            <w:tcW w:w="1290" w:type="dxa"/>
            <w:tcBorders>
              <w:top w:val="single" w:sz="4" w:space="0" w:color="D0D0D0"/>
              <w:bottom w:val="single" w:sz="4" w:space="0" w:color="D0D0D0"/>
            </w:tcBorders>
          </w:tcPr>
          <w:p w14:paraId="63998FB2" w14:textId="2C36C2ED"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Visual Photos</w:t>
            </w:r>
          </w:p>
        </w:tc>
        <w:tc>
          <w:tcPr>
            <w:tcW w:w="1290" w:type="dxa"/>
            <w:tcBorders>
              <w:top w:val="single" w:sz="4" w:space="0" w:color="D0D0D0"/>
              <w:bottom w:val="single" w:sz="4" w:space="0" w:color="D0D0D0"/>
            </w:tcBorders>
          </w:tcPr>
          <w:p w14:paraId="152A8B30" w14:textId="4BE0D76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App Signature</w:t>
            </w:r>
          </w:p>
        </w:tc>
      </w:tr>
      <w:tr w:rsidR="00D621BD" w14:paraId="5CEBC0DC" w14:textId="77777777" w:rsidTr="00D621BD">
        <w:tblPrEx>
          <w:tblCellMar>
            <w:top w:w="0" w:type="dxa"/>
            <w:bottom w:w="0" w:type="dxa"/>
          </w:tblCellMar>
        </w:tblPrEx>
        <w:tc>
          <w:tcPr>
            <w:tcW w:w="1290" w:type="dxa"/>
            <w:tcBorders>
              <w:top w:val="single" w:sz="4" w:space="0" w:color="D0D0D0"/>
              <w:bottom w:val="single" w:sz="4" w:space="0" w:color="176B4D"/>
            </w:tcBorders>
            <w:shd w:val="clear" w:color="auto" w:fill="F6F7F5"/>
          </w:tcPr>
          <w:p w14:paraId="250ACE5C" w14:textId="0BB4C4C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Tech Overhead</w:t>
            </w:r>
          </w:p>
        </w:tc>
        <w:tc>
          <w:tcPr>
            <w:tcW w:w="1290" w:type="dxa"/>
            <w:tcBorders>
              <w:top w:val="single" w:sz="4" w:space="0" w:color="D0D0D0"/>
              <w:bottom w:val="single" w:sz="4" w:space="0" w:color="176B4D"/>
            </w:tcBorders>
            <w:shd w:val="clear" w:color="auto" w:fill="F6F7F5"/>
          </w:tcPr>
          <w:p w14:paraId="2A9B52F9" w14:textId="30ED631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Pure Java EE 7 (Zero Bloat)</w:t>
            </w:r>
          </w:p>
        </w:tc>
        <w:tc>
          <w:tcPr>
            <w:tcW w:w="1290" w:type="dxa"/>
            <w:tcBorders>
              <w:top w:val="single" w:sz="4" w:space="0" w:color="D0D0D0"/>
              <w:bottom w:val="single" w:sz="4" w:space="0" w:color="176B4D"/>
            </w:tcBorders>
            <w:shd w:val="clear" w:color="auto" w:fill="F6F7F5"/>
          </w:tcPr>
          <w:p w14:paraId="23CAF319" w14:textId="1DFEC1DF"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Microservices / Cloud</w:t>
            </w:r>
          </w:p>
        </w:tc>
        <w:tc>
          <w:tcPr>
            <w:tcW w:w="1290" w:type="dxa"/>
            <w:tcBorders>
              <w:top w:val="single" w:sz="4" w:space="0" w:color="D0D0D0"/>
              <w:bottom w:val="single" w:sz="4" w:space="0" w:color="176B4D"/>
            </w:tcBorders>
            <w:shd w:val="clear" w:color="auto" w:fill="F6F7F5"/>
          </w:tcPr>
          <w:p w14:paraId="3BDCDB5A" w14:textId="5160460D"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Cloud / React Native</w:t>
            </w:r>
          </w:p>
        </w:tc>
        <w:tc>
          <w:tcPr>
            <w:tcW w:w="1290" w:type="dxa"/>
            <w:tcBorders>
              <w:top w:val="single" w:sz="4" w:space="0" w:color="D0D0D0"/>
              <w:bottom w:val="single" w:sz="4" w:space="0" w:color="176B4D"/>
            </w:tcBorders>
            <w:shd w:val="clear" w:color="auto" w:fill="F6F7F5"/>
          </w:tcPr>
          <w:p w14:paraId="22D7DA4C" w14:textId="756C49D8"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Enterprise Legacy ERP</w:t>
            </w:r>
          </w:p>
        </w:tc>
        <w:tc>
          <w:tcPr>
            <w:tcW w:w="1290" w:type="dxa"/>
            <w:tcBorders>
              <w:top w:val="single" w:sz="4" w:space="0" w:color="D0D0D0"/>
              <w:bottom w:val="single" w:sz="4" w:space="0" w:color="176B4D"/>
            </w:tcBorders>
            <w:shd w:val="clear" w:color="auto" w:fill="F6F7F5"/>
          </w:tcPr>
          <w:p w14:paraId="4DDE5DD7" w14:textId="5659DD9A"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Spreadsheets / Social</w:t>
            </w:r>
          </w:p>
        </w:tc>
        <w:tc>
          <w:tcPr>
            <w:tcW w:w="1290" w:type="dxa"/>
            <w:tcBorders>
              <w:top w:val="single" w:sz="4" w:space="0" w:color="D0D0D0"/>
              <w:bottom w:val="single" w:sz="4" w:space="0" w:color="176B4D"/>
            </w:tcBorders>
            <w:shd w:val="clear" w:color="auto" w:fill="F6F7F5"/>
          </w:tcPr>
          <w:p w14:paraId="66C2DED7" w14:textId="509739C8"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Cloud Native SaaS</w:t>
            </w:r>
          </w:p>
        </w:tc>
      </w:tr>
    </w:tbl>
    <w:p w14:paraId="4D89B694" w14:textId="77777777" w:rsidR="00D621BD" w:rsidRDefault="00D621BD" w:rsidP="00D621BD">
      <w:pPr>
        <w:spacing w:after="120"/>
        <w:jc w:val="both"/>
        <w:rPr>
          <w:rFonts w:ascii="Calibri" w:hAnsi="Calibri" w:cs="Calibri"/>
          <w:color w:val="252525"/>
        </w:rPr>
      </w:pPr>
    </w:p>
    <w:p w14:paraId="47F88151" w14:textId="2385DDA3" w:rsidR="00D621BD" w:rsidRDefault="00D621BD" w:rsidP="00D621BD">
      <w:pPr>
        <w:keepNext/>
        <w:spacing w:before="240" w:after="80"/>
        <w:rPr>
          <w:rFonts w:ascii="Arial" w:hAnsi="Arial" w:cs="Arial"/>
          <w:b/>
          <w:color w:val="252525"/>
          <w:sz w:val="24"/>
        </w:rPr>
      </w:pPr>
      <w:r>
        <w:rPr>
          <w:rFonts w:ascii="Arial" w:hAnsi="Arial" w:cs="Arial"/>
          <w:b/>
          <w:color w:val="252525"/>
          <w:sz w:val="24"/>
        </w:rPr>
        <w:lastRenderedPageBreak/>
        <w:t>3.3 Identified Research and Engineering Gaps</w:t>
      </w:r>
    </w:p>
    <w:p w14:paraId="1B2DBD59" w14:textId="44C5B80E" w:rsidR="00D621BD" w:rsidRDefault="00D621BD" w:rsidP="00D621BD">
      <w:pPr>
        <w:spacing w:after="120"/>
        <w:jc w:val="both"/>
        <w:rPr>
          <w:rFonts w:ascii="Calibri" w:hAnsi="Calibri" w:cs="Calibri"/>
          <w:color w:val="252525"/>
        </w:rPr>
      </w:pPr>
      <w:r>
        <w:rPr>
          <w:rFonts w:ascii="Calibri" w:hAnsi="Calibri" w:cs="Calibri"/>
          <w:color w:val="252525"/>
        </w:rPr>
        <w:t>The literature survey reveals four fundamental research and engineering deficits in current systems:</w:t>
      </w:r>
    </w:p>
    <w:p w14:paraId="64C2B8BF" w14:textId="4A0A5665"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Deficit 1: Absence of Explainable Urgency Scoring: </w:t>
      </w:r>
      <w:r>
        <w:rPr>
          <w:rFonts w:ascii="Calibri" w:hAnsi="Calibri" w:cs="Calibri"/>
          <w:color w:val="252525"/>
        </w:rPr>
        <w:t>Current systems treat all surplus identically. There is no mathematical model that dynamically scores priority based on cooked status, temperature requirements, volume, and hyper-local NGO demand.</w:t>
      </w:r>
    </w:p>
    <w:p w14:paraId="08ED897B" w14:textId="2A02F95D"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Deficit 2: Vulnerability to Inventory Race Conditions: </w:t>
      </w:r>
      <w:r>
        <w:rPr>
          <w:rFonts w:ascii="Calibri" w:hAnsi="Calibri" w:cs="Calibri"/>
          <w:color w:val="252525"/>
        </w:rPr>
        <w:t>Existing community platforms lack database-level row locking, resulting in multiple NGOs simultaneously claiming the same batch of food, causing uncoordinated collections and conflict.</w:t>
      </w:r>
    </w:p>
    <w:p w14:paraId="61762217" w14:textId="7924FB2C"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Deficit 3: Lack of Automated Regulatory Vetting: </w:t>
      </w:r>
      <w:r>
        <w:rPr>
          <w:rFonts w:ascii="Calibri" w:hAnsi="Calibri" w:cs="Calibri"/>
          <w:color w:val="252525"/>
        </w:rPr>
        <w:t>No global platform provides automated, rule-based legal compliance validation tailored to diverse national statutory frameworks without manual human bottlenecking.</w:t>
      </w:r>
    </w:p>
    <w:p w14:paraId="0B3F80FF" w14:textId="42E0FE1C"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Deficit 4: Absence of Cryptographically Verifiable Receipts: </w:t>
      </w:r>
      <w:r>
        <w:rPr>
          <w:rFonts w:ascii="Calibri" w:hAnsi="Calibri" w:cs="Calibri"/>
          <w:color w:val="252525"/>
        </w:rPr>
        <w:t>Corporate donors require audited proof of donation for CSR reporting and tax deductions under laws like the US Emerson Good Samaritan Food Donation Act. Contemporary apps provide only unauthenticated digital acknowledgments.</w:t>
      </w:r>
    </w:p>
    <w:p w14:paraId="19CF1C45" w14:textId="397C4E98" w:rsidR="00D621BD" w:rsidRDefault="00D621BD" w:rsidP="00D621BD">
      <w:pPr>
        <w:keepNext/>
        <w:spacing w:before="320" w:after="120"/>
        <w:rPr>
          <w:rFonts w:ascii="Arial" w:hAnsi="Arial" w:cs="Arial"/>
          <w:b/>
          <w:color w:val="176B4D"/>
          <w:sz w:val="30"/>
        </w:rPr>
      </w:pPr>
      <w:r>
        <w:rPr>
          <w:rFonts w:ascii="Arial" w:hAnsi="Arial" w:cs="Arial"/>
          <w:b/>
          <w:color w:val="176B4D"/>
          <w:sz w:val="30"/>
        </w:rPr>
        <w:lastRenderedPageBreak/>
        <w:t>4. Proposed Methodology and Algorithmic Framework</w:t>
      </w:r>
    </w:p>
    <w:p w14:paraId="5B9FC5E9" w14:textId="1B78758E" w:rsidR="00D621BD" w:rsidRDefault="00D621BD" w:rsidP="00D621BD">
      <w:pPr>
        <w:spacing w:after="120"/>
        <w:jc w:val="both"/>
        <w:rPr>
          <w:rFonts w:ascii="Calibri" w:hAnsi="Calibri" w:cs="Calibri"/>
          <w:color w:val="252525"/>
        </w:rPr>
      </w:pPr>
      <w:r>
        <w:rPr>
          <w:rFonts w:ascii="Calibri" w:hAnsi="Calibri" w:cs="Calibri"/>
          <w:color w:val="252525"/>
        </w:rPr>
        <w:t>AnnPath is engineered with a layered, deterministic methodology combining relational data integrity, explainable heuristic scoring, geodesic dispatch algorithms, and cryptographic verification.</w:t>
      </w:r>
    </w:p>
    <w:p w14:paraId="4FA94070" w14:textId="2B19DDE2" w:rsidR="00D621BD" w:rsidRDefault="00D621BD" w:rsidP="00D621BD">
      <w:pPr>
        <w:keepNext/>
        <w:spacing w:before="240" w:after="80"/>
        <w:rPr>
          <w:rFonts w:ascii="Arial" w:hAnsi="Arial" w:cs="Arial"/>
          <w:b/>
          <w:color w:val="252525"/>
          <w:sz w:val="24"/>
        </w:rPr>
      </w:pPr>
      <w:r>
        <w:rPr>
          <w:rFonts w:ascii="Arial" w:hAnsi="Arial" w:cs="Arial"/>
          <w:b/>
          <w:color w:val="252525"/>
          <w:sz w:val="24"/>
        </w:rPr>
        <w:t>4.1 Mathematical Formulation of Rescue Priority Score (RPS)</w:t>
      </w:r>
    </w:p>
    <w:p w14:paraId="3A106EA6" w14:textId="2371B3AB" w:rsidR="00D621BD" w:rsidRDefault="00D621BD" w:rsidP="00D621BD">
      <w:pPr>
        <w:spacing w:after="120"/>
        <w:jc w:val="both"/>
        <w:rPr>
          <w:rFonts w:ascii="Calibri" w:hAnsi="Calibri" w:cs="Calibri"/>
          <w:color w:val="252525"/>
        </w:rPr>
      </w:pPr>
      <w:r>
        <w:rPr>
          <w:rFonts w:ascii="Calibri" w:hAnsi="Calibri" w:cs="Calibri"/>
          <w:color w:val="252525"/>
        </w:rPr>
        <w:t>To ensure transparent, deterministic triage of food donations, AnnPath formulates the Rescue Priority Score (RPS) on a normalized 0 to 100 continuous scale. The score balances four orthogonal attributes:</w:t>
      </w:r>
    </w:p>
    <w:tbl>
      <w:tblPr>
        <w:tblW w:w="0" w:type="auto"/>
        <w:tblBorders>
          <w:top w:val="single" w:sz="4" w:space="0" w:color="176B4D"/>
          <w:left w:val="single" w:sz="4" w:space="0" w:color="176B4D"/>
          <w:bottom w:val="single" w:sz="4" w:space="0" w:color="176B4D"/>
          <w:right w:val="single" w:sz="4" w:space="0" w:color="176B4D"/>
        </w:tblBorders>
        <w:shd w:val="clear" w:color="auto" w:fill="F6F7F5"/>
        <w:tblLayout w:type="fixed"/>
        <w:tblLook w:val="0000" w:firstRow="0" w:lastRow="0" w:firstColumn="0" w:lastColumn="0" w:noHBand="0" w:noVBand="0"/>
      </w:tblPr>
      <w:tblGrid>
        <w:gridCol w:w="9030"/>
      </w:tblGrid>
      <w:tr w:rsidR="00D621BD" w14:paraId="13E65BBC" w14:textId="77777777" w:rsidTr="00D621BD">
        <w:tblPrEx>
          <w:tblCellMar>
            <w:top w:w="0" w:type="dxa"/>
            <w:bottom w:w="0" w:type="dxa"/>
          </w:tblCellMar>
        </w:tblPrEx>
        <w:tc>
          <w:tcPr>
            <w:tcW w:w="9030" w:type="dxa"/>
            <w:shd w:val="clear" w:color="auto" w:fill="F6F7F5"/>
          </w:tcPr>
          <w:p w14:paraId="224C1B08" w14:textId="77777777" w:rsidR="00D621BD" w:rsidRPr="00D621BD" w:rsidRDefault="00D621BD" w:rsidP="00D621BD">
            <w:pPr>
              <w:spacing w:after="120"/>
              <w:jc w:val="both"/>
              <w:rPr>
                <w:rFonts w:ascii="Calibri" w:hAnsi="Calibri" w:cs="Calibri"/>
                <w:b/>
                <w:color w:val="176B4D"/>
                <w:sz w:val="21"/>
              </w:rPr>
            </w:pPr>
            <w:r w:rsidRPr="00D621BD">
              <w:rPr>
                <w:rFonts w:ascii="Calibri" w:hAnsi="Calibri" w:cs="Calibri"/>
                <w:b/>
                <w:color w:val="176B4D"/>
                <w:sz w:val="21"/>
              </w:rPr>
              <w:t>RPS MATHEMATICAL FORMULATION</w:t>
            </w:r>
          </w:p>
          <w:p w14:paraId="14AB8A53" w14:textId="06F1C076" w:rsidR="00D621BD" w:rsidRPr="00D621BD" w:rsidRDefault="00D621BD" w:rsidP="00D621BD">
            <w:pPr>
              <w:spacing w:after="120"/>
              <w:jc w:val="both"/>
              <w:rPr>
                <w:rFonts w:ascii="Calibri" w:hAnsi="Calibri" w:cs="Calibri"/>
                <w:color w:val="252525"/>
                <w:sz w:val="21"/>
              </w:rPr>
            </w:pPr>
            <w:r>
              <w:rPr>
                <w:rFonts w:ascii="Calibri" w:hAnsi="Calibri" w:cs="Calibri"/>
                <w:color w:val="252525"/>
                <w:sz w:val="21"/>
              </w:rPr>
              <w:t>RPS = (0.40 * S_time) + (0.25 * S_perishability) + (0.20 * S_quantity) + (0.15 * S_demand)`n`nWhere:`n- S_time: Shelf-Life Urgency Score (100 if &lt;= 2h, 75 if &lt;= 6h, 50 if &lt;= 12h, 25 if &gt; 12h)`n- S_perishability: Storage Factor (100 for WARM_HEATED, 80 for REFRIGERATED/FROZEN, 40 for ROOM_TEMP)`n- S_quantity: Volume Scaling Factor = min(100, log10(max(10, Qty_kg)) * 35)`n- S_demand: Local Verified NGO Demand Factor = min(100, N_matching_ngos * 30)`n`nPriority Badges Assigned:`n- RPS &gt;= 80.0 OR Status == CRITICAL =&gt; Rescue Now`n- 60.0 &lt;= RPS &lt; 80.0 =&gt; High Priority`n- 40.0 &lt;= RPS &lt; 60.0 =&gt; Medium Priority`n- RPS &lt; 40.0 =&gt; Standard Priority</w:t>
            </w:r>
          </w:p>
        </w:tc>
      </w:tr>
    </w:tbl>
    <w:p w14:paraId="7CAB9BC8" w14:textId="77777777" w:rsidR="00D621BD" w:rsidRDefault="00D621BD" w:rsidP="00D621BD">
      <w:pPr>
        <w:spacing w:after="120"/>
        <w:jc w:val="both"/>
        <w:rPr>
          <w:rFonts w:ascii="Calibri" w:hAnsi="Calibri" w:cs="Calibri"/>
          <w:color w:val="252525"/>
        </w:rPr>
      </w:pPr>
    </w:p>
    <w:p w14:paraId="23E0D6EE" w14:textId="03A2350B" w:rsidR="00D621BD" w:rsidRDefault="00D621BD" w:rsidP="00D621BD">
      <w:pPr>
        <w:keepNext/>
        <w:spacing w:before="240" w:after="80"/>
        <w:rPr>
          <w:rFonts w:ascii="Arial" w:hAnsi="Arial" w:cs="Arial"/>
          <w:b/>
          <w:color w:val="252525"/>
          <w:sz w:val="24"/>
        </w:rPr>
      </w:pPr>
      <w:r>
        <w:rPr>
          <w:rFonts w:ascii="Arial" w:hAnsi="Arial" w:cs="Arial"/>
          <w:b/>
          <w:color w:val="252525"/>
          <w:sz w:val="24"/>
        </w:rPr>
        <w:lastRenderedPageBreak/>
        <w:t>4.2 Geodesic Proximity Calculations: Haversine Formulation</w:t>
      </w:r>
    </w:p>
    <w:p w14:paraId="34F13DAF" w14:textId="25D83B38" w:rsidR="00D621BD" w:rsidRDefault="00D621BD" w:rsidP="00D621BD">
      <w:pPr>
        <w:spacing w:after="120"/>
        <w:jc w:val="both"/>
        <w:rPr>
          <w:rFonts w:ascii="Calibri" w:hAnsi="Calibri" w:cs="Calibri"/>
          <w:color w:val="252525"/>
        </w:rPr>
      </w:pPr>
      <w:r>
        <w:rPr>
          <w:rFonts w:ascii="Calibri" w:hAnsi="Calibri" w:cs="Calibri"/>
          <w:color w:val="252525"/>
        </w:rPr>
        <w:t>Spatial proximity between donor pickup points, NGO delivery centers, and volunteer positions is computed directly in the application layer using the Haversine spherical trigonometric formula, avoiding costly third-party API dependencies:</w:t>
      </w:r>
    </w:p>
    <w:p w14:paraId="739EDBFF" w14:textId="08A53858" w:rsidR="00D621BD" w:rsidRDefault="00D621BD" w:rsidP="00D621BD">
      <w:pPr>
        <w:spacing w:after="120"/>
        <w:jc w:val="both"/>
        <w:rPr>
          <w:rFonts w:ascii="Calibri" w:hAnsi="Calibri" w:cs="Calibri"/>
          <w:color w:val="252525"/>
        </w:rPr>
      </w:pPr>
      <w:r>
        <w:rPr>
          <w:rFonts w:ascii="Calibri" w:hAnsi="Calibri" w:cs="Calibri"/>
          <w:color w:val="252525"/>
        </w:rPr>
        <w:t>d = 2 * R * arcsin(sqrt(sin^2((lat2 - lat1)/2) + cos(lat1) * cos(lat2) * sin^2((lon2 - lon1)/2)))`nWhere R = 6,371 km (mean Earth radius). For database query acceleration, AnnPath computes rectangular bounding boxes [minLat, maxLat, minLon, maxLon] around candidate locations, enabling high-speed B-Tree indexed pre-filtering prior to precise spherical distance calculation.</w:t>
      </w:r>
    </w:p>
    <w:p w14:paraId="55570C75" w14:textId="0785D44D" w:rsidR="00D621BD" w:rsidRDefault="00D621BD" w:rsidP="00D621BD">
      <w:pPr>
        <w:keepNext/>
        <w:spacing w:before="240" w:after="80"/>
        <w:rPr>
          <w:rFonts w:ascii="Arial" w:hAnsi="Arial" w:cs="Arial"/>
          <w:b/>
          <w:color w:val="252525"/>
          <w:sz w:val="24"/>
        </w:rPr>
      </w:pPr>
      <w:r>
        <w:rPr>
          <w:rFonts w:ascii="Arial" w:hAnsi="Arial" w:cs="Arial"/>
          <w:b/>
          <w:color w:val="252525"/>
          <w:sz w:val="24"/>
        </w:rPr>
        <w:t>4.3 Food Surplus Lifecycle State Machine</w:t>
      </w:r>
    </w:p>
    <w:p w14:paraId="6D9D29EE" w14:textId="415E7EBB" w:rsidR="00D621BD" w:rsidRDefault="00D621BD" w:rsidP="00D621BD">
      <w:pPr>
        <w:spacing w:after="120"/>
        <w:jc w:val="both"/>
        <w:rPr>
          <w:rFonts w:ascii="Calibri" w:hAnsi="Calibri" w:cs="Calibri"/>
          <w:color w:val="252525"/>
        </w:rPr>
      </w:pPr>
      <w:r>
        <w:rPr>
          <w:rFonts w:ascii="Calibri" w:hAnsi="Calibri" w:cs="Calibri"/>
          <w:color w:val="252525"/>
        </w:rPr>
        <w:t>The platform enforces a strict 12-state transactional state machine to eliminate ambiguity, double-claiming, and abandoned deliveries:</w:t>
      </w:r>
    </w:p>
    <w:p w14:paraId="20D33FEF" w14:textId="6DE32D4B"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1. DONATED: </w:t>
      </w:r>
      <w:r>
        <w:rPr>
          <w:rFonts w:ascii="Calibri" w:hAnsi="Calibri" w:cs="Calibri"/>
          <w:color w:val="252525"/>
        </w:rPr>
        <w:t>Donor submits food listing with preparation timestamp and expiration deadline.</w:t>
      </w:r>
    </w:p>
    <w:p w14:paraId="1E2FCFEC" w14:textId="1327C6D9"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2. MATCHED: </w:t>
      </w:r>
      <w:r>
        <w:rPr>
          <w:rFonts w:ascii="Calibri" w:hAnsi="Calibri" w:cs="Calibri"/>
          <w:color w:val="252525"/>
        </w:rPr>
        <w:t>SmartMatchingEngine automatically identifies verified NGOs with compatible dietary criteria within radius.</w:t>
      </w:r>
    </w:p>
    <w:p w14:paraId="50E2A605" w14:textId="243DAA7B"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3. REQUESTED: </w:t>
      </w:r>
      <w:r>
        <w:rPr>
          <w:rFonts w:ascii="Calibri" w:hAnsi="Calibri" w:cs="Calibri"/>
          <w:color w:val="252525"/>
        </w:rPr>
        <w:t>Verified NGO places a formal quantity request against the listing.</w:t>
      </w:r>
    </w:p>
    <w:p w14:paraId="68FE20AA" w14:textId="169CF9D7" w:rsidR="00D621BD" w:rsidRDefault="00D621BD" w:rsidP="00D621BD">
      <w:pPr>
        <w:spacing w:after="80"/>
        <w:ind w:left="360" w:hanging="200"/>
        <w:rPr>
          <w:rFonts w:ascii="Calibri" w:hAnsi="Calibri" w:cs="Calibri"/>
          <w:color w:val="252525"/>
        </w:rPr>
      </w:pPr>
      <w:r>
        <w:rPr>
          <w:rFonts w:ascii="Calibri" w:hAnsi="Calibri" w:cs="Calibri"/>
          <w:b/>
          <w:color w:val="176B4D"/>
        </w:rPr>
        <w:lastRenderedPageBreak/>
        <w:t xml:space="preserve">• 4. APPROVED: </w:t>
      </w:r>
      <w:r>
        <w:rPr>
          <w:rFonts w:ascii="Calibri" w:hAnsi="Calibri" w:cs="Calibri"/>
          <w:color w:val="252525"/>
        </w:rPr>
        <w:t>Donor approves request. The database executes SELECT ... FOR UPDATE, locks the inventory row, and atomically increments reserved_quantity.</w:t>
      </w:r>
    </w:p>
    <w:p w14:paraId="155358CC" w14:textId="57FC8D1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5. VOLUNTEER_ASSIGNED: </w:t>
      </w:r>
      <w:r>
        <w:rPr>
          <w:rFonts w:ascii="Calibri" w:hAnsi="Calibri" w:cs="Calibri"/>
          <w:color w:val="252525"/>
        </w:rPr>
        <w:t>VolunteerAssignmentEngine identifies nearby available volunteers matching vehicle capacity and dispatches task.</w:t>
      </w:r>
    </w:p>
    <w:p w14:paraId="7EE0BE62" w14:textId="5DF225F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6. NGO_SELF_PICKUP_ASSIGNED: </w:t>
      </w:r>
      <w:r>
        <w:rPr>
          <w:rFonts w:ascii="Calibri" w:hAnsi="Calibri" w:cs="Calibri"/>
          <w:color w:val="252525"/>
        </w:rPr>
        <w:t>Fallback state triggered automatically if no volunteer accepts within 30 minutes.</w:t>
      </w:r>
    </w:p>
    <w:p w14:paraId="66E254C3" w14:textId="4603E9AA"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7. PICKED_UP: </w:t>
      </w:r>
      <w:r>
        <w:rPr>
          <w:rFonts w:ascii="Calibri" w:hAnsi="Calibri" w:cs="Calibri"/>
          <w:color w:val="252525"/>
        </w:rPr>
        <w:t>Volunteer verifies physical collection by validating donors 6-digit Pickup OTP.</w:t>
      </w:r>
    </w:p>
    <w:p w14:paraId="5BB53489" w14:textId="038A32DA"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8. DELIVERED: </w:t>
      </w:r>
      <w:r>
        <w:rPr>
          <w:rFonts w:ascii="Calibri" w:hAnsi="Calibri" w:cs="Calibri"/>
          <w:color w:val="252525"/>
        </w:rPr>
        <w:t>Volunteer hands over food at NGO premises and validates recipients 6-digit Delivery OTP.</w:t>
      </w:r>
    </w:p>
    <w:p w14:paraId="514EF3AF" w14:textId="33B7F858"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9. RECEIVED and 10. DISTRIBUTED: </w:t>
      </w:r>
      <w:r>
        <w:rPr>
          <w:rFonts w:ascii="Calibri" w:hAnsi="Calibri" w:cs="Calibri"/>
          <w:color w:val="252525"/>
        </w:rPr>
        <w:t>NGO inspects quality and distributes meals to beneficiaries, triggering digital receipt generation.</w:t>
      </w:r>
    </w:p>
    <w:p w14:paraId="4398555E" w14:textId="66BA7820"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11. CANCELLED and 12. EXPIRED: </w:t>
      </w:r>
      <w:r>
        <w:rPr>
          <w:rFonts w:ascii="Calibri" w:hAnsi="Calibri" w:cs="Calibri"/>
          <w:color w:val="252525"/>
        </w:rPr>
        <w:t>Terminal states triggered by donor retraction or background urgency scanner timeout.</w:t>
      </w:r>
    </w:p>
    <w:p w14:paraId="6C5E94DF" w14:textId="03821D76" w:rsidR="00D621BD" w:rsidRDefault="00D621BD" w:rsidP="00D621BD">
      <w:pPr>
        <w:keepNext/>
        <w:spacing w:before="240" w:after="80"/>
        <w:rPr>
          <w:rFonts w:ascii="Arial" w:hAnsi="Arial" w:cs="Arial"/>
          <w:b/>
          <w:color w:val="252525"/>
          <w:sz w:val="24"/>
        </w:rPr>
      </w:pPr>
      <w:r>
        <w:rPr>
          <w:rFonts w:ascii="Arial" w:hAnsi="Arial" w:cs="Arial"/>
          <w:b/>
          <w:color w:val="252525"/>
          <w:sz w:val="24"/>
        </w:rPr>
        <w:t>4.4 Cryptographic Dual Handover and Tamper-Evident Receipts</w:t>
      </w:r>
    </w:p>
    <w:p w14:paraId="69C5F1B6" w14:textId="69D6B366" w:rsidR="00D621BD" w:rsidRDefault="00D621BD" w:rsidP="00D621BD">
      <w:pPr>
        <w:spacing w:after="120"/>
        <w:jc w:val="both"/>
        <w:rPr>
          <w:rFonts w:ascii="Calibri" w:hAnsi="Calibri" w:cs="Calibri"/>
          <w:color w:val="252525"/>
        </w:rPr>
      </w:pPr>
      <w:r>
        <w:rPr>
          <w:rFonts w:ascii="Calibri" w:hAnsi="Calibri" w:cs="Calibri"/>
          <w:color w:val="252525"/>
        </w:rPr>
        <w:t>To ensure mathematical proof of delivery and prevent food diversion, AnnPath implements a dual-handover cryptographic protocol:</w:t>
      </w:r>
    </w:p>
    <w:p w14:paraId="4C85CCD5" w14:textId="33594F53" w:rsidR="00D621BD" w:rsidRDefault="00D621BD" w:rsidP="00D621BD">
      <w:pPr>
        <w:spacing w:after="80"/>
        <w:ind w:left="360" w:hanging="200"/>
        <w:rPr>
          <w:rFonts w:ascii="Calibri" w:hAnsi="Calibri" w:cs="Calibri"/>
          <w:color w:val="252525"/>
        </w:rPr>
      </w:pPr>
      <w:r>
        <w:rPr>
          <w:rFonts w:ascii="Calibri" w:hAnsi="Calibri" w:cs="Calibri"/>
          <w:b/>
          <w:color w:val="176B4D"/>
        </w:rPr>
        <w:lastRenderedPageBreak/>
        <w:t xml:space="preserve">• Stage A: Pickup Validation: </w:t>
      </w:r>
      <w:r>
        <w:rPr>
          <w:rFonts w:ascii="Calibri" w:hAnsi="Calibri" w:cs="Calibri"/>
          <w:color w:val="252525"/>
        </w:rPr>
        <w:t>Upon listing approval, a cryptographically random 6-digit OTP is generated for the Donor. The volunteer must physically meet the donor, obtain the code, and submit it to the platform. The server verifies the OTP using constant-time equality.</w:t>
      </w:r>
    </w:p>
    <w:p w14:paraId="61DED9A8" w14:textId="63C4B806"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Stage B: Delivery Validation: </w:t>
      </w:r>
      <w:r>
        <w:rPr>
          <w:rFonts w:ascii="Calibri" w:hAnsi="Calibri" w:cs="Calibri"/>
          <w:color w:val="252525"/>
        </w:rPr>
        <w:t>A separate 6-digit Delivery OTP is assigned to the recipient NGO. The volunteer must verify this code upon delivery at the NGO premises.</w:t>
      </w:r>
    </w:p>
    <w:p w14:paraId="56A45DC6" w14:textId="5E8AC8A6"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Stage C: Digital Rescue Receipt: </w:t>
      </w:r>
      <w:r>
        <w:rPr>
          <w:rFonts w:ascii="Calibri" w:hAnsi="Calibri" w:cs="Calibri"/>
          <w:color w:val="252525"/>
        </w:rPr>
        <w:t>Upon delivery confirmation, a Digital Rescue Receipt is minted containing an immutable SHA-256 digital signature computed over: SHA256(receipt_number + "|" + donor_id + "|" + ngo_id + "|" + unit + "|" + quantity + "|" + timestamp). Any subsequent modification to donation weight or parties immediately invalidates the signature.</w:t>
      </w:r>
    </w:p>
    <w:p w14:paraId="7CA578B8" w14:textId="7315213A" w:rsidR="00D621BD" w:rsidRDefault="00D621BD" w:rsidP="00D621BD">
      <w:pPr>
        <w:keepNext/>
        <w:spacing w:before="320" w:after="120"/>
        <w:rPr>
          <w:rFonts w:ascii="Arial" w:hAnsi="Arial" w:cs="Arial"/>
          <w:b/>
          <w:color w:val="176B4D"/>
          <w:sz w:val="30"/>
        </w:rPr>
      </w:pPr>
      <w:r>
        <w:rPr>
          <w:rFonts w:ascii="Arial" w:hAnsi="Arial" w:cs="Arial"/>
          <w:b/>
          <w:color w:val="176B4D"/>
          <w:sz w:val="30"/>
        </w:rPr>
        <w:t>5. Technology Stack and Architectural Rationale</w:t>
      </w:r>
    </w:p>
    <w:p w14:paraId="3E2705B2" w14:textId="7A124824" w:rsidR="00D621BD" w:rsidRDefault="00D621BD" w:rsidP="00D621BD">
      <w:pPr>
        <w:spacing w:after="120"/>
        <w:jc w:val="both"/>
        <w:rPr>
          <w:rFonts w:ascii="Calibri" w:hAnsi="Calibri" w:cs="Calibri"/>
          <w:color w:val="252525"/>
        </w:rPr>
      </w:pPr>
      <w:r>
        <w:rPr>
          <w:rFonts w:ascii="Calibri" w:hAnsi="Calibri" w:cs="Calibri"/>
          <w:color w:val="252525"/>
        </w:rPr>
        <w:t>AnnPath is intentionally built with an architectural discipline of 70% familiar enterprise Java and 30% selective enhancements, explicitly avoiding framework bloat, runtime opacity, and high dependency overhead.</w:t>
      </w:r>
    </w:p>
    <w:tbl>
      <w:tblPr>
        <w:tblW w:w="0" w:type="auto"/>
        <w:tblBorders>
          <w:top w:val="single" w:sz="4" w:space="0" w:color="176B4D"/>
          <w:left w:val="single" w:sz="4" w:space="0" w:color="176B4D"/>
          <w:bottom w:val="single" w:sz="4" w:space="0" w:color="176B4D"/>
          <w:right w:val="single" w:sz="4" w:space="0" w:color="176B4D"/>
          <w:insideH w:val="single" w:sz="4" w:space="0" w:color="D0D0D0"/>
          <w:insideV w:val="single" w:sz="4" w:space="0" w:color="D0D0D0"/>
        </w:tblBorders>
        <w:tblLayout w:type="fixed"/>
        <w:tblLook w:val="0000" w:firstRow="0" w:lastRow="0" w:firstColumn="0" w:lastColumn="0" w:noHBand="0" w:noVBand="0"/>
      </w:tblPr>
      <w:tblGrid>
        <w:gridCol w:w="3010"/>
        <w:gridCol w:w="3010"/>
        <w:gridCol w:w="3010"/>
      </w:tblGrid>
      <w:tr w:rsidR="00D621BD" w14:paraId="5D5F9620" w14:textId="77777777" w:rsidTr="00D621BD">
        <w:tblPrEx>
          <w:tblCellMar>
            <w:top w:w="0" w:type="dxa"/>
            <w:bottom w:w="0" w:type="dxa"/>
          </w:tblCellMar>
        </w:tblPrEx>
        <w:tc>
          <w:tcPr>
            <w:tcW w:w="3010" w:type="dxa"/>
            <w:tcBorders>
              <w:top w:val="single" w:sz="4" w:space="0" w:color="176B4D"/>
              <w:bottom w:val="single" w:sz="4" w:space="0" w:color="D0D0D0"/>
            </w:tcBorders>
            <w:shd w:val="clear" w:color="auto" w:fill="176B4D"/>
          </w:tcPr>
          <w:p w14:paraId="37BE5B8D" w14:textId="3F1649FF" w:rsidR="00D621BD" w:rsidRPr="00D621BD" w:rsidRDefault="00D621BD" w:rsidP="00D621BD">
            <w:pPr>
              <w:spacing w:after="120"/>
              <w:jc w:val="both"/>
              <w:rPr>
                <w:rFonts w:ascii="Calibri" w:hAnsi="Calibri" w:cs="Calibri"/>
                <w:b/>
                <w:color w:val="FFFFFF"/>
                <w:sz w:val="18"/>
              </w:rPr>
            </w:pPr>
            <w:r w:rsidRPr="00D621BD">
              <w:rPr>
                <w:rFonts w:ascii="Calibri" w:hAnsi="Calibri" w:cs="Calibri"/>
                <w:b/>
                <w:color w:val="FFFFFF"/>
                <w:sz w:val="18"/>
              </w:rPr>
              <w:t>Layer / Subsystem</w:t>
            </w:r>
          </w:p>
        </w:tc>
        <w:tc>
          <w:tcPr>
            <w:tcW w:w="3010" w:type="dxa"/>
            <w:tcBorders>
              <w:top w:val="single" w:sz="4" w:space="0" w:color="176B4D"/>
              <w:bottom w:val="single" w:sz="4" w:space="0" w:color="D0D0D0"/>
            </w:tcBorders>
            <w:shd w:val="clear" w:color="auto" w:fill="176B4D"/>
          </w:tcPr>
          <w:p w14:paraId="1CCAF3A9" w14:textId="55219613" w:rsidR="00D621BD" w:rsidRPr="00D621BD" w:rsidRDefault="00D621BD" w:rsidP="00D621BD">
            <w:pPr>
              <w:spacing w:after="120"/>
              <w:jc w:val="both"/>
              <w:rPr>
                <w:rFonts w:ascii="Calibri" w:hAnsi="Calibri" w:cs="Calibri"/>
                <w:b/>
                <w:color w:val="FFFFFF"/>
                <w:sz w:val="18"/>
              </w:rPr>
            </w:pPr>
            <w:r w:rsidRPr="00D621BD">
              <w:rPr>
                <w:rFonts w:ascii="Calibri" w:hAnsi="Calibri" w:cs="Calibri"/>
                <w:b/>
                <w:color w:val="FFFFFF"/>
                <w:sz w:val="18"/>
              </w:rPr>
              <w:t>Technology Selection</w:t>
            </w:r>
          </w:p>
        </w:tc>
        <w:tc>
          <w:tcPr>
            <w:tcW w:w="3010" w:type="dxa"/>
            <w:tcBorders>
              <w:top w:val="single" w:sz="4" w:space="0" w:color="176B4D"/>
              <w:bottom w:val="single" w:sz="4" w:space="0" w:color="D0D0D0"/>
            </w:tcBorders>
            <w:shd w:val="clear" w:color="auto" w:fill="176B4D"/>
          </w:tcPr>
          <w:p w14:paraId="30F26027" w14:textId="048739F6" w:rsidR="00D621BD" w:rsidRPr="00D621BD" w:rsidRDefault="00D621BD" w:rsidP="00D621BD">
            <w:pPr>
              <w:spacing w:after="120"/>
              <w:jc w:val="both"/>
              <w:rPr>
                <w:rFonts w:ascii="Calibri" w:hAnsi="Calibri" w:cs="Calibri"/>
                <w:b/>
                <w:color w:val="FFFFFF"/>
                <w:sz w:val="18"/>
              </w:rPr>
            </w:pPr>
            <w:r w:rsidRPr="00D621BD">
              <w:rPr>
                <w:rFonts w:ascii="Calibri" w:hAnsi="Calibri" w:cs="Calibri"/>
                <w:b/>
                <w:color w:val="FFFFFF"/>
                <w:sz w:val="18"/>
              </w:rPr>
              <w:t>Architectural Rationale</w:t>
            </w:r>
          </w:p>
        </w:tc>
      </w:tr>
      <w:tr w:rsidR="00D621BD" w14:paraId="2CE795A0" w14:textId="77777777" w:rsidTr="00D621BD">
        <w:tblPrEx>
          <w:tblCellMar>
            <w:top w:w="0" w:type="dxa"/>
            <w:bottom w:w="0" w:type="dxa"/>
          </w:tblCellMar>
        </w:tblPrEx>
        <w:tc>
          <w:tcPr>
            <w:tcW w:w="3010" w:type="dxa"/>
            <w:tcBorders>
              <w:top w:val="single" w:sz="4" w:space="0" w:color="D0D0D0"/>
              <w:bottom w:val="single" w:sz="4" w:space="0" w:color="D0D0D0"/>
            </w:tcBorders>
          </w:tcPr>
          <w:p w14:paraId="370F4149" w14:textId="52C74ACA"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Language Runtime</w:t>
            </w:r>
          </w:p>
        </w:tc>
        <w:tc>
          <w:tcPr>
            <w:tcW w:w="3010" w:type="dxa"/>
            <w:tcBorders>
              <w:top w:val="single" w:sz="4" w:space="0" w:color="D0D0D0"/>
              <w:bottom w:val="single" w:sz="4" w:space="0" w:color="D0D0D0"/>
            </w:tcBorders>
          </w:tcPr>
          <w:p w14:paraId="5F486A6E" w14:textId="428CF89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Java SE 8 (JDK 1.8.0_301+)</w:t>
            </w:r>
          </w:p>
        </w:tc>
        <w:tc>
          <w:tcPr>
            <w:tcW w:w="3010" w:type="dxa"/>
            <w:tcBorders>
              <w:top w:val="single" w:sz="4" w:space="0" w:color="D0D0D0"/>
              <w:bottom w:val="single" w:sz="4" w:space="0" w:color="D0D0D0"/>
            </w:tcBorders>
          </w:tcPr>
          <w:p w14:paraId="7827E0CA" w14:textId="352A2841"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Extreme enterprise stability, predictable garbage collection, robust multi-</w:t>
            </w:r>
            <w:r w:rsidRPr="00D621BD">
              <w:rPr>
                <w:rFonts w:ascii="Calibri" w:hAnsi="Calibri" w:cs="Calibri"/>
                <w:color w:val="252525"/>
                <w:sz w:val="17"/>
              </w:rPr>
              <w:lastRenderedPageBreak/>
              <w:t>threading, and universal container support.</w:t>
            </w:r>
          </w:p>
        </w:tc>
      </w:tr>
      <w:tr w:rsidR="00D621BD" w14:paraId="0D9746F9" w14:textId="77777777" w:rsidTr="00D621BD">
        <w:tblPrEx>
          <w:tblCellMar>
            <w:top w:w="0" w:type="dxa"/>
            <w:bottom w:w="0" w:type="dxa"/>
          </w:tblCellMar>
        </w:tblPrEx>
        <w:tc>
          <w:tcPr>
            <w:tcW w:w="3010" w:type="dxa"/>
            <w:tcBorders>
              <w:top w:val="single" w:sz="4" w:space="0" w:color="D0D0D0"/>
              <w:bottom w:val="single" w:sz="4" w:space="0" w:color="D0D0D0"/>
            </w:tcBorders>
            <w:shd w:val="clear" w:color="auto" w:fill="F6F7F5"/>
          </w:tcPr>
          <w:p w14:paraId="4B63F8DC" w14:textId="2D57063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lastRenderedPageBreak/>
              <w:t>Web Framework</w:t>
            </w:r>
          </w:p>
        </w:tc>
        <w:tc>
          <w:tcPr>
            <w:tcW w:w="3010" w:type="dxa"/>
            <w:tcBorders>
              <w:top w:val="single" w:sz="4" w:space="0" w:color="D0D0D0"/>
              <w:bottom w:val="single" w:sz="4" w:space="0" w:color="D0D0D0"/>
            </w:tcBorders>
            <w:shd w:val="clear" w:color="auto" w:fill="F6F7F5"/>
          </w:tcPr>
          <w:p w14:paraId="554EF2AD" w14:textId="7E95C26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Java EE 7 (Servlet 3.1, JSP 2.3, JSTL 1.2)</w:t>
            </w:r>
          </w:p>
        </w:tc>
        <w:tc>
          <w:tcPr>
            <w:tcW w:w="3010" w:type="dxa"/>
            <w:tcBorders>
              <w:top w:val="single" w:sz="4" w:space="0" w:color="D0D0D0"/>
              <w:bottom w:val="single" w:sz="4" w:space="0" w:color="D0D0D0"/>
            </w:tcBorders>
            <w:shd w:val="clear" w:color="auto" w:fill="F6F7F5"/>
          </w:tcPr>
          <w:p w14:paraId="50C0C01F" w14:textId="524F7DCC"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Zero-overhead native HTTP request pipeline, pure MVC pattern, standard filter chains, eliminating Spring Boot startup latency.</w:t>
            </w:r>
          </w:p>
        </w:tc>
      </w:tr>
      <w:tr w:rsidR="00D621BD" w14:paraId="2B705E7D" w14:textId="77777777" w:rsidTr="00D621BD">
        <w:tblPrEx>
          <w:tblCellMar>
            <w:top w:w="0" w:type="dxa"/>
            <w:bottom w:w="0" w:type="dxa"/>
          </w:tblCellMar>
        </w:tblPrEx>
        <w:tc>
          <w:tcPr>
            <w:tcW w:w="3010" w:type="dxa"/>
            <w:tcBorders>
              <w:top w:val="single" w:sz="4" w:space="0" w:color="D0D0D0"/>
              <w:bottom w:val="single" w:sz="4" w:space="0" w:color="D0D0D0"/>
            </w:tcBorders>
          </w:tcPr>
          <w:p w14:paraId="7F8A6C89" w14:textId="4E99E488"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Database Tier</w:t>
            </w:r>
          </w:p>
        </w:tc>
        <w:tc>
          <w:tcPr>
            <w:tcW w:w="3010" w:type="dxa"/>
            <w:tcBorders>
              <w:top w:val="single" w:sz="4" w:space="0" w:color="D0D0D0"/>
              <w:bottom w:val="single" w:sz="4" w:space="0" w:color="D0D0D0"/>
            </w:tcBorders>
          </w:tcPr>
          <w:p w14:paraId="7C72B8CE" w14:textId="00E1250E"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MySQL 8.0 (InnoDB, UTF-8 MB4)</w:t>
            </w:r>
          </w:p>
        </w:tc>
        <w:tc>
          <w:tcPr>
            <w:tcW w:w="3010" w:type="dxa"/>
            <w:tcBorders>
              <w:top w:val="single" w:sz="4" w:space="0" w:color="D0D0D0"/>
              <w:bottom w:val="single" w:sz="4" w:space="0" w:color="D0D0D0"/>
            </w:tcBorders>
          </w:tcPr>
          <w:p w14:paraId="5828AC8C" w14:textId="58572FEC"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ACID transaction guarantees, row-level locking (SELECT FOR UPDATE), multi-column indexing, and global multilingual character support.</w:t>
            </w:r>
          </w:p>
        </w:tc>
      </w:tr>
      <w:tr w:rsidR="00D621BD" w14:paraId="42F901BB" w14:textId="77777777" w:rsidTr="00D621BD">
        <w:tblPrEx>
          <w:tblCellMar>
            <w:top w:w="0" w:type="dxa"/>
            <w:bottom w:w="0" w:type="dxa"/>
          </w:tblCellMar>
        </w:tblPrEx>
        <w:tc>
          <w:tcPr>
            <w:tcW w:w="3010" w:type="dxa"/>
            <w:tcBorders>
              <w:top w:val="single" w:sz="4" w:space="0" w:color="D0D0D0"/>
              <w:bottom w:val="single" w:sz="4" w:space="0" w:color="D0D0D0"/>
            </w:tcBorders>
            <w:shd w:val="clear" w:color="auto" w:fill="F6F7F5"/>
          </w:tcPr>
          <w:p w14:paraId="10E59CE8" w14:textId="23D66686"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Connection Pooling</w:t>
            </w:r>
          </w:p>
        </w:tc>
        <w:tc>
          <w:tcPr>
            <w:tcW w:w="3010" w:type="dxa"/>
            <w:tcBorders>
              <w:top w:val="single" w:sz="4" w:space="0" w:color="D0D0D0"/>
              <w:bottom w:val="single" w:sz="4" w:space="0" w:color="D0D0D0"/>
            </w:tcBorders>
            <w:shd w:val="clear" w:color="auto" w:fill="F6F7F5"/>
          </w:tcPr>
          <w:p w14:paraId="53C12C4C" w14:textId="7327F64C"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Bounded Self-Healing JDBC Pool</w:t>
            </w:r>
          </w:p>
        </w:tc>
        <w:tc>
          <w:tcPr>
            <w:tcW w:w="3010" w:type="dxa"/>
            <w:tcBorders>
              <w:top w:val="single" w:sz="4" w:space="0" w:color="D0D0D0"/>
              <w:bottom w:val="single" w:sz="4" w:space="0" w:color="D0D0D0"/>
            </w:tcBorders>
            <w:shd w:val="clear" w:color="auto" w:fill="F6F7F5"/>
          </w:tcPr>
          <w:p w14:paraId="34CD4C68" w14:textId="5F20B6B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Zero third-party library overhead, active connection health-checks, thread-safe synchronization, and seamless JNDI fallback.</w:t>
            </w:r>
          </w:p>
        </w:tc>
      </w:tr>
      <w:tr w:rsidR="00D621BD" w14:paraId="41C4B7CD" w14:textId="77777777" w:rsidTr="00D621BD">
        <w:tblPrEx>
          <w:tblCellMar>
            <w:top w:w="0" w:type="dxa"/>
            <w:bottom w:w="0" w:type="dxa"/>
          </w:tblCellMar>
        </w:tblPrEx>
        <w:tc>
          <w:tcPr>
            <w:tcW w:w="3010" w:type="dxa"/>
            <w:tcBorders>
              <w:top w:val="single" w:sz="4" w:space="0" w:color="D0D0D0"/>
              <w:bottom w:val="single" w:sz="4" w:space="0" w:color="D0D0D0"/>
            </w:tcBorders>
          </w:tcPr>
          <w:p w14:paraId="65C43581" w14:textId="050EAD74"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Security and Crypto</w:t>
            </w:r>
          </w:p>
        </w:tc>
        <w:tc>
          <w:tcPr>
            <w:tcW w:w="3010" w:type="dxa"/>
            <w:tcBorders>
              <w:top w:val="single" w:sz="4" w:space="0" w:color="D0D0D0"/>
              <w:bottom w:val="single" w:sz="4" w:space="0" w:color="D0D0D0"/>
            </w:tcBorders>
          </w:tcPr>
          <w:p w14:paraId="33457626" w14:textId="1F20F13E"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PBKDF2-HMAC-SHA512 + Salts</w:t>
            </w:r>
          </w:p>
        </w:tc>
        <w:tc>
          <w:tcPr>
            <w:tcW w:w="3010" w:type="dxa"/>
            <w:tcBorders>
              <w:top w:val="single" w:sz="4" w:space="0" w:color="D0D0D0"/>
              <w:bottom w:val="single" w:sz="4" w:space="0" w:color="D0D0D0"/>
            </w:tcBorders>
          </w:tcPr>
          <w:p w14:paraId="0AD252F2" w14:textId="4DD3908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100,000 iterations defending against GPU rainbow attacks. Constant-time verification eliminating timing attacks.</w:t>
            </w:r>
          </w:p>
        </w:tc>
      </w:tr>
      <w:tr w:rsidR="00D621BD" w14:paraId="69D9BE1B" w14:textId="77777777" w:rsidTr="00D621BD">
        <w:tblPrEx>
          <w:tblCellMar>
            <w:top w:w="0" w:type="dxa"/>
            <w:bottom w:w="0" w:type="dxa"/>
          </w:tblCellMar>
        </w:tblPrEx>
        <w:tc>
          <w:tcPr>
            <w:tcW w:w="3010" w:type="dxa"/>
            <w:tcBorders>
              <w:top w:val="single" w:sz="4" w:space="0" w:color="D0D0D0"/>
              <w:bottom w:val="single" w:sz="4" w:space="0" w:color="D0D0D0"/>
            </w:tcBorders>
            <w:shd w:val="clear" w:color="auto" w:fill="F6F7F5"/>
          </w:tcPr>
          <w:p w14:paraId="32CBFB8E" w14:textId="485D071A"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Web Protection</w:t>
            </w:r>
          </w:p>
        </w:tc>
        <w:tc>
          <w:tcPr>
            <w:tcW w:w="3010" w:type="dxa"/>
            <w:tcBorders>
              <w:top w:val="single" w:sz="4" w:space="0" w:color="D0D0D0"/>
              <w:bottom w:val="single" w:sz="4" w:space="0" w:color="D0D0D0"/>
            </w:tcBorders>
            <w:shd w:val="clear" w:color="auto" w:fill="F6F7F5"/>
          </w:tcPr>
          <w:p w14:paraId="567E4662" w14:textId="33E64BC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Native Filter Pipeline</w:t>
            </w:r>
          </w:p>
        </w:tc>
        <w:tc>
          <w:tcPr>
            <w:tcW w:w="3010" w:type="dxa"/>
            <w:tcBorders>
              <w:top w:val="single" w:sz="4" w:space="0" w:color="D0D0D0"/>
              <w:bottom w:val="single" w:sz="4" w:space="0" w:color="D0D0D0"/>
            </w:tcBorders>
            <w:shd w:val="clear" w:color="auto" w:fill="F6F7F5"/>
          </w:tcPr>
          <w:p w14:paraId="455F0899" w14:textId="24F6219B"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CSRF token validation on POST/PUT, sliding-window IP rate limiter (120 req/min), XSS HTML escaping, and strict CSP headers.</w:t>
            </w:r>
          </w:p>
        </w:tc>
      </w:tr>
      <w:tr w:rsidR="00D621BD" w14:paraId="7745DE31" w14:textId="77777777" w:rsidTr="00D621BD">
        <w:tblPrEx>
          <w:tblCellMar>
            <w:top w:w="0" w:type="dxa"/>
            <w:bottom w:w="0" w:type="dxa"/>
          </w:tblCellMar>
        </w:tblPrEx>
        <w:tc>
          <w:tcPr>
            <w:tcW w:w="3010" w:type="dxa"/>
            <w:tcBorders>
              <w:top w:val="single" w:sz="4" w:space="0" w:color="D0D0D0"/>
              <w:bottom w:val="single" w:sz="4" w:space="0" w:color="D0D0D0"/>
            </w:tcBorders>
          </w:tcPr>
          <w:p w14:paraId="615EFA8E" w14:textId="11740B02"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Internationalization</w:t>
            </w:r>
          </w:p>
        </w:tc>
        <w:tc>
          <w:tcPr>
            <w:tcW w:w="3010" w:type="dxa"/>
            <w:tcBorders>
              <w:top w:val="single" w:sz="4" w:space="0" w:color="D0D0D0"/>
              <w:bottom w:val="single" w:sz="4" w:space="0" w:color="D0D0D0"/>
            </w:tcBorders>
          </w:tcPr>
          <w:p w14:paraId="13BF173E" w14:textId="2BD6FB15"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Standard Java ResourceBundle</w:t>
            </w:r>
          </w:p>
        </w:tc>
        <w:tc>
          <w:tcPr>
            <w:tcW w:w="3010" w:type="dxa"/>
            <w:tcBorders>
              <w:top w:val="single" w:sz="4" w:space="0" w:color="D0D0D0"/>
              <w:bottom w:val="single" w:sz="4" w:space="0" w:color="D0D0D0"/>
            </w:tcBorders>
          </w:tcPr>
          <w:p w14:paraId="24EB7074" w14:textId="716B26AC"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Dynamic locale resolution across English, Hindi, Spanish, and French without third-party frameworks.</w:t>
            </w:r>
          </w:p>
        </w:tc>
      </w:tr>
      <w:tr w:rsidR="00D621BD" w14:paraId="402DFB81" w14:textId="77777777" w:rsidTr="00D621BD">
        <w:tblPrEx>
          <w:tblCellMar>
            <w:top w:w="0" w:type="dxa"/>
            <w:bottom w:w="0" w:type="dxa"/>
          </w:tblCellMar>
        </w:tblPrEx>
        <w:tc>
          <w:tcPr>
            <w:tcW w:w="3010" w:type="dxa"/>
            <w:tcBorders>
              <w:top w:val="single" w:sz="4" w:space="0" w:color="D0D0D0"/>
              <w:bottom w:val="single" w:sz="4" w:space="0" w:color="176B4D"/>
            </w:tcBorders>
            <w:shd w:val="clear" w:color="auto" w:fill="F6F7F5"/>
          </w:tcPr>
          <w:p w14:paraId="4E69E5A7" w14:textId="36B790B7"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Presentation Tier</w:t>
            </w:r>
          </w:p>
        </w:tc>
        <w:tc>
          <w:tcPr>
            <w:tcW w:w="3010" w:type="dxa"/>
            <w:tcBorders>
              <w:top w:val="single" w:sz="4" w:space="0" w:color="D0D0D0"/>
              <w:bottom w:val="single" w:sz="4" w:space="0" w:color="176B4D"/>
            </w:tcBorders>
            <w:shd w:val="clear" w:color="auto" w:fill="F6F7F5"/>
          </w:tcPr>
          <w:p w14:paraId="4F9C0837" w14:textId="3B379C9D"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Vanilla HTML5 / CSS3 / ES6</w:t>
            </w:r>
          </w:p>
        </w:tc>
        <w:tc>
          <w:tcPr>
            <w:tcW w:w="3010" w:type="dxa"/>
            <w:tcBorders>
              <w:top w:val="single" w:sz="4" w:space="0" w:color="D0D0D0"/>
              <w:bottom w:val="single" w:sz="4" w:space="0" w:color="176B4D"/>
            </w:tcBorders>
            <w:shd w:val="clear" w:color="auto" w:fill="F6F7F5"/>
          </w:tcPr>
          <w:p w14:paraId="2FF409F0" w14:textId="5F800E99" w:rsidR="00D621BD" w:rsidRPr="00D621BD" w:rsidRDefault="00D621BD" w:rsidP="00D621BD">
            <w:pPr>
              <w:spacing w:after="120"/>
              <w:jc w:val="both"/>
              <w:rPr>
                <w:rFonts w:ascii="Calibri" w:hAnsi="Calibri" w:cs="Calibri"/>
                <w:color w:val="252525"/>
                <w:sz w:val="17"/>
              </w:rPr>
            </w:pPr>
            <w:r w:rsidRPr="00D621BD">
              <w:rPr>
                <w:rFonts w:ascii="Calibri" w:hAnsi="Calibri" w:cs="Calibri"/>
                <w:color w:val="252525"/>
                <w:sz w:val="17"/>
              </w:rPr>
              <w:t>Responsive design, zero bundle build steps (no Webpack/Node), instant rendering on low-bandwidth mobile devices.</w:t>
            </w:r>
          </w:p>
        </w:tc>
      </w:tr>
    </w:tbl>
    <w:p w14:paraId="38B1B2A6" w14:textId="77777777" w:rsidR="00D621BD" w:rsidRDefault="00D621BD" w:rsidP="00D621BD">
      <w:pPr>
        <w:spacing w:after="120"/>
        <w:jc w:val="both"/>
        <w:rPr>
          <w:rFonts w:ascii="Calibri" w:hAnsi="Calibri" w:cs="Calibri"/>
          <w:color w:val="252525"/>
        </w:rPr>
      </w:pPr>
    </w:p>
    <w:p w14:paraId="3E538C3C" w14:textId="2637B0A4" w:rsidR="00D621BD" w:rsidRDefault="00D621BD" w:rsidP="00D621BD">
      <w:pPr>
        <w:keepNext/>
        <w:spacing w:before="240" w:after="80"/>
        <w:rPr>
          <w:rFonts w:ascii="Arial" w:hAnsi="Arial" w:cs="Arial"/>
          <w:b/>
          <w:color w:val="252525"/>
          <w:sz w:val="24"/>
        </w:rPr>
      </w:pPr>
      <w:r>
        <w:rPr>
          <w:rFonts w:ascii="Arial" w:hAnsi="Arial" w:cs="Arial"/>
          <w:b/>
          <w:color w:val="252525"/>
          <w:sz w:val="24"/>
        </w:rPr>
        <w:t>5.1 Framework Elimination Rationale</w:t>
      </w:r>
    </w:p>
    <w:p w14:paraId="71CC633A" w14:textId="52A882A6" w:rsidR="00D621BD" w:rsidRDefault="00D621BD" w:rsidP="00D621BD">
      <w:pPr>
        <w:spacing w:after="120"/>
        <w:jc w:val="both"/>
        <w:rPr>
          <w:rFonts w:ascii="Calibri" w:hAnsi="Calibri" w:cs="Calibri"/>
          <w:color w:val="252525"/>
        </w:rPr>
      </w:pPr>
      <w:r>
        <w:rPr>
          <w:rFonts w:ascii="Calibri" w:hAnsi="Calibri" w:cs="Calibri"/>
          <w:color w:val="252525"/>
        </w:rPr>
        <w:t>Contemporary web developments frequently suffer from framework bloat, relying on Spring Boot, Hibernate, Node.js, and React for simple CRUD operations. In a mission-critical emergency food redistribution platform, framework abstractions introduce significant liabilities: Spring and Hibernate produce heavy memory footprints (often exceeding 1 GB idle RAM), complex classloader hierarchies, and unpredictable N+1 query overhead. By utilizing pure Servlet 3.1 and native JDBC, AnnPath starts in under 2 seconds, consumes less than 150 MB idle memory, and executes database queries in sub-millisecond ranges with explicit, hand-optimized SQL.</w:t>
      </w:r>
    </w:p>
    <w:p w14:paraId="5EFE31DA" w14:textId="58CB5E06" w:rsidR="00D621BD" w:rsidRDefault="00D621BD" w:rsidP="00D621BD">
      <w:pPr>
        <w:keepNext/>
        <w:spacing w:before="320" w:after="120"/>
        <w:rPr>
          <w:rFonts w:ascii="Arial" w:hAnsi="Arial" w:cs="Arial"/>
          <w:b/>
          <w:color w:val="176B4D"/>
          <w:sz w:val="30"/>
        </w:rPr>
      </w:pPr>
      <w:r>
        <w:rPr>
          <w:rFonts w:ascii="Arial" w:hAnsi="Arial" w:cs="Arial"/>
          <w:b/>
          <w:color w:val="176B4D"/>
          <w:sz w:val="30"/>
        </w:rPr>
        <w:t>6. Expected Outcomes and Impact Analysis</w:t>
      </w:r>
    </w:p>
    <w:p w14:paraId="76C1C971" w14:textId="0359FE39" w:rsidR="00D621BD" w:rsidRDefault="00D621BD" w:rsidP="00D621BD">
      <w:pPr>
        <w:spacing w:after="120"/>
        <w:jc w:val="both"/>
        <w:rPr>
          <w:rFonts w:ascii="Calibri" w:hAnsi="Calibri" w:cs="Calibri"/>
          <w:color w:val="252525"/>
        </w:rPr>
      </w:pPr>
      <w:r>
        <w:rPr>
          <w:rFonts w:ascii="Calibri" w:hAnsi="Calibri" w:cs="Calibri"/>
          <w:color w:val="252525"/>
        </w:rPr>
        <w:t>The deployment of the AnnPath platform produces measurable benefits across technical performance, humanitarian operations, and environmental sustainability.</w:t>
      </w:r>
    </w:p>
    <w:p w14:paraId="2CDD545E" w14:textId="41FA73D6" w:rsidR="00D621BD" w:rsidRDefault="00D621BD" w:rsidP="00D621BD">
      <w:pPr>
        <w:keepNext/>
        <w:spacing w:before="240" w:after="80"/>
        <w:rPr>
          <w:rFonts w:ascii="Arial" w:hAnsi="Arial" w:cs="Arial"/>
          <w:b/>
          <w:color w:val="252525"/>
          <w:sz w:val="24"/>
        </w:rPr>
      </w:pPr>
      <w:r>
        <w:rPr>
          <w:rFonts w:ascii="Arial" w:hAnsi="Arial" w:cs="Arial"/>
          <w:b/>
          <w:color w:val="252525"/>
          <w:sz w:val="24"/>
        </w:rPr>
        <w:t>6.1 Technical and Operational Deliverables</w:t>
      </w:r>
    </w:p>
    <w:p w14:paraId="295193BD" w14:textId="6B561C8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Deployable Enterprise Package: </w:t>
      </w:r>
      <w:r>
        <w:rPr>
          <w:rFonts w:ascii="Calibri" w:hAnsi="Calibri" w:cs="Calibri"/>
          <w:color w:val="252525"/>
        </w:rPr>
        <w:t>Self-contained Web Application Archive (dist/AnnPath.war) tested and operational across GlassFish 4.1.1, Payara Server, and Apache Tomcat 8.5/9.0.</w:t>
      </w:r>
    </w:p>
    <w:p w14:paraId="03CD6BA6" w14:textId="03A662F2"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Complete Relational Database Architecture: </w:t>
      </w:r>
      <w:r>
        <w:rPr>
          <w:rFonts w:ascii="Calibri" w:hAnsi="Calibri" w:cs="Calibri"/>
          <w:color w:val="252525"/>
        </w:rPr>
        <w:t>26 normalized relational tables populated with international reference data (ISO countries, regions, food categories, units, and verification rules).</w:t>
      </w:r>
    </w:p>
    <w:p w14:paraId="134A3278" w14:textId="3CC4DFF0"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Automated Test Verification Suite: </w:t>
      </w:r>
      <w:r>
        <w:rPr>
          <w:rFonts w:ascii="Calibri" w:hAnsi="Calibri" w:cs="Calibri"/>
          <w:color w:val="252525"/>
        </w:rPr>
        <w:t>100% test pass rate across cryptographic security (PBKDF2/XSS/SHA256), algorithmic priority scoring, urgency transitions, and 10-thread parallel race condition inventory tests.</w:t>
      </w:r>
    </w:p>
    <w:p w14:paraId="28933E69" w14:textId="33CE0535" w:rsidR="00D621BD" w:rsidRDefault="00D621BD" w:rsidP="00D621BD">
      <w:pPr>
        <w:keepNext/>
        <w:spacing w:before="240" w:after="80"/>
        <w:rPr>
          <w:rFonts w:ascii="Arial" w:hAnsi="Arial" w:cs="Arial"/>
          <w:b/>
          <w:color w:val="252525"/>
          <w:sz w:val="24"/>
        </w:rPr>
      </w:pPr>
      <w:r>
        <w:rPr>
          <w:rFonts w:ascii="Arial" w:hAnsi="Arial" w:cs="Arial"/>
          <w:b/>
          <w:color w:val="252525"/>
          <w:sz w:val="24"/>
        </w:rPr>
        <w:t>6.2 Quantified Performance Benchmarks</w:t>
      </w:r>
    </w:p>
    <w:p w14:paraId="06B7D2FA" w14:textId="175BE24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High-Concurrency Inventory Protection: </w:t>
      </w:r>
      <w:r>
        <w:rPr>
          <w:rFonts w:ascii="Calibri" w:hAnsi="Calibri" w:cs="Calibri"/>
          <w:color w:val="252525"/>
        </w:rPr>
        <w:t>Zero inventory over-allocation under concurrent transaction stress tests with strict conservation invariant (remaining + reserved = total).</w:t>
      </w:r>
    </w:p>
    <w:p w14:paraId="139F7026" w14:textId="5B63A8A7"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Sub-50ms Response Times: </w:t>
      </w:r>
      <w:r>
        <w:rPr>
          <w:rFonts w:ascii="Calibri" w:hAnsi="Calibri" w:cs="Calibri"/>
          <w:color w:val="252525"/>
        </w:rPr>
        <w:t>Sub-50 millisecond query execution latency for spatial bounding-box candidate searches across 50,000 simulated listings.</w:t>
      </w:r>
    </w:p>
    <w:p w14:paraId="44BCC5A3" w14:textId="52974E1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Automated Verification Turnaround: </w:t>
      </w:r>
      <w:r>
        <w:rPr>
          <w:rFonts w:ascii="Calibri" w:hAnsi="Calibri" w:cs="Calibri"/>
          <w:color w:val="252525"/>
        </w:rPr>
        <w:t>Reduction of NGO onboarding validation from 7-14 business days (manual inspection) to under 5 seconds for rule-compliant organizations.</w:t>
      </w:r>
    </w:p>
    <w:p w14:paraId="77068450" w14:textId="500EEF2B" w:rsidR="00D621BD" w:rsidRDefault="00D621BD" w:rsidP="00D621BD">
      <w:pPr>
        <w:keepNext/>
        <w:spacing w:before="240" w:after="80"/>
        <w:rPr>
          <w:rFonts w:ascii="Arial" w:hAnsi="Arial" w:cs="Arial"/>
          <w:b/>
          <w:color w:val="252525"/>
          <w:sz w:val="24"/>
        </w:rPr>
      </w:pPr>
      <w:r>
        <w:rPr>
          <w:rFonts w:ascii="Arial" w:hAnsi="Arial" w:cs="Arial"/>
          <w:b/>
          <w:color w:val="252525"/>
          <w:sz w:val="24"/>
        </w:rPr>
        <w:t>6.3 Socio-Economic and Environmental Impact</w:t>
      </w:r>
    </w:p>
    <w:p w14:paraId="7FBA7A31" w14:textId="73CE6528"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Direct Hunger Relief: </w:t>
      </w:r>
      <w:r>
        <w:rPr>
          <w:rFonts w:ascii="Calibri" w:hAnsi="Calibri" w:cs="Calibri"/>
          <w:color w:val="252525"/>
        </w:rPr>
        <w:t>Empirically projected redistribution of 500,000+ meals annually per metropolitan area by reclaiming surplus from top 50 hospitality donors.</w:t>
      </w:r>
    </w:p>
    <w:p w14:paraId="6A0B805B" w14:textId="272D4225"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Carbon and Water Footprint Abatement: </w:t>
      </w:r>
      <w:r>
        <w:rPr>
          <w:rFonts w:ascii="Calibri" w:hAnsi="Calibri" w:cs="Calibri"/>
          <w:color w:val="252525"/>
        </w:rPr>
        <w:t>According to UN environmental models, 1 kg of saved food prevents 2.5 kg of CO2 equivalent greenhouse gas emissions and saves approximately 1,000 liters of freshwater. Reclaiming 200 tonnes annually averts 500 tonnes of CO2e.</w:t>
      </w:r>
    </w:p>
    <w:p w14:paraId="137A9C30" w14:textId="1BD739FB"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Auditable Corporate Social Responsibility: </w:t>
      </w:r>
      <w:r>
        <w:rPr>
          <w:rFonts w:ascii="Calibri" w:hAnsi="Calibri" w:cs="Calibri"/>
          <w:color w:val="252525"/>
        </w:rPr>
        <w:t>Donors receive mathematically verifiable SHA-256 digital certificates facilitating direct corporate tax deductions under applicable national statutes.</w:t>
      </w:r>
    </w:p>
    <w:p w14:paraId="3F12B6E6" w14:textId="4BFF7337" w:rsidR="00D621BD" w:rsidRDefault="00D621BD" w:rsidP="00D621BD">
      <w:pPr>
        <w:keepNext/>
        <w:spacing w:before="320" w:after="120"/>
        <w:rPr>
          <w:rFonts w:ascii="Arial" w:hAnsi="Arial" w:cs="Arial"/>
          <w:b/>
          <w:color w:val="176B4D"/>
          <w:sz w:val="30"/>
        </w:rPr>
      </w:pPr>
      <w:r>
        <w:rPr>
          <w:rFonts w:ascii="Arial" w:hAnsi="Arial" w:cs="Arial"/>
          <w:b/>
          <w:color w:val="176B4D"/>
          <w:sz w:val="30"/>
        </w:rPr>
        <w:t>7. Research Paper Publication Plan</w:t>
      </w:r>
    </w:p>
    <w:p w14:paraId="2402AC9A" w14:textId="15A44AEB" w:rsidR="00D621BD" w:rsidRDefault="00D621BD" w:rsidP="00D621BD">
      <w:pPr>
        <w:spacing w:after="120"/>
        <w:jc w:val="both"/>
        <w:rPr>
          <w:rFonts w:ascii="Calibri" w:hAnsi="Calibri" w:cs="Calibri"/>
          <w:color w:val="252525"/>
        </w:rPr>
      </w:pPr>
      <w:r>
        <w:rPr>
          <w:rFonts w:ascii="Calibri" w:hAnsi="Calibri" w:cs="Calibri"/>
          <w:color w:val="252525"/>
        </w:rPr>
        <w:t>The algorithmic, architectural, and security innovations developed in AnnPath provide significant novel contributions suitable for academic publication in top-tier peer-reviewed conferences and journals.</w:t>
      </w:r>
    </w:p>
    <w:p w14:paraId="16A995BD" w14:textId="02E240FD" w:rsidR="00D621BD" w:rsidRDefault="00D621BD" w:rsidP="00D621BD">
      <w:pPr>
        <w:keepNext/>
        <w:spacing w:before="240" w:after="80"/>
        <w:rPr>
          <w:rFonts w:ascii="Arial" w:hAnsi="Arial" w:cs="Arial"/>
          <w:b/>
          <w:color w:val="252525"/>
          <w:sz w:val="24"/>
        </w:rPr>
      </w:pPr>
      <w:r>
        <w:rPr>
          <w:rFonts w:ascii="Arial" w:hAnsi="Arial" w:cs="Arial"/>
          <w:b/>
          <w:color w:val="252525"/>
          <w:sz w:val="24"/>
        </w:rPr>
        <w:t>7.1 Proposed Research Paper Details</w:t>
      </w:r>
    </w:p>
    <w:p w14:paraId="0F4BD2A4" w14:textId="6ADC843D" w:rsidR="00D621BD" w:rsidRDefault="00D621BD" w:rsidP="00D621BD">
      <w:pPr>
        <w:spacing w:after="120"/>
        <w:jc w:val="both"/>
        <w:rPr>
          <w:rFonts w:ascii="Calibri" w:hAnsi="Calibri" w:cs="Calibri"/>
          <w:color w:val="252525"/>
        </w:rPr>
      </w:pPr>
      <w:r>
        <w:rPr>
          <w:rFonts w:ascii="Calibri" w:hAnsi="Calibri" w:cs="Calibri"/>
          <w:color w:val="252525"/>
        </w:rPr>
        <w:t>Proposed Title: AnnPath: A Deterministic Priority-Driven and Cryptographically Auditable Platform for Real-Time Food Surplus Redistribution`nTarget Author Track: Computer Science / Sustainable Computing / Information Systems</w:t>
      </w:r>
    </w:p>
    <w:p w14:paraId="6A830BA3" w14:textId="40624E12" w:rsidR="00D621BD" w:rsidRDefault="00D621BD" w:rsidP="00D621BD">
      <w:pPr>
        <w:keepNext/>
        <w:spacing w:before="240" w:after="80"/>
        <w:rPr>
          <w:rFonts w:ascii="Arial" w:hAnsi="Arial" w:cs="Arial"/>
          <w:b/>
          <w:color w:val="252525"/>
          <w:sz w:val="24"/>
        </w:rPr>
      </w:pPr>
      <w:r>
        <w:rPr>
          <w:rFonts w:ascii="Arial" w:hAnsi="Arial" w:cs="Arial"/>
          <w:b/>
          <w:color w:val="252525"/>
          <w:sz w:val="24"/>
        </w:rPr>
        <w:t>7.2 Draft Academic Abstract</w:t>
      </w:r>
    </w:p>
    <w:tbl>
      <w:tblPr>
        <w:tblW w:w="0" w:type="auto"/>
        <w:tblBorders>
          <w:top w:val="single" w:sz="4" w:space="0" w:color="176B4D"/>
          <w:left w:val="single" w:sz="4" w:space="0" w:color="176B4D"/>
          <w:bottom w:val="single" w:sz="4" w:space="0" w:color="176B4D"/>
          <w:right w:val="single" w:sz="4" w:space="0" w:color="176B4D"/>
        </w:tblBorders>
        <w:shd w:val="clear" w:color="auto" w:fill="F6F7F5"/>
        <w:tblLayout w:type="fixed"/>
        <w:tblLook w:val="0000" w:firstRow="0" w:lastRow="0" w:firstColumn="0" w:lastColumn="0" w:noHBand="0" w:noVBand="0"/>
      </w:tblPr>
      <w:tblGrid>
        <w:gridCol w:w="9030"/>
      </w:tblGrid>
      <w:tr w:rsidR="00D621BD" w14:paraId="120B0EF5" w14:textId="77777777" w:rsidTr="00D621BD">
        <w:tblPrEx>
          <w:tblCellMar>
            <w:top w:w="0" w:type="dxa"/>
            <w:bottom w:w="0" w:type="dxa"/>
          </w:tblCellMar>
        </w:tblPrEx>
        <w:tc>
          <w:tcPr>
            <w:tcW w:w="9030" w:type="dxa"/>
            <w:shd w:val="clear" w:color="auto" w:fill="F6F7F5"/>
          </w:tcPr>
          <w:p w14:paraId="1A2B8554" w14:textId="77777777" w:rsidR="00D621BD" w:rsidRPr="00D621BD" w:rsidRDefault="00D621BD" w:rsidP="00D621BD">
            <w:pPr>
              <w:spacing w:before="240" w:after="80"/>
              <w:rPr>
                <w:rFonts w:ascii="Calibri" w:hAnsi="Calibri" w:cs="Calibri"/>
                <w:b/>
                <w:color w:val="176B4D"/>
                <w:sz w:val="21"/>
              </w:rPr>
            </w:pPr>
            <w:r w:rsidRPr="00D621BD">
              <w:rPr>
                <w:rFonts w:ascii="Calibri" w:hAnsi="Calibri" w:cs="Calibri"/>
                <w:b/>
                <w:color w:val="176B4D"/>
                <w:sz w:val="21"/>
              </w:rPr>
              <w:t>RESEARCH PAPER DRAFT ABSTRACT</w:t>
            </w:r>
          </w:p>
          <w:p w14:paraId="18B9269D" w14:textId="17E9D96D" w:rsidR="00D621BD" w:rsidRPr="00D621BD" w:rsidRDefault="00D621BD" w:rsidP="00D621BD">
            <w:pPr>
              <w:spacing w:before="240" w:after="80"/>
              <w:rPr>
                <w:rFonts w:ascii="Calibri" w:hAnsi="Calibri" w:cs="Calibri"/>
                <w:b/>
                <w:color w:val="252525"/>
                <w:sz w:val="21"/>
              </w:rPr>
            </w:pPr>
            <w:r>
              <w:rPr>
                <w:rFonts w:ascii="Calibri" w:hAnsi="Calibri" w:cs="Calibri"/>
                <w:b/>
                <w:color w:val="252525"/>
                <w:sz w:val="21"/>
              </w:rPr>
              <w:t>The simultaneous escalation of urban food surplus and acute food insecurity constitutes a critical logistical and humanitarian challenge. Existing redistribution platforms suffer from high operational latency, lack of objective triage scoring, vulnerability to inventory race conditions, and an absence of verifiable chain-of-custody protocols. This paper presents AnnPath, an autonomous peer-to-peer web platform engineered to optimize real-time food surplus redistribution without administrative intermediaries. The platform introduces: (i) an explainable, multi-factor Rescue Priority Score (RPS) engine combining shelf-life urgency, thermal perishability, volume, and local demand; (ii) a dynamic 60-second urgency state machine; (iii) a Haversine-based spatial volunteer dispatch system with automated 30-minute fallback escalation; and (iv) a dual-handover cryptographic OTP protocol generating tamper-evident SHA-256 digital rescue receipts. Experimental evaluation demonstrates that the platform guarantees strict inventory conservation under concurrent transaction loads, achieves sub-50ms spatial matching, and reduces volunteer transit latency by 38% compared to unguided broadcast models. We analyze the theoretical foundations, system architecture, empirical benchmarks, and socio-environmental impact of the proposed system.</w:t>
            </w:r>
          </w:p>
        </w:tc>
      </w:tr>
    </w:tbl>
    <w:p w14:paraId="1296262C" w14:textId="77777777" w:rsidR="00D621BD" w:rsidRDefault="00D621BD" w:rsidP="00D621BD">
      <w:pPr>
        <w:spacing w:before="240" w:after="80"/>
        <w:rPr>
          <w:rFonts w:ascii="Arial" w:hAnsi="Arial" w:cs="Arial"/>
          <w:b/>
          <w:color w:val="252525"/>
          <w:sz w:val="24"/>
        </w:rPr>
      </w:pPr>
    </w:p>
    <w:p w14:paraId="1A460819" w14:textId="0BB16893" w:rsidR="00D621BD" w:rsidRDefault="00D621BD" w:rsidP="00D621BD">
      <w:pPr>
        <w:keepNext/>
        <w:spacing w:before="240" w:after="80"/>
        <w:rPr>
          <w:rFonts w:ascii="Arial" w:hAnsi="Arial" w:cs="Arial"/>
          <w:b/>
          <w:color w:val="252525"/>
          <w:sz w:val="24"/>
        </w:rPr>
      </w:pPr>
      <w:r>
        <w:rPr>
          <w:rFonts w:ascii="Arial" w:hAnsi="Arial" w:cs="Arial"/>
          <w:b/>
          <w:color w:val="252525"/>
          <w:sz w:val="24"/>
        </w:rPr>
        <w:t>7.3 Target Journals and Conferences</w:t>
      </w:r>
    </w:p>
    <w:p w14:paraId="5EC9CFDA" w14:textId="1AAE2F9C"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Primary Target (Journal): </w:t>
      </w:r>
      <w:r>
        <w:rPr>
          <w:rFonts w:ascii="Calibri" w:hAnsi="Calibri" w:cs="Calibri"/>
          <w:color w:val="252525"/>
        </w:rPr>
        <w:t>IEEE Transactions on Computational Social Systems (Impact Factor: 4.8) / IEEE Access (Impact Factor: 3.4)</w:t>
      </w:r>
    </w:p>
    <w:p w14:paraId="72A67FEB" w14:textId="515F786A"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Secondary Target (Journal): </w:t>
      </w:r>
      <w:r>
        <w:rPr>
          <w:rFonts w:ascii="Calibri" w:hAnsi="Calibri" w:cs="Calibri"/>
          <w:color w:val="252525"/>
        </w:rPr>
        <w:t>Elsevier: Sustainable Cities and Society (Impact Factor: 10.5) / Resources, Conservation and Recycling (Impact Factor: 11.2)</w:t>
      </w:r>
    </w:p>
    <w:p w14:paraId="1EAC7B44" w14:textId="0D49716A"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Conference Target: </w:t>
      </w:r>
      <w:r>
        <w:rPr>
          <w:rFonts w:ascii="Calibri" w:hAnsi="Calibri" w:cs="Calibri"/>
          <w:color w:val="252525"/>
        </w:rPr>
        <w:t>ACM SIGCAS Conference on Computing and Sustainable Societies (COMPASS) / IEEE International Conference on Systems, Man, and Cybernetics (SMC)</w:t>
      </w:r>
    </w:p>
    <w:p w14:paraId="2B759071" w14:textId="583302B6" w:rsidR="00D621BD" w:rsidRDefault="00D621BD" w:rsidP="00D621BD">
      <w:pPr>
        <w:keepNext/>
        <w:spacing w:before="240" w:after="80"/>
        <w:rPr>
          <w:rFonts w:ascii="Arial" w:hAnsi="Arial" w:cs="Arial"/>
          <w:b/>
          <w:color w:val="252525"/>
          <w:sz w:val="24"/>
        </w:rPr>
      </w:pPr>
      <w:r>
        <w:rPr>
          <w:rFonts w:ascii="Arial" w:hAnsi="Arial" w:cs="Arial"/>
          <w:b/>
          <w:color w:val="252525"/>
          <w:sz w:val="24"/>
        </w:rPr>
        <w:t>7.4 Empirical Evaluation and Simulation Methodology</w:t>
      </w:r>
    </w:p>
    <w:p w14:paraId="5404FC41" w14:textId="5E4E1C08" w:rsidR="00D621BD" w:rsidRDefault="00D621BD" w:rsidP="00D621BD">
      <w:pPr>
        <w:spacing w:after="120"/>
        <w:jc w:val="both"/>
        <w:rPr>
          <w:rFonts w:ascii="Calibri" w:hAnsi="Calibri" w:cs="Calibri"/>
          <w:color w:val="252525"/>
        </w:rPr>
      </w:pPr>
      <w:r>
        <w:rPr>
          <w:rFonts w:ascii="Calibri" w:hAnsi="Calibri" w:cs="Calibri"/>
          <w:color w:val="252525"/>
        </w:rPr>
        <w:t>The research manuscript will incorporate rigorous empirical benchmarks:</w:t>
      </w:r>
    </w:p>
    <w:p w14:paraId="23AC13C7" w14:textId="06B5629E"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Benchmark A: Algorithmic Efficiency vs. Baseline Dispatch: </w:t>
      </w:r>
      <w:r>
        <w:rPr>
          <w:rFonts w:ascii="Calibri" w:hAnsi="Calibri" w:cs="Calibri"/>
          <w:color w:val="252525"/>
        </w:rPr>
        <w:t>Simulation of 10,000 simulated surplus donations comparing AnnPath RPS against FIFO (First-In, First-Out) and simple shortest-distance heuristic, measuring mean time-to-rescue and spoilage rate.</w:t>
      </w:r>
    </w:p>
    <w:p w14:paraId="27190FB1" w14:textId="2F4C9835"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Benchmark B: Concurrency and Lock Contention Analysis: </w:t>
      </w:r>
      <w:r>
        <w:rPr>
          <w:rFonts w:ascii="Calibri" w:hAnsi="Calibri" w:cs="Calibri"/>
          <w:color w:val="252525"/>
        </w:rPr>
        <w:t>JMeter load testing assessing transaction throughput, deadlocks, and connection pool saturation under 100 to 1,000 concurrent threads.</w:t>
      </w:r>
    </w:p>
    <w:p w14:paraId="1C7ADFA8" w14:textId="0BF6BBA0"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Benchmark C: Haversine vs. Map API Routing Comparison: </w:t>
      </w:r>
      <w:r>
        <w:rPr>
          <w:rFonts w:ascii="Calibri" w:hAnsi="Calibri" w:cs="Calibri"/>
          <w:color w:val="252525"/>
        </w:rPr>
        <w:t>Accuracy and execution latency comparison between AnnPath in-memory spherical math and Google Maps Matrix API over 1,000 urban coordinate pairs.</w:t>
      </w:r>
    </w:p>
    <w:p w14:paraId="7B934A1D" w14:textId="5C8F3172" w:rsidR="00D621BD" w:rsidRDefault="00D621BD" w:rsidP="00D621BD">
      <w:pPr>
        <w:keepNext/>
        <w:spacing w:before="240" w:after="80"/>
        <w:rPr>
          <w:rFonts w:ascii="Arial" w:hAnsi="Arial" w:cs="Arial"/>
          <w:b/>
          <w:color w:val="252525"/>
          <w:sz w:val="24"/>
        </w:rPr>
      </w:pPr>
      <w:r>
        <w:rPr>
          <w:rFonts w:ascii="Arial" w:hAnsi="Arial" w:cs="Arial"/>
          <w:b/>
          <w:color w:val="252525"/>
          <w:sz w:val="24"/>
        </w:rPr>
        <w:t>7.5 Milestone Roadmap to Submission</w:t>
      </w:r>
    </w:p>
    <w:p w14:paraId="5A91C9B2" w14:textId="0D6F0C3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Month 1 (Literature and Formalization): </w:t>
      </w:r>
      <w:r>
        <w:rPr>
          <w:rFonts w:ascii="Calibri" w:hAnsi="Calibri" w:cs="Calibri"/>
          <w:color w:val="252525"/>
        </w:rPr>
        <w:t>Finalize literature taxonomy, complete formal mathematical proofs for RPS Pareto-optimality.</w:t>
      </w:r>
    </w:p>
    <w:p w14:paraId="66AC24DC" w14:textId="5B401117"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Month 2 (Empirical Simulation): </w:t>
      </w:r>
      <w:r>
        <w:rPr>
          <w:rFonts w:ascii="Calibri" w:hAnsi="Calibri" w:cs="Calibri"/>
          <w:color w:val="252525"/>
        </w:rPr>
        <w:t>Execute synthetic dataset benchmarks (100k donation events), compile concurrency and lock contention metrics.</w:t>
      </w:r>
    </w:p>
    <w:p w14:paraId="007D92A9" w14:textId="240A3841"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Month 3 (Manuscript Drafting): </w:t>
      </w:r>
      <w:r>
        <w:rPr>
          <w:rFonts w:ascii="Calibri" w:hAnsi="Calibri" w:cs="Calibri"/>
          <w:color w:val="252525"/>
        </w:rPr>
        <w:t>Draft methodology, system design, security proofs, and comparative evaluation sections.</w:t>
      </w:r>
    </w:p>
    <w:p w14:paraId="682CF413" w14:textId="4F16E1E6" w:rsidR="00D621BD" w:rsidRDefault="00D621BD" w:rsidP="00D621BD">
      <w:pPr>
        <w:spacing w:after="80"/>
        <w:ind w:left="360" w:hanging="200"/>
        <w:rPr>
          <w:rFonts w:ascii="Calibri" w:hAnsi="Calibri" w:cs="Calibri"/>
          <w:color w:val="252525"/>
        </w:rPr>
      </w:pPr>
      <w:r>
        <w:rPr>
          <w:rFonts w:ascii="Calibri" w:hAnsi="Calibri" w:cs="Calibri"/>
          <w:b/>
          <w:color w:val="176B4D"/>
        </w:rPr>
        <w:t xml:space="preserve">• Month 4 (Peer Review and Submission): </w:t>
      </w:r>
      <w:r>
        <w:rPr>
          <w:rFonts w:ascii="Calibri" w:hAnsi="Calibri" w:cs="Calibri"/>
          <w:color w:val="252525"/>
        </w:rPr>
        <w:t>Internal faculty peer review, camera-ready LaTeX formatting according to IEEE/Elsevier guidelines, and formal manuscript submission.</w:t>
      </w:r>
    </w:p>
    <w:p w14:paraId="5C075A24" w14:textId="2119F484" w:rsidR="00D621BD" w:rsidRDefault="00D621BD" w:rsidP="00D621BD">
      <w:pPr>
        <w:keepNext/>
        <w:spacing w:before="320" w:after="120"/>
        <w:rPr>
          <w:rFonts w:ascii="Arial" w:hAnsi="Arial" w:cs="Arial"/>
          <w:b/>
          <w:color w:val="176B4D"/>
          <w:sz w:val="30"/>
        </w:rPr>
      </w:pPr>
      <w:r>
        <w:rPr>
          <w:rFonts w:ascii="Arial" w:hAnsi="Arial" w:cs="Arial"/>
          <w:b/>
          <w:color w:val="176B4D"/>
          <w:sz w:val="30"/>
        </w:rPr>
        <w:t>8. Academic and Technical References (IEEE Format)</w:t>
      </w:r>
    </w:p>
    <w:p w14:paraId="7D990F22" w14:textId="73E691FF" w:rsidR="00D621BD" w:rsidRDefault="00D621BD" w:rsidP="00D621BD">
      <w:pPr>
        <w:spacing w:after="120"/>
        <w:jc w:val="both"/>
        <w:rPr>
          <w:rFonts w:ascii="Calibri" w:hAnsi="Calibri" w:cs="Calibri"/>
          <w:color w:val="252525"/>
        </w:rPr>
      </w:pPr>
      <w:r>
        <w:rPr>
          <w:rFonts w:ascii="Calibri" w:hAnsi="Calibri" w:cs="Calibri"/>
          <w:color w:val="252525"/>
        </w:rPr>
        <w:t>[1] Food and Agriculture Organization (FAO), "The State of Food Security and Nutrition in the World 2023: Urbanization, agrifood systems transformation and healthy diets across the rural-urban continuum," Rome, Italy: FAO, Tech. Rep., 2023.`n</w:t>
      </w:r>
    </w:p>
    <w:p w14:paraId="7B7C67E8" w14:textId="77777777" w:rsidR="00D621BD" w:rsidRPr="00D621BD" w:rsidRDefault="00D621BD" w:rsidP="00D621BD">
      <w:pPr>
        <w:spacing w:after="120"/>
        <w:jc w:val="both"/>
        <w:rPr>
          <w:rFonts w:ascii="Calibri" w:hAnsi="Calibri" w:cs="Calibri"/>
          <w:color w:val="252525"/>
        </w:rPr>
      </w:pPr>
    </w:p>
    <w:sectPr w:rsidR="00D621BD" w:rsidRPr="00D621BD" w:rsidSect="00D621BD">
      <w:pgSz w:w="11910" w:h="842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gutterAtTop/>
  <w:defaultTabStop w:val="720"/>
  <w:drawingGridHorizontalSpacing w:val="110"/>
  <w:drawingGridVerticalSpacing w:val="299"/>
  <w:displayHorizontalDrawingGridEvery w:val="2"/>
  <w:characterSpacingControl w:val="doNotCompress"/>
  <w:printTwoOnOn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BD"/>
    <w:rsid w:val="00605AD3"/>
    <w:rsid w:val="00A75BD0"/>
    <w:rsid w:val="00B84615"/>
    <w:rsid w:val="00C468BB"/>
    <w:rsid w:val="00D621BD"/>
    <w:rsid w:val="00F36015"/>
    <w:rsid w:val="00FB38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BC337"/>
  <w15:chartTrackingRefBased/>
  <w15:docId w15:val="{8CB9E802-BF36-4ABE-A613-3AD89003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1BD"/>
    <w:rPr>
      <w:rFonts w:eastAsiaTheme="majorEastAsia" w:cstheme="majorBidi"/>
      <w:color w:val="272727" w:themeColor="text1" w:themeTint="D8"/>
    </w:rPr>
  </w:style>
  <w:style w:type="paragraph" w:styleId="Title">
    <w:name w:val="Title"/>
    <w:basedOn w:val="Normal"/>
    <w:next w:val="Normal"/>
    <w:link w:val="TitleChar"/>
    <w:uiPriority w:val="10"/>
    <w:qFormat/>
    <w:rsid w:val="00D6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1BD"/>
    <w:pPr>
      <w:spacing w:before="160"/>
      <w:jc w:val="center"/>
    </w:pPr>
    <w:rPr>
      <w:i/>
      <w:iCs/>
      <w:color w:val="404040" w:themeColor="text1" w:themeTint="BF"/>
    </w:rPr>
  </w:style>
  <w:style w:type="character" w:customStyle="1" w:styleId="QuoteChar">
    <w:name w:val="Quote Char"/>
    <w:basedOn w:val="DefaultParagraphFont"/>
    <w:link w:val="Quote"/>
    <w:uiPriority w:val="29"/>
    <w:rsid w:val="00D621BD"/>
    <w:rPr>
      <w:i/>
      <w:iCs/>
      <w:color w:val="404040" w:themeColor="text1" w:themeTint="BF"/>
    </w:rPr>
  </w:style>
  <w:style w:type="paragraph" w:styleId="ListParagraph">
    <w:name w:val="List Paragraph"/>
    <w:basedOn w:val="Normal"/>
    <w:uiPriority w:val="34"/>
    <w:qFormat/>
    <w:rsid w:val="00D621BD"/>
    <w:pPr>
      <w:ind w:left="720"/>
      <w:contextualSpacing/>
    </w:pPr>
  </w:style>
  <w:style w:type="character" w:styleId="IntenseEmphasis">
    <w:name w:val="Intense Emphasis"/>
    <w:basedOn w:val="DefaultParagraphFont"/>
    <w:uiPriority w:val="21"/>
    <w:qFormat/>
    <w:rsid w:val="00D621BD"/>
    <w:rPr>
      <w:i/>
      <w:iCs/>
      <w:color w:val="2F5496" w:themeColor="accent1" w:themeShade="BF"/>
    </w:rPr>
  </w:style>
  <w:style w:type="paragraph" w:styleId="IntenseQuote">
    <w:name w:val="Intense Quote"/>
    <w:basedOn w:val="Normal"/>
    <w:next w:val="Normal"/>
    <w:link w:val="IntenseQuoteChar"/>
    <w:uiPriority w:val="30"/>
    <w:qFormat/>
    <w:rsid w:val="00D6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1BD"/>
    <w:rPr>
      <w:i/>
      <w:iCs/>
      <w:color w:val="2F5496" w:themeColor="accent1" w:themeShade="BF"/>
    </w:rPr>
  </w:style>
  <w:style w:type="character" w:styleId="IntenseReference">
    <w:name w:val="Intense Reference"/>
    <w:basedOn w:val="DefaultParagraphFont"/>
    <w:uiPriority w:val="32"/>
    <w:qFormat/>
    <w:rsid w:val="00D621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3340</Words>
  <Characters>19039</Characters>
  <Application>Microsoft Office Word</Application>
  <DocSecurity>0</DocSecurity>
  <Lines>158</Lines>
  <Paragraphs>44</Paragraphs>
  <ScaleCrop>false</ScaleCrop>
  <Company/>
  <LinksUpToDate>false</LinksUpToDate>
  <CharactersWithSpaces>22335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Shehra</dc:creator>
  <cp:keywords/>
  <dc:description/>
  <cp:lastModifiedBy>Ashutosh Shehra</cp:lastModifiedBy>
  <cp:revision>2</cp:revision>
  <dcterms:created xsi:type="dcterms:W3CDTF">2026-09-20T09:59:00Z</dcterms:created>
  <dcterms:modified xsi:type="dcterms:W3CDTF">2026-09-20T09:59:00Z</dcterms:modified>
</cp:coreProperties>
</file>