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8E8E8" w:themeColor="background2"/>
  <w:body>
    <w:p w14:paraId="054765DC" w14:textId="77777777" w:rsidR="003D47A5" w:rsidRPr="003D47A5" w:rsidRDefault="003D47A5" w:rsidP="003D47A5">
      <w:pPr>
        <w:pStyle w:val="Title"/>
        <w:jc w:val="center"/>
        <w:rPr>
          <w:rFonts w:eastAsia="HGPGothicE"/>
          <w:b/>
          <w:bCs/>
        </w:rPr>
      </w:pPr>
      <w:r w:rsidRPr="003D47A5">
        <w:rPr>
          <w:rFonts w:eastAsia="HGPGothicE"/>
          <w:b/>
          <w:bCs/>
        </w:rPr>
        <w:t>HALO Stocks: The Physical Economy Premium</w:t>
      </w:r>
    </w:p>
    <w:p w14:paraId="1F1B4998" w14:textId="77777777" w:rsidR="003D47A5" w:rsidRPr="003D47A5" w:rsidRDefault="003D47A5" w:rsidP="003D47A5">
      <w:pPr>
        <w:pStyle w:val="NoSpacing"/>
        <w:jc w:val="center"/>
        <w:rPr>
          <w:rStyle w:val="SubtleEmphasis"/>
        </w:rPr>
      </w:pPr>
      <w:r w:rsidRPr="003D47A5">
        <w:rPr>
          <w:rStyle w:val="SubtleEmphasis"/>
        </w:rPr>
        <w:t>Thematic Equity Research | India Focus</w:t>
      </w:r>
      <w:r w:rsidRPr="003D47A5">
        <w:rPr>
          <w:rStyle w:val="SubtleEmphasis"/>
        </w:rPr>
        <w:br/>
        <w:t>Rating: OVERWEIGHT | Date: April 20, 2026</w:t>
      </w:r>
    </w:p>
    <w:p w14:paraId="74E3072F" w14:textId="77777777" w:rsidR="003D47A5" w:rsidRPr="003D47A5" w:rsidRDefault="003D47A5" w:rsidP="003D47A5">
      <w:pPr>
        <w:pStyle w:val="NoSpacing"/>
        <w:jc w:val="center"/>
      </w:pPr>
      <w:r w:rsidRPr="003D47A5">
        <w:pict w14:anchorId="0995B484">
          <v:rect id="_x0000_i1155" style="width:0;height:1.5pt" o:hralign="center" o:hrstd="t" o:hr="t" fillcolor="#a0a0a0" stroked="f"/>
        </w:pict>
      </w:r>
    </w:p>
    <w:p w14:paraId="44979467" w14:textId="77777777" w:rsidR="003D47A5" w:rsidRPr="003D47A5" w:rsidRDefault="003D47A5" w:rsidP="003D47A5">
      <w:pPr>
        <w:pStyle w:val="Heading1"/>
        <w:rPr>
          <w:rFonts w:eastAsia="HGPGothicE"/>
          <w:color w:val="000000" w:themeColor="text1"/>
          <w:sz w:val="28"/>
          <w:szCs w:val="28"/>
        </w:rPr>
      </w:pPr>
      <w:r w:rsidRPr="003D47A5">
        <w:rPr>
          <w:rFonts w:eastAsia="HGPGothicE"/>
          <w:color w:val="000000" w:themeColor="text1"/>
          <w:sz w:val="28"/>
          <w:szCs w:val="28"/>
        </w:rPr>
        <w:t>INVESTMENT SUMMARY</w:t>
      </w:r>
    </w:p>
    <w:p w14:paraId="062516DA" w14:textId="77777777" w:rsidR="003D47A5" w:rsidRPr="003D47A5" w:rsidRDefault="003D47A5" w:rsidP="003D47A5">
      <w:pPr>
        <w:pStyle w:val="NoSpacing"/>
        <w:rPr>
          <w:color w:val="000000" w:themeColor="text1"/>
          <w:sz w:val="18"/>
          <w:szCs w:val="18"/>
        </w:rPr>
      </w:pPr>
      <w:r w:rsidRPr="003D47A5">
        <w:rPr>
          <w:color w:val="000000" w:themeColor="text1"/>
          <w:sz w:val="18"/>
          <w:szCs w:val="18"/>
        </w:rPr>
        <w:t xml:space="preserve">I initiate coverage on the Indian HALO universe with an </w:t>
      </w:r>
      <w:r w:rsidRPr="003D47A5">
        <w:rPr>
          <w:b/>
          <w:bCs/>
          <w:color w:val="000000" w:themeColor="text1"/>
          <w:sz w:val="18"/>
          <w:szCs w:val="18"/>
        </w:rPr>
        <w:t>OVERWEIGHT</w:t>
      </w:r>
      <w:r w:rsidRPr="003D47A5">
        <w:rPr>
          <w:color w:val="000000" w:themeColor="text1"/>
          <w:sz w:val="18"/>
          <w:szCs w:val="18"/>
        </w:rPr>
        <w:t xml:space="preserve"> stance, reflecting a structurally supported, policy-driven earnings cycle anchored in capital intensity, low obsolescence risk, and multi-year revenue visibility. The HALO framework (Heavy Assets, Low Obsolescence) captures businesses with high fixed asset bases, long asset lives, and limited susceptibility to technological disruption, translating into durable cash flows and predictable earnings trajectories. In contrast to DM markets where the rotation into capital-heavy sectors is reactive to AI-led disruption, India’s HALO opportunity is proactively underwritten by fiscal policy via defence indigenisation, infra-led growth, and energy transition capex, effectively creating a state-backed demand floor and materially reducing revenue uncertainty.</w:t>
      </w:r>
    </w:p>
    <w:p w14:paraId="40AA33DD" w14:textId="77777777" w:rsidR="003D47A5" w:rsidRPr="003D47A5" w:rsidRDefault="003D47A5" w:rsidP="003D47A5">
      <w:pPr>
        <w:pStyle w:val="NoSpacing"/>
        <w:rPr>
          <w:color w:val="000000" w:themeColor="text1"/>
          <w:sz w:val="18"/>
          <w:szCs w:val="18"/>
        </w:rPr>
      </w:pPr>
    </w:p>
    <w:p w14:paraId="1E19A330" w14:textId="2BB2A0EA" w:rsidR="003D47A5" w:rsidRPr="003D47A5" w:rsidRDefault="003D47A5" w:rsidP="003D47A5">
      <w:pPr>
        <w:pStyle w:val="NoSpacing"/>
        <w:rPr>
          <w:color w:val="000000" w:themeColor="text1"/>
        </w:rPr>
        <w:sectPr w:rsidR="003D47A5" w:rsidRPr="003D47A5">
          <w:pgSz w:w="11906" w:h="16838"/>
          <w:pgMar w:top="1440" w:right="1440" w:bottom="1440" w:left="1440" w:header="708" w:footer="708" w:gutter="0"/>
          <w:cols w:space="708"/>
          <w:docGrid w:linePitch="360"/>
        </w:sectPr>
      </w:pPr>
    </w:p>
    <w:p w14:paraId="5528A1B3" w14:textId="77777777" w:rsidR="003D47A5" w:rsidRPr="003D47A5" w:rsidRDefault="003D47A5" w:rsidP="003D47A5">
      <w:pPr>
        <w:pStyle w:val="Heading1"/>
        <w:rPr>
          <w:rFonts w:eastAsia="HGPGothicE"/>
          <w:color w:val="000000" w:themeColor="text1"/>
          <w:sz w:val="28"/>
          <w:szCs w:val="28"/>
        </w:rPr>
      </w:pPr>
      <w:r w:rsidRPr="003D47A5">
        <w:rPr>
          <w:rFonts w:eastAsia="HGPGothicE"/>
          <w:color w:val="000000" w:themeColor="text1"/>
          <w:sz w:val="28"/>
          <w:szCs w:val="28"/>
        </w:rPr>
        <w:t>INVESTMENT THESIS</w:t>
      </w:r>
    </w:p>
    <w:p w14:paraId="12D027D9" w14:textId="77777777" w:rsidR="003D47A5" w:rsidRPr="003D47A5" w:rsidRDefault="003D47A5" w:rsidP="003D47A5">
      <w:pPr>
        <w:pStyle w:val="NoSpacing"/>
        <w:rPr>
          <w:color w:val="000000" w:themeColor="text1"/>
          <w:sz w:val="18"/>
          <w:szCs w:val="18"/>
        </w:rPr>
      </w:pPr>
      <w:r w:rsidRPr="003D47A5">
        <w:rPr>
          <w:b/>
          <w:bCs/>
          <w:color w:val="000000" w:themeColor="text1"/>
          <w:sz w:val="18"/>
          <w:szCs w:val="18"/>
        </w:rPr>
        <w:t>Policy-led demand visibility:</w:t>
      </w:r>
      <w:r w:rsidRPr="003D47A5">
        <w:rPr>
          <w:color w:val="000000" w:themeColor="text1"/>
          <w:sz w:val="18"/>
          <w:szCs w:val="18"/>
        </w:rPr>
        <w:t xml:space="preserve"> India’s HALO sectors operate within a uniquely supportive policy regime where revenue streams are contractually anchored rather than purely market-driven. The FY26 defence outlay of </w:t>
      </w:r>
      <w:r w:rsidRPr="003D47A5">
        <w:rPr>
          <w:rFonts w:ascii="Arial" w:hAnsi="Arial" w:cs="Arial"/>
          <w:color w:val="000000" w:themeColor="text1"/>
          <w:sz w:val="18"/>
          <w:szCs w:val="18"/>
        </w:rPr>
        <w:t>₹</w:t>
      </w:r>
      <w:r w:rsidRPr="003D47A5">
        <w:rPr>
          <w:color w:val="000000" w:themeColor="text1"/>
          <w:sz w:val="18"/>
          <w:szCs w:val="18"/>
        </w:rPr>
        <w:t xml:space="preserve">6.81 lakh </w:t>
      </w:r>
      <w:proofErr w:type="spellStart"/>
      <w:r w:rsidRPr="003D47A5">
        <w:rPr>
          <w:color w:val="000000" w:themeColor="text1"/>
          <w:sz w:val="18"/>
          <w:szCs w:val="18"/>
        </w:rPr>
        <w:t>cr</w:t>
      </w:r>
      <w:proofErr w:type="spellEnd"/>
      <w:r w:rsidRPr="003D47A5">
        <w:rPr>
          <w:color w:val="000000" w:themeColor="text1"/>
          <w:sz w:val="18"/>
          <w:szCs w:val="18"/>
        </w:rPr>
        <w:t xml:space="preserve"> (+9.5% YoY), with ~75% of procurement reserved for domestic industry, alongside </w:t>
      </w:r>
      <w:r w:rsidRPr="003D47A5">
        <w:rPr>
          <w:rFonts w:ascii="Arial" w:hAnsi="Arial" w:cs="Arial"/>
          <w:color w:val="000000" w:themeColor="text1"/>
          <w:sz w:val="18"/>
          <w:szCs w:val="18"/>
        </w:rPr>
        <w:t>₹</w:t>
      </w:r>
      <w:r w:rsidRPr="003D47A5">
        <w:rPr>
          <w:color w:val="000000" w:themeColor="text1"/>
          <w:sz w:val="18"/>
          <w:szCs w:val="18"/>
        </w:rPr>
        <w:t xml:space="preserve">12.2 lakh </w:t>
      </w:r>
      <w:proofErr w:type="spellStart"/>
      <w:r w:rsidRPr="003D47A5">
        <w:rPr>
          <w:color w:val="000000" w:themeColor="text1"/>
          <w:sz w:val="18"/>
          <w:szCs w:val="18"/>
        </w:rPr>
        <w:t>cr</w:t>
      </w:r>
      <w:proofErr w:type="spellEnd"/>
      <w:r w:rsidRPr="003D47A5">
        <w:rPr>
          <w:color w:val="000000" w:themeColor="text1"/>
          <w:sz w:val="18"/>
          <w:szCs w:val="18"/>
        </w:rPr>
        <w:t xml:space="preserve"> </w:t>
      </w:r>
      <w:proofErr w:type="gramStart"/>
      <w:r w:rsidRPr="003D47A5">
        <w:rPr>
          <w:color w:val="000000" w:themeColor="text1"/>
          <w:sz w:val="18"/>
          <w:szCs w:val="18"/>
        </w:rPr>
        <w:t>infra allocation</w:t>
      </w:r>
      <w:proofErr w:type="gramEnd"/>
      <w:r w:rsidRPr="003D47A5">
        <w:rPr>
          <w:color w:val="000000" w:themeColor="text1"/>
          <w:sz w:val="18"/>
          <w:szCs w:val="18"/>
        </w:rPr>
        <w:t xml:space="preserve"> and ~</w:t>
      </w:r>
      <w:r w:rsidRPr="003D47A5">
        <w:rPr>
          <w:rFonts w:ascii="Arial" w:hAnsi="Arial" w:cs="Arial"/>
          <w:color w:val="000000" w:themeColor="text1"/>
          <w:sz w:val="18"/>
          <w:szCs w:val="18"/>
        </w:rPr>
        <w:t>₹</w:t>
      </w:r>
      <w:r w:rsidRPr="003D47A5">
        <w:rPr>
          <w:color w:val="000000" w:themeColor="text1"/>
          <w:sz w:val="18"/>
          <w:szCs w:val="18"/>
        </w:rPr>
        <w:t xml:space="preserve">40 lakh </w:t>
      </w:r>
      <w:proofErr w:type="spellStart"/>
      <w:r w:rsidRPr="003D47A5">
        <w:rPr>
          <w:color w:val="000000" w:themeColor="text1"/>
          <w:sz w:val="18"/>
          <w:szCs w:val="18"/>
        </w:rPr>
        <w:t>cr</w:t>
      </w:r>
      <w:proofErr w:type="spellEnd"/>
      <w:r w:rsidRPr="003D47A5">
        <w:rPr>
          <w:color w:val="000000" w:themeColor="text1"/>
          <w:sz w:val="18"/>
          <w:szCs w:val="18"/>
        </w:rPr>
        <w:t xml:space="preserve"> long-term power capex requirement, creates a multi-year demand pipeline with limited cyclicality. This represents budget-backed, non-elastic demand, positioning HALO names as quasi-sovereign revenue proxies.</w:t>
      </w:r>
    </w:p>
    <w:p w14:paraId="56955ED0" w14:textId="77777777" w:rsidR="003D47A5" w:rsidRPr="003D47A5" w:rsidRDefault="003D47A5" w:rsidP="003D47A5">
      <w:pPr>
        <w:pStyle w:val="NoSpacing"/>
        <w:rPr>
          <w:color w:val="000000" w:themeColor="text1"/>
          <w:sz w:val="18"/>
          <w:szCs w:val="18"/>
        </w:rPr>
      </w:pPr>
      <w:r w:rsidRPr="003D47A5">
        <w:rPr>
          <w:b/>
          <w:bCs/>
          <w:color w:val="000000" w:themeColor="text1"/>
          <w:sz w:val="18"/>
          <w:szCs w:val="18"/>
        </w:rPr>
        <w:t>Order book-driven earnings durability:</w:t>
      </w:r>
      <w:r w:rsidRPr="003D47A5">
        <w:rPr>
          <w:color w:val="000000" w:themeColor="text1"/>
          <w:sz w:val="18"/>
          <w:szCs w:val="18"/>
        </w:rPr>
        <w:t xml:space="preserve"> The sector exhibits deep forward visibility with aggregate backlog/TTM revenue at ~4.4x, implying ~4–5 years of embedded revenue. This is reflected in sustained index outperformance (Defence index: +88% FY23, +55% FY24, +19% FY25, +7.5% YTD FY26) and strong company-level execution metrics (BEL ~30% EBITDA margin with </w:t>
      </w:r>
      <w:r w:rsidRPr="003D47A5">
        <w:rPr>
          <w:rFonts w:ascii="Arial" w:hAnsi="Arial" w:cs="Arial"/>
          <w:color w:val="000000" w:themeColor="text1"/>
          <w:sz w:val="18"/>
          <w:szCs w:val="18"/>
        </w:rPr>
        <w:t>₹</w:t>
      </w:r>
      <w:r w:rsidRPr="003D47A5">
        <w:rPr>
          <w:color w:val="000000" w:themeColor="text1"/>
          <w:sz w:val="18"/>
          <w:szCs w:val="18"/>
        </w:rPr>
        <w:t xml:space="preserve">74k </w:t>
      </w:r>
      <w:proofErr w:type="spellStart"/>
      <w:r w:rsidRPr="003D47A5">
        <w:rPr>
          <w:color w:val="000000" w:themeColor="text1"/>
          <w:sz w:val="18"/>
          <w:szCs w:val="18"/>
        </w:rPr>
        <w:t>cr</w:t>
      </w:r>
      <w:proofErr w:type="spellEnd"/>
      <w:r w:rsidRPr="003D47A5">
        <w:rPr>
          <w:color w:val="000000" w:themeColor="text1"/>
          <w:sz w:val="18"/>
          <w:szCs w:val="18"/>
        </w:rPr>
        <w:t xml:space="preserve"> OB; HAL </w:t>
      </w:r>
      <w:r w:rsidRPr="003D47A5">
        <w:rPr>
          <w:rFonts w:ascii="Arial" w:hAnsi="Arial" w:cs="Arial"/>
          <w:color w:val="000000" w:themeColor="text1"/>
          <w:sz w:val="18"/>
          <w:szCs w:val="18"/>
        </w:rPr>
        <w:t>₹</w:t>
      </w:r>
      <w:r w:rsidRPr="003D47A5">
        <w:rPr>
          <w:color w:val="000000" w:themeColor="text1"/>
          <w:sz w:val="18"/>
          <w:szCs w:val="18"/>
        </w:rPr>
        <w:t xml:space="preserve">62k </w:t>
      </w:r>
      <w:proofErr w:type="spellStart"/>
      <w:r w:rsidRPr="003D47A5">
        <w:rPr>
          <w:color w:val="000000" w:themeColor="text1"/>
          <w:sz w:val="18"/>
          <w:szCs w:val="18"/>
        </w:rPr>
        <w:t>cr</w:t>
      </w:r>
      <w:proofErr w:type="spellEnd"/>
      <w:r w:rsidRPr="003D47A5">
        <w:rPr>
          <w:color w:val="000000" w:themeColor="text1"/>
          <w:sz w:val="18"/>
          <w:szCs w:val="18"/>
        </w:rPr>
        <w:t xml:space="preserve"> LCA pipeline; shipyards with &gt;25% revenue growth). Such backlog depth compresses earnings volatility, enhances operating leverage, and supports sustained valuation premia.</w:t>
      </w:r>
    </w:p>
    <w:p w14:paraId="65E10776" w14:textId="1CB36AAA" w:rsidR="003D47A5" w:rsidRPr="003D47A5" w:rsidRDefault="003D47A5" w:rsidP="003D47A5">
      <w:pPr>
        <w:pStyle w:val="NoSpacing"/>
        <w:rPr>
          <w:color w:val="000000" w:themeColor="text1"/>
          <w:sz w:val="18"/>
          <w:szCs w:val="18"/>
        </w:rPr>
      </w:pPr>
      <w:r w:rsidRPr="003D47A5">
        <w:rPr>
          <w:b/>
          <w:bCs/>
          <w:color w:val="000000" w:themeColor="text1"/>
          <w:sz w:val="18"/>
          <w:szCs w:val="18"/>
        </w:rPr>
        <w:t>Capital intensity as a moat:</w:t>
      </w:r>
      <w:r w:rsidRPr="003D47A5">
        <w:rPr>
          <w:color w:val="000000" w:themeColor="text1"/>
          <w:sz w:val="18"/>
          <w:szCs w:val="18"/>
        </w:rPr>
        <w:t xml:space="preserve"> HALO businesses derive competitive advantage from asset ownership, engineering complexity, and regulatory positioning rather than IP-light scalability. Core assets (defence platforms, grid infra, energy systems) are non-replicable via software substitution and exhibit long economic lives, leading to high entry barriers and low disruption risk. Incremental capex directly expands the earning asset base (particularly in regulated utilities), reinforcing a compounding model with visibility on returns and cash flows.</w:t>
      </w:r>
    </w:p>
    <w:p w14:paraId="04E817FB" w14:textId="77777777" w:rsidR="003D47A5" w:rsidRPr="003D47A5" w:rsidRDefault="003D47A5" w:rsidP="003D47A5">
      <w:pPr>
        <w:pStyle w:val="Heading1"/>
        <w:rPr>
          <w:rFonts w:eastAsia="HGPGothicE"/>
          <w:color w:val="000000" w:themeColor="text1"/>
          <w:sz w:val="28"/>
          <w:szCs w:val="28"/>
        </w:rPr>
      </w:pPr>
      <w:r w:rsidRPr="003D47A5">
        <w:rPr>
          <w:rFonts w:eastAsia="HGPGothicE"/>
          <w:color w:val="000000" w:themeColor="text1"/>
          <w:sz w:val="28"/>
          <w:szCs w:val="28"/>
        </w:rPr>
        <w:t>SECTOR STRUCTURE &amp; POSITIONING</w:t>
      </w:r>
    </w:p>
    <w:p w14:paraId="56ECB10E" w14:textId="77777777" w:rsidR="003D47A5" w:rsidRPr="003D47A5" w:rsidRDefault="003D47A5" w:rsidP="003D47A5">
      <w:pPr>
        <w:pStyle w:val="NoSpacing"/>
        <w:rPr>
          <w:color w:val="000000" w:themeColor="text1"/>
          <w:sz w:val="18"/>
          <w:szCs w:val="18"/>
        </w:rPr>
      </w:pPr>
      <w:r w:rsidRPr="003D47A5">
        <w:rPr>
          <w:color w:val="000000" w:themeColor="text1"/>
          <w:sz w:val="18"/>
          <w:szCs w:val="18"/>
        </w:rPr>
        <w:t xml:space="preserve">The Indian HALO ecosystem spans defence electronics (high-margin, export-linked systems with ~30% EBITDA), aerospace (monopolistic manufacturing structures with platform-based revenue visibility), naval shipbuilding (strategic assets with decade-long order cycles), ammunition/dual-use manufacturing (export-scalable, structurally undersupplied segment), and power utilities (regulated </w:t>
      </w:r>
      <w:proofErr w:type="spellStart"/>
      <w:r w:rsidRPr="003D47A5">
        <w:rPr>
          <w:color w:val="000000" w:themeColor="text1"/>
          <w:sz w:val="18"/>
          <w:szCs w:val="18"/>
        </w:rPr>
        <w:t>RoE</w:t>
      </w:r>
      <w:proofErr w:type="spellEnd"/>
      <w:r w:rsidRPr="003D47A5">
        <w:rPr>
          <w:color w:val="000000" w:themeColor="text1"/>
          <w:sz w:val="18"/>
          <w:szCs w:val="18"/>
        </w:rPr>
        <w:t xml:space="preserve"> ~15.5%, high dividend yield, annuity-like earnings). These segments collectively exhibit a rare combination of growth visibility and balance sheet stability, with state-linked demand acting as a counter-cyclical buffer.</w:t>
      </w:r>
    </w:p>
    <w:p w14:paraId="51513AC1" w14:textId="482A1AD8" w:rsidR="003D47A5" w:rsidRPr="003D47A5" w:rsidRDefault="003D47A5" w:rsidP="003D47A5">
      <w:pPr>
        <w:pStyle w:val="NoSpacing"/>
        <w:rPr>
          <w:color w:val="000000" w:themeColor="text1"/>
          <w:sz w:val="18"/>
          <w:szCs w:val="18"/>
        </w:rPr>
      </w:pPr>
    </w:p>
    <w:p w14:paraId="02CB4D4D" w14:textId="77777777" w:rsidR="003D47A5" w:rsidRPr="003D47A5" w:rsidRDefault="003D47A5" w:rsidP="003D47A5">
      <w:pPr>
        <w:pStyle w:val="Heading1"/>
        <w:rPr>
          <w:rFonts w:eastAsia="HGPGothicE"/>
          <w:color w:val="000000" w:themeColor="text1"/>
          <w:sz w:val="2"/>
          <w:szCs w:val="2"/>
        </w:rPr>
      </w:pPr>
    </w:p>
    <w:p w14:paraId="3447E1B2" w14:textId="4F90D86A" w:rsidR="003D47A5" w:rsidRPr="003D47A5" w:rsidRDefault="003D47A5" w:rsidP="003D47A5">
      <w:pPr>
        <w:pStyle w:val="Heading1"/>
        <w:rPr>
          <w:rFonts w:eastAsia="HGPGothicE"/>
          <w:color w:val="000000" w:themeColor="text1"/>
          <w:sz w:val="28"/>
          <w:szCs w:val="28"/>
        </w:rPr>
      </w:pPr>
      <w:r w:rsidRPr="003D47A5">
        <w:rPr>
          <w:rFonts w:eastAsia="HGPGothicE"/>
          <w:color w:val="000000" w:themeColor="text1"/>
          <w:sz w:val="28"/>
          <w:szCs w:val="28"/>
        </w:rPr>
        <w:t>VALUATION</w:t>
      </w:r>
    </w:p>
    <w:p w14:paraId="44AA2C80" w14:textId="77777777" w:rsidR="003D47A5" w:rsidRPr="003D47A5" w:rsidRDefault="003D47A5" w:rsidP="003D47A5">
      <w:pPr>
        <w:pStyle w:val="NoSpacing"/>
        <w:rPr>
          <w:color w:val="000000" w:themeColor="text1"/>
          <w:sz w:val="18"/>
          <w:szCs w:val="18"/>
        </w:rPr>
      </w:pPr>
      <w:r w:rsidRPr="003D47A5">
        <w:rPr>
          <w:color w:val="000000" w:themeColor="text1"/>
          <w:sz w:val="18"/>
          <w:szCs w:val="18"/>
        </w:rPr>
        <w:t xml:space="preserve">HALO names currently trade at elevated multiples (defence/shipbuilding ~50–61x PE), reflecting early-stage re-rating. While near-term downside risk exists from execution slippage or guidance misses, I view current valuations as supported by visibility-adjusted earnings rather than speculative expansion. A 4.4x backlog/revenue ratio effectively embeds forward earnings, warranting sustained premium multiples relative to cyclical industrials. Utilities remain relatively attractive on a yield plus regulated return framework (4–4.5% dividend yield with ~15.5% </w:t>
      </w:r>
      <w:proofErr w:type="spellStart"/>
      <w:r w:rsidRPr="003D47A5">
        <w:rPr>
          <w:color w:val="000000" w:themeColor="text1"/>
          <w:sz w:val="18"/>
          <w:szCs w:val="18"/>
        </w:rPr>
        <w:t>RoE</w:t>
      </w:r>
      <w:proofErr w:type="spellEnd"/>
      <w:r w:rsidRPr="003D47A5">
        <w:rPr>
          <w:color w:val="000000" w:themeColor="text1"/>
          <w:sz w:val="18"/>
          <w:szCs w:val="18"/>
        </w:rPr>
        <w:t xml:space="preserve"> visibility), offering a lower-risk entry within the HALO spectrum.</w:t>
      </w:r>
    </w:p>
    <w:p w14:paraId="4F7A053D" w14:textId="5344BF52" w:rsidR="003D47A5" w:rsidRPr="003D47A5" w:rsidRDefault="003D47A5" w:rsidP="003D47A5">
      <w:pPr>
        <w:pStyle w:val="NoSpacing"/>
        <w:rPr>
          <w:color w:val="000000" w:themeColor="text1"/>
          <w:sz w:val="18"/>
          <w:szCs w:val="18"/>
        </w:rPr>
      </w:pPr>
    </w:p>
    <w:p w14:paraId="1727CDBA" w14:textId="77777777" w:rsidR="003D47A5" w:rsidRPr="003D47A5" w:rsidRDefault="003D47A5" w:rsidP="003D47A5">
      <w:pPr>
        <w:pStyle w:val="Heading1"/>
        <w:rPr>
          <w:rFonts w:eastAsia="HGPGothicE"/>
          <w:color w:val="000000" w:themeColor="text1"/>
          <w:sz w:val="28"/>
          <w:szCs w:val="28"/>
        </w:rPr>
      </w:pPr>
      <w:r w:rsidRPr="003D47A5">
        <w:rPr>
          <w:rFonts w:eastAsia="HGPGothicE"/>
          <w:color w:val="000000" w:themeColor="text1"/>
          <w:sz w:val="28"/>
          <w:szCs w:val="28"/>
        </w:rPr>
        <w:lastRenderedPageBreak/>
        <w:t>GLOBAL CONTEXT</w:t>
      </w:r>
    </w:p>
    <w:p w14:paraId="6D0C26DE" w14:textId="77777777" w:rsidR="003D47A5" w:rsidRPr="003D47A5" w:rsidRDefault="003D47A5" w:rsidP="003D47A5">
      <w:pPr>
        <w:pStyle w:val="NoSpacing"/>
        <w:rPr>
          <w:color w:val="000000" w:themeColor="text1"/>
          <w:sz w:val="18"/>
          <w:szCs w:val="18"/>
        </w:rPr>
      </w:pPr>
      <w:r w:rsidRPr="003D47A5">
        <w:rPr>
          <w:color w:val="000000" w:themeColor="text1"/>
          <w:sz w:val="18"/>
          <w:szCs w:val="18"/>
        </w:rPr>
        <w:t>The HALO shift is part of a broader global rotation toward capital-intensive assets, with physical economy stocks outperforming capital-light peers by ~35% since 2025. Sectoral trends (Energy ~23%, Industrials ~15%, Materials ~16% YTD 2026) reflect this shift, driven in part by AI-led capex cycles where digital growth increasingly depends on physical infrastructure such as power, data centres, and materials. This reinforces the structural relevance of HALO assets across both EM and DM markets.</w:t>
      </w:r>
    </w:p>
    <w:p w14:paraId="063C0BBD" w14:textId="12549E2C" w:rsidR="003D47A5" w:rsidRPr="003D47A5" w:rsidRDefault="003D47A5" w:rsidP="003D47A5">
      <w:pPr>
        <w:pStyle w:val="NoSpacing"/>
        <w:rPr>
          <w:color w:val="000000" w:themeColor="text1"/>
          <w:sz w:val="18"/>
          <w:szCs w:val="18"/>
        </w:rPr>
      </w:pPr>
    </w:p>
    <w:p w14:paraId="489AF327" w14:textId="77777777" w:rsidR="003D47A5" w:rsidRPr="003D47A5" w:rsidRDefault="003D47A5" w:rsidP="003D47A5">
      <w:pPr>
        <w:pStyle w:val="Heading1"/>
        <w:rPr>
          <w:rFonts w:eastAsia="HGPGothicE"/>
          <w:color w:val="000000" w:themeColor="text1"/>
          <w:sz w:val="28"/>
          <w:szCs w:val="28"/>
        </w:rPr>
      </w:pPr>
      <w:r w:rsidRPr="003D47A5">
        <w:rPr>
          <w:rFonts w:eastAsia="HGPGothicE"/>
          <w:color w:val="000000" w:themeColor="text1"/>
          <w:sz w:val="28"/>
          <w:szCs w:val="28"/>
        </w:rPr>
        <w:t>RISKS</w:t>
      </w:r>
    </w:p>
    <w:p w14:paraId="7B6F006C" w14:textId="77777777" w:rsidR="003D47A5" w:rsidRPr="003D47A5" w:rsidRDefault="003D47A5" w:rsidP="003D47A5">
      <w:pPr>
        <w:pStyle w:val="NoSpacing"/>
        <w:rPr>
          <w:color w:val="000000" w:themeColor="text1"/>
          <w:sz w:val="18"/>
          <w:szCs w:val="18"/>
        </w:rPr>
      </w:pPr>
      <w:r w:rsidRPr="003D47A5">
        <w:rPr>
          <w:color w:val="000000" w:themeColor="text1"/>
          <w:sz w:val="18"/>
          <w:szCs w:val="18"/>
        </w:rPr>
        <w:t>Key risks include execution slippage (order book to revenue conversion delays), input cost inflation (steel, aluminium, rare earths), valuation compression at elevated multiples, geopolitical de-escalation impacting defence premia, PSU disinvestment overhang, and selective AI-driven disruption in electronics and simulation sub-segments. However, core HALO assets remain largely insulated from direct technological displacement.</w:t>
      </w:r>
    </w:p>
    <w:p w14:paraId="12FB92A6" w14:textId="77777777" w:rsidR="003D47A5" w:rsidRPr="003D47A5" w:rsidRDefault="003D47A5" w:rsidP="003D47A5">
      <w:pPr>
        <w:pStyle w:val="NoSpacing"/>
        <w:rPr>
          <w:color w:val="000000" w:themeColor="text1"/>
          <w:sz w:val="18"/>
          <w:szCs w:val="18"/>
        </w:rPr>
      </w:pPr>
    </w:p>
    <w:p w14:paraId="6C702698" w14:textId="2A0FCD95" w:rsidR="003D47A5" w:rsidRPr="003D47A5" w:rsidRDefault="003D47A5" w:rsidP="003D47A5">
      <w:pPr>
        <w:pStyle w:val="NoSpacing"/>
        <w:rPr>
          <w:color w:val="000000" w:themeColor="text1"/>
          <w:sz w:val="18"/>
          <w:szCs w:val="18"/>
        </w:rPr>
      </w:pPr>
    </w:p>
    <w:p w14:paraId="4C6140F0" w14:textId="77777777" w:rsidR="003D47A5" w:rsidRDefault="003D47A5" w:rsidP="003D47A5">
      <w:pPr>
        <w:pStyle w:val="Heading1"/>
        <w:rPr>
          <w:rFonts w:eastAsia="HGPGothicE"/>
          <w:color w:val="000000" w:themeColor="text1"/>
          <w:sz w:val="28"/>
          <w:szCs w:val="28"/>
        </w:rPr>
        <w:sectPr w:rsidR="003D47A5" w:rsidSect="003D47A5">
          <w:type w:val="continuous"/>
          <w:pgSz w:w="11906" w:h="16838"/>
          <w:pgMar w:top="1440" w:right="1440" w:bottom="1440" w:left="1440" w:header="708" w:footer="708" w:gutter="0"/>
          <w:cols w:num="2" w:space="708"/>
          <w:docGrid w:linePitch="360"/>
        </w:sectPr>
      </w:pPr>
    </w:p>
    <w:p w14:paraId="25857CB2" w14:textId="77777777" w:rsidR="003D47A5" w:rsidRPr="003D47A5" w:rsidRDefault="003D47A5" w:rsidP="003D47A5">
      <w:pPr>
        <w:pStyle w:val="Heading1"/>
        <w:rPr>
          <w:rFonts w:eastAsia="HGPGothicE"/>
          <w:color w:val="000000" w:themeColor="text1"/>
          <w:sz w:val="28"/>
          <w:szCs w:val="28"/>
        </w:rPr>
      </w:pPr>
      <w:r w:rsidRPr="003D47A5">
        <w:rPr>
          <w:rFonts w:eastAsia="HGPGothicE"/>
          <w:color w:val="000000" w:themeColor="text1"/>
          <w:sz w:val="28"/>
          <w:szCs w:val="28"/>
        </w:rPr>
        <w:t>CONCLUSION</w:t>
      </w:r>
    </w:p>
    <w:p w14:paraId="0D0D8CAA" w14:textId="77777777" w:rsidR="003D47A5" w:rsidRPr="003D47A5" w:rsidRDefault="003D47A5" w:rsidP="003D47A5">
      <w:pPr>
        <w:pStyle w:val="NoSpacing"/>
        <w:rPr>
          <w:color w:val="000000" w:themeColor="text1"/>
          <w:sz w:val="18"/>
          <w:szCs w:val="18"/>
        </w:rPr>
      </w:pPr>
      <w:r w:rsidRPr="003D47A5">
        <w:rPr>
          <w:color w:val="000000" w:themeColor="text1"/>
          <w:sz w:val="18"/>
          <w:szCs w:val="18"/>
        </w:rPr>
        <w:t xml:space="preserve">The Indian HALO theme represents a structurally durable investment opportunity characterised by policy-backed demand, high asset intensity, and long-duration earnings visibility. The combination of government underwriting, capex-led growth, and low obsolescence risk supports sustained </w:t>
      </w:r>
      <w:proofErr w:type="spellStart"/>
      <w:r w:rsidRPr="003D47A5">
        <w:rPr>
          <w:color w:val="000000" w:themeColor="text1"/>
          <w:sz w:val="18"/>
          <w:szCs w:val="18"/>
        </w:rPr>
        <w:t>RoE</w:t>
      </w:r>
      <w:proofErr w:type="spellEnd"/>
      <w:r w:rsidRPr="003D47A5">
        <w:rPr>
          <w:color w:val="000000" w:themeColor="text1"/>
          <w:sz w:val="18"/>
          <w:szCs w:val="18"/>
        </w:rPr>
        <w:t xml:space="preserve"> compounding and justifies an </w:t>
      </w:r>
      <w:r w:rsidRPr="003D47A5">
        <w:rPr>
          <w:b/>
          <w:bCs/>
          <w:color w:val="000000" w:themeColor="text1"/>
          <w:sz w:val="18"/>
          <w:szCs w:val="18"/>
        </w:rPr>
        <w:t>OVERWEIGHT</w:t>
      </w:r>
      <w:r w:rsidRPr="003D47A5">
        <w:rPr>
          <w:color w:val="000000" w:themeColor="text1"/>
          <w:sz w:val="18"/>
          <w:szCs w:val="18"/>
        </w:rPr>
        <w:t xml:space="preserve"> positioning, with further re-rating potential as execution visibility improves.</w:t>
      </w:r>
    </w:p>
    <w:p w14:paraId="1C4FE94B" w14:textId="77777777" w:rsidR="00186DFF" w:rsidRPr="003D47A5" w:rsidRDefault="00186DFF" w:rsidP="003D47A5">
      <w:pPr>
        <w:pStyle w:val="NoSpacing"/>
        <w:rPr>
          <w:color w:val="000000" w:themeColor="text1"/>
        </w:rPr>
      </w:pPr>
    </w:p>
    <w:sectPr w:rsidR="00186DFF" w:rsidRPr="003D47A5" w:rsidSect="003D47A5">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GPGothicE">
    <w:charset w:val="80"/>
    <w:family w:val="swiss"/>
    <w:pitch w:val="variable"/>
    <w:sig w:usb0="E00002FF" w:usb1="2AC7EDFE" w:usb2="00000012" w:usb3="00000000" w:csb0="0002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DFF"/>
    <w:rsid w:val="00186DFF"/>
    <w:rsid w:val="003D47A5"/>
    <w:rsid w:val="005E3040"/>
    <w:rsid w:val="009421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c8d5d8,#e2f7fa"/>
    </o:shapedefaults>
    <o:shapelayout v:ext="edit">
      <o:idmap v:ext="edit" data="1"/>
    </o:shapelayout>
  </w:shapeDefaults>
  <w:decimalSymbol w:val="."/>
  <w:listSeparator w:val=","/>
  <w14:docId w14:val="0E193854"/>
  <w15:chartTrackingRefBased/>
  <w15:docId w15:val="{5982760A-24D8-4581-A7FD-496B53566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D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6D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6D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6D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D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D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D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D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D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D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6D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6D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6D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D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D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D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D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DFF"/>
    <w:rPr>
      <w:rFonts w:eastAsiaTheme="majorEastAsia" w:cstheme="majorBidi"/>
      <w:color w:val="272727" w:themeColor="text1" w:themeTint="D8"/>
    </w:rPr>
  </w:style>
  <w:style w:type="paragraph" w:styleId="Title">
    <w:name w:val="Title"/>
    <w:basedOn w:val="Normal"/>
    <w:next w:val="Normal"/>
    <w:link w:val="TitleChar"/>
    <w:uiPriority w:val="10"/>
    <w:qFormat/>
    <w:rsid w:val="00186D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D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D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D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DFF"/>
    <w:pPr>
      <w:spacing w:before="160"/>
      <w:jc w:val="center"/>
    </w:pPr>
    <w:rPr>
      <w:i/>
      <w:iCs/>
      <w:color w:val="404040" w:themeColor="text1" w:themeTint="BF"/>
    </w:rPr>
  </w:style>
  <w:style w:type="character" w:customStyle="1" w:styleId="QuoteChar">
    <w:name w:val="Quote Char"/>
    <w:basedOn w:val="DefaultParagraphFont"/>
    <w:link w:val="Quote"/>
    <w:uiPriority w:val="29"/>
    <w:rsid w:val="00186DFF"/>
    <w:rPr>
      <w:i/>
      <w:iCs/>
      <w:color w:val="404040" w:themeColor="text1" w:themeTint="BF"/>
    </w:rPr>
  </w:style>
  <w:style w:type="paragraph" w:styleId="ListParagraph">
    <w:name w:val="List Paragraph"/>
    <w:basedOn w:val="Normal"/>
    <w:uiPriority w:val="34"/>
    <w:qFormat/>
    <w:rsid w:val="00186DFF"/>
    <w:pPr>
      <w:ind w:left="720"/>
      <w:contextualSpacing/>
    </w:pPr>
  </w:style>
  <w:style w:type="character" w:styleId="IntenseEmphasis">
    <w:name w:val="Intense Emphasis"/>
    <w:basedOn w:val="DefaultParagraphFont"/>
    <w:uiPriority w:val="21"/>
    <w:qFormat/>
    <w:rsid w:val="00186DFF"/>
    <w:rPr>
      <w:i/>
      <w:iCs/>
      <w:color w:val="0F4761" w:themeColor="accent1" w:themeShade="BF"/>
    </w:rPr>
  </w:style>
  <w:style w:type="paragraph" w:styleId="IntenseQuote">
    <w:name w:val="Intense Quote"/>
    <w:basedOn w:val="Normal"/>
    <w:next w:val="Normal"/>
    <w:link w:val="IntenseQuoteChar"/>
    <w:uiPriority w:val="30"/>
    <w:qFormat/>
    <w:rsid w:val="00186D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DFF"/>
    <w:rPr>
      <w:i/>
      <w:iCs/>
      <w:color w:val="0F4761" w:themeColor="accent1" w:themeShade="BF"/>
    </w:rPr>
  </w:style>
  <w:style w:type="character" w:styleId="IntenseReference">
    <w:name w:val="Intense Reference"/>
    <w:basedOn w:val="DefaultParagraphFont"/>
    <w:uiPriority w:val="32"/>
    <w:qFormat/>
    <w:rsid w:val="00186DFF"/>
    <w:rPr>
      <w:b/>
      <w:bCs/>
      <w:smallCaps/>
      <w:color w:val="0F4761" w:themeColor="accent1" w:themeShade="BF"/>
      <w:spacing w:val="5"/>
    </w:rPr>
  </w:style>
  <w:style w:type="character" w:styleId="Hyperlink">
    <w:name w:val="Hyperlink"/>
    <w:basedOn w:val="DefaultParagraphFont"/>
    <w:uiPriority w:val="99"/>
    <w:unhideWhenUsed/>
    <w:rsid w:val="00186DFF"/>
    <w:rPr>
      <w:color w:val="467886" w:themeColor="hyperlink"/>
      <w:u w:val="single"/>
    </w:rPr>
  </w:style>
  <w:style w:type="character" w:styleId="UnresolvedMention">
    <w:name w:val="Unresolved Mention"/>
    <w:basedOn w:val="DefaultParagraphFont"/>
    <w:uiPriority w:val="99"/>
    <w:semiHidden/>
    <w:unhideWhenUsed/>
    <w:rsid w:val="00186DFF"/>
    <w:rPr>
      <w:color w:val="605E5C"/>
      <w:shd w:val="clear" w:color="auto" w:fill="E1DFDD"/>
    </w:rPr>
  </w:style>
  <w:style w:type="paragraph" w:styleId="NoSpacing">
    <w:name w:val="No Spacing"/>
    <w:uiPriority w:val="1"/>
    <w:qFormat/>
    <w:rsid w:val="003D47A5"/>
    <w:pPr>
      <w:spacing w:after="0" w:line="240" w:lineRule="auto"/>
    </w:pPr>
  </w:style>
  <w:style w:type="character" w:styleId="SubtleEmphasis">
    <w:name w:val="Subtle Emphasis"/>
    <w:basedOn w:val="DefaultParagraphFont"/>
    <w:uiPriority w:val="19"/>
    <w:qFormat/>
    <w:rsid w:val="003D47A5"/>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685143-4571-4AD8-A682-8FB5520C50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2984</TotalTime>
  <Pages>2</Pages>
  <Words>861</Words>
  <Characters>4453</Characters>
  <Application>Microsoft Office Word</Application>
  <DocSecurity>0</DocSecurity>
  <Lines>75</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Ashutosh Sharma</dc:creator>
  <cp:keywords/>
  <dc:description/>
  <cp:lastModifiedBy>Ashutosh Sharma</cp:lastModifiedBy>
  <cp:revision>1</cp:revision>
  <dcterms:created xsi:type="dcterms:W3CDTF">2026-04-20T18:29:00Z</dcterms:created>
  <dcterms:modified xsi:type="dcterms:W3CDTF">2026-04-22T21:57:00Z</dcterms:modified>
</cp:coreProperties>
</file>