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300"/>
        <w:jc w:val="center"/>
      </w:pPr>
      <w:r>
        <w:rPr>
          <w:rFonts w:ascii="Times New Roman" w:cs="Times New Roman" w:eastAsia="Times New Roman" w:hAnsi="Times New Roman"/>
          <w:b/>
          <w:bCs/>
          <w:color w:val="1A365D"/>
          <w:sz w:val="60"/>
          <w:szCs w:val="60"/>
        </w:rPr>
        <w:t xml:space="preserve">National Real-Time Payments System</w:t>
      </w:r>
    </w:p>
    <w:p>
      <w:pPr>
        <w:spacing w:after="600"/>
        <w:jc w:val="center"/>
      </w:pPr>
      <w:r>
        <w:rPr>
          <w:rFonts w:ascii="Times New Roman" w:cs="Times New Roman" w:eastAsia="Times New Roman" w:hAnsi="Times New Roman"/>
          <w:color w:val="4A5568"/>
          <w:sz w:val="36"/>
          <w:szCs w:val="36"/>
        </w:rPr>
        <w:t xml:space="preserve">Strategic Business Report</w:t>
      </w:r>
    </w:p>
    <w:p>
      <w:pPr>
        <w:spacing w:before="1800"/>
      </w:pPr>
    </w:p>
    <w:p>
      <w:pPr>
        <w:spacing w:after="150"/>
        <w:jc w:val="center"/>
      </w:pPr>
      <w:r>
        <w:rPr>
          <w:rFonts w:ascii="Times New Roman" w:cs="Times New Roman" w:eastAsia="Times New Roman" w:hAnsi="Times New Roman"/>
          <w:color w:val="4A5568"/>
          <w:sz w:val="24"/>
          <w:szCs w:val="24"/>
        </w:rPr>
        <w:t xml:space="preserve">Prepared for:</w:t>
      </w:r>
    </w:p>
    <w:p>
      <w:pPr>
        <w:spacing w:after="80"/>
        <w:jc w:val="center"/>
      </w:pPr>
      <w:r>
        <w:rPr>
          <w:rFonts w:ascii="Times New Roman" w:cs="Times New Roman" w:eastAsia="Times New Roman" w:hAnsi="Times New Roman"/>
          <w:b/>
          <w:bCs/>
          <w:color w:val="1A365D"/>
          <w:sz w:val="28"/>
          <w:szCs w:val="28"/>
        </w:rPr>
        <w:t xml:space="preserve">Emily Watson</w:t>
      </w:r>
    </w:p>
    <w:p>
      <w:pPr>
        <w:spacing w:after="400"/>
        <w:jc w:val="center"/>
      </w:pPr>
      <w:r>
        <w:rPr>
          <w:rFonts w:ascii="Times New Roman" w:cs="Times New Roman" w:eastAsia="Times New Roman" w:hAnsi="Times New Roman"/>
          <w:color w:val="4A5568"/>
          <w:sz w:val="24"/>
          <w:szCs w:val="24"/>
        </w:rPr>
        <w:t xml:space="preserve">IT Technical Lead, UK Operations</w:t>
      </w:r>
    </w:p>
    <w:p>
      <w:pPr>
        <w:spacing w:before="1200"/>
      </w:pPr>
    </w:p>
    <w:p>
      <w:pPr>
        <w:spacing w:after="100"/>
        <w:jc w:val="center"/>
      </w:pPr>
      <w:r>
        <w:rPr>
          <w:rFonts w:ascii="Times New Roman" w:cs="Times New Roman" w:eastAsia="Times New Roman" w:hAnsi="Times New Roman"/>
          <w:color w:val="718096"/>
          <w:sz w:val="22"/>
          <w:szCs w:val="22"/>
        </w:rPr>
        <w:t xml:space="preserve">Architecture Foundations Assessment</w:t>
      </w:r>
    </w:p>
    <w:p>
      <w:pPr>
        <w:jc w:val="center"/>
      </w:pPr>
      <w:r>
        <w:rPr>
          <w:rFonts w:ascii="Times New Roman" w:cs="Times New Roman" w:eastAsia="Times New Roman" w:hAnsi="Times New Roman"/>
          <w:color w:val="718096"/>
          <w:sz w:val="22"/>
          <w:szCs w:val="22"/>
        </w:rPr>
        <w:t xml:space="preserve">4 March 2026</w:t>
      </w:r>
    </w:p>
    <w:p>
      <w:pPr>
        <w:sectPr>
          <w:pgSz w:w="11906" w:h="16838" w:orient="portrait"/>
          <w:pgMar w:top="0" w:right="0" w:bottom="0" w:left="0" w:header="708" w:footer="708" w:gutter="0"/>
          <w:pgNumType/>
          <w:docGrid w:linePitch="360"/>
        </w:sectPr>
      </w:pPr>
    </w:p>
    <w:p>
      <w:pPr>
        <w:pStyle w:val="Heading1"/>
      </w:pPr>
      <w:r>
        <w:t xml:space="preserve">1. Introduction</w:t>
      </w:r>
    </w:p>
    <w:p>
      <w:pPr>
        <w:pStyle w:val="Heading2"/>
      </w:pPr>
      <w:r>
        <w:t xml:space="preserve">1.1 Background and Context</w:t>
      </w:r>
    </w:p>
    <w:p>
      <w:pPr>
        <w:spacing w:after="200" w:line="312"/>
      </w:pPr>
      <w:r>
        <w:rPr>
          <w:rFonts w:ascii="Times New Roman" w:cs="Times New Roman" w:eastAsia="Times New Roman" w:hAnsi="Times New Roman"/>
          <w:color w:val="2D3748"/>
          <w:sz w:val="24"/>
          <w:szCs w:val="24"/>
        </w:rPr>
        <w:t xml:space="preserve">The global payments landscape is undergoing a fundamental transformation. As digital commerce accelerates and consumer expectations evolve, nations worldwide are recognising the strategic imperative of modernising their payment infrastructure. The National Real-Time Payments System represents a cornerstone initiative designed to establish a robust, secure, and efficient digital payment ecosystem capable of serving the entire population while positioning the nation for participation in the increasingly interconnected global financial system.</w:t>
      </w:r>
    </w:p>
    <w:p>
      <w:pPr>
        <w:spacing w:after="200" w:line="312"/>
      </w:pPr>
      <w:r>
        <w:rPr>
          <w:rFonts w:ascii="Times New Roman" w:cs="Times New Roman" w:eastAsia="Times New Roman" w:hAnsi="Times New Roman"/>
          <w:color w:val="2D3748"/>
          <w:sz w:val="24"/>
          <w:szCs w:val="24"/>
        </w:rPr>
        <w:t xml:space="preserve">This initiative emerges against a backdrop of significant change in the financial services sector. Traditional payment mechanisms, characterised by delayed settlement and limited operating hours, no longer meet the demands of a 24/7 digital economy. Consumers expect instant gratification in their financial transactions, while businesses require predictable cash flows and real-time visibility into payment status. The convergence of mobile technology, open banking initiatives, and regulatory support has created favourable conditions for transformative payment infrastructure projects.</w:t>
      </w:r>
    </w:p>
    <w:p>
      <w:pPr>
        <w:spacing w:after="200" w:line="312"/>
      </w:pPr>
      <w:r>
        <w:rPr>
          <w:rFonts w:ascii="Times New Roman" w:cs="Times New Roman" w:eastAsia="Times New Roman" w:hAnsi="Times New Roman"/>
          <w:color w:val="2D3748"/>
          <w:sz w:val="24"/>
          <w:szCs w:val="24"/>
        </w:rPr>
        <w:t xml:space="preserve">The proposed system aims to serve as the primary backbone for all peer-to-peer (P2P) and peer-to-merchant (P2M) transactions, effectively replacing cash transactions and traditional delayed banking transfers. With a target user base of 150 million registered users and the capability to process 50,000 transactions per second during peak periods, this represents one of the most ambitious payment modernisation projects undertaken globally.</w:t>
      </w:r>
    </w:p>
    <w:p>
      <w:pPr>
        <w:pStyle w:val="Heading2"/>
      </w:pPr>
      <w:r>
        <w:t xml:space="preserve">1.2 Strategic Objectives</w:t>
      </w:r>
    </w:p>
    <w:p>
      <w:pPr>
        <w:spacing w:after="120" w:line="312"/>
      </w:pPr>
      <w:r>
        <w:rPr>
          <w:rFonts w:ascii="Times New Roman" w:cs="Times New Roman" w:eastAsia="Times New Roman" w:hAnsi="Times New Roman"/>
          <w:color w:val="2D3748"/>
          <w:sz w:val="24"/>
          <w:szCs w:val="24"/>
        </w:rPr>
        <w:t xml:space="preserve">The National Real-Time Payments System is designed to achieve multiple strategic objectives that align with national economic development goals and financial inclusion priorities:</w:t>
      </w:r>
    </w:p>
    <w:p>
      <w:pPr>
        <w:pStyle w:val="ListParagraph"/>
        <w:numPr>
          <w:ilvl w:val="0"/>
          <w:numId w:val="2"/>
        </w:numPr>
      </w:pPr>
      <w:r>
        <w:rPr>
          <w:rFonts w:ascii="Times New Roman" w:cs="Times New Roman" w:eastAsia="Times New Roman" w:hAnsi="Times New Roman"/>
          <w:color w:val="2D3748"/>
          <w:sz w:val="24"/>
          <w:szCs w:val="24"/>
        </w:rPr>
        <w:t xml:space="preserve">Financial Inclusion: Enable universal access to digital payment services for all citizens, including those previously underserved by traditional banking infrastructure. The system will support basic mobile phones and does not require smartphone ownership, ensuring accessibility across socioeconomic segments.</w:t>
      </w:r>
    </w:p>
    <w:p>
      <w:pPr>
        <w:pStyle w:val="ListParagraph"/>
        <w:numPr>
          <w:ilvl w:val="0"/>
          <w:numId w:val="2"/>
        </w:numPr>
      </w:pPr>
      <w:r>
        <w:rPr>
          <w:rFonts w:ascii="Times New Roman" w:cs="Times New Roman" w:eastAsia="Times New Roman" w:hAnsi="Times New Roman"/>
          <w:color w:val="2D3748"/>
          <w:sz w:val="24"/>
          <w:szCs w:val="24"/>
        </w:rPr>
        <w:t xml:space="preserve">Economic Efficiency: Reduce the cost and time of payment processing for individuals, businesses, and government entities. Real-time settlement eliminates float costs and enables better cash flow management for businesses of all sizes.</w:t>
      </w:r>
    </w:p>
    <w:p>
      <w:pPr>
        <w:pStyle w:val="ListParagraph"/>
        <w:numPr>
          <w:ilvl w:val="0"/>
          <w:numId w:val="2"/>
        </w:numPr>
      </w:pPr>
      <w:r>
        <w:rPr>
          <w:rFonts w:ascii="Times New Roman" w:cs="Times New Roman" w:eastAsia="Times New Roman" w:hAnsi="Times New Roman"/>
          <w:color w:val="2D3748"/>
          <w:sz w:val="24"/>
          <w:szCs w:val="24"/>
        </w:rPr>
        <w:t xml:space="preserve">Transparency and Compliance: Create an auditable trail of all transactions, supporting anti-money laundering efforts and tax compliance while providing regulators with real-time visibility into payment flows.</w:t>
      </w:r>
    </w:p>
    <w:p>
      <w:pPr>
        <w:pStyle w:val="ListParagraph"/>
        <w:numPr>
          <w:ilvl w:val="0"/>
          <w:numId w:val="2"/>
        </w:numPr>
      </w:pPr>
      <w:r>
        <w:rPr>
          <w:rFonts w:ascii="Times New Roman" w:cs="Times New Roman" w:eastAsia="Times New Roman" w:hAnsi="Times New Roman"/>
          <w:color w:val="2D3748"/>
          <w:sz w:val="24"/>
          <w:szCs w:val="24"/>
        </w:rPr>
        <w:t xml:space="preserve">Innovation Platform: Establish an open API ecosystem that enables fintech companies and third-party developers to build innovative financial products and services on top of the payment infrastructure.</w:t>
      </w:r>
    </w:p>
    <w:p>
      <w:pPr>
        <w:pStyle w:val="ListParagraph"/>
        <w:numPr>
          <w:ilvl w:val="0"/>
          <w:numId w:val="2"/>
        </w:numPr>
      </w:pPr>
      <w:r>
        <w:rPr>
          <w:rFonts w:ascii="Times New Roman" w:cs="Times New Roman" w:eastAsia="Times New Roman" w:hAnsi="Times New Roman"/>
          <w:color w:val="2D3748"/>
          <w:sz w:val="24"/>
          <w:szCs w:val="24"/>
        </w:rPr>
        <w:t xml:space="preserve">International Connectivity: Position the nation for seamless integration with international payment networks, supporting cross-border trade and remittances while maintaining regulatory compliance.</w:t>
      </w:r>
    </w:p>
    <w:p>
      <w:pPr>
        <w:pStyle w:val="Heading2"/>
      </w:pPr>
      <w:r>
        <w:t xml:space="preserve">1.3 Scope and Stakeholders</w:t>
      </w:r>
    </w:p>
    <w:p>
      <w:pPr>
        <w:spacing w:after="200" w:line="312"/>
      </w:pPr>
      <w:r>
        <w:rPr>
          <w:rFonts w:ascii="Times New Roman" w:cs="Times New Roman" w:eastAsia="Times New Roman" w:hAnsi="Times New Roman"/>
          <w:color w:val="2D3748"/>
          <w:sz w:val="24"/>
          <w:szCs w:val="24"/>
        </w:rPr>
        <w:t xml:space="preserve">The system encompasses a comprehensive set of functionalities spanning consumer payments, merchant services, and interbank settlement. The primary stakeholders include individual citizens who will use the system for daily transactions, merchants ranging from small vendors to large enterprises, banks and financial institutions that will participate in the payment network, and regulatory bodies overseeing financial stability and consumer protection. The success of this initiative depends on effective coordination among all stakeholders, supported by robust governance frameworks and clear accountability structures.</w:t>
      </w:r>
    </w:p>
    <w:p>
      <w:pPr>
        <w:pStyle w:val="Heading1"/>
      </w:pPr>
      <w:r>
        <w:t xml:space="preserve">2. System Overview and Scale</w:t>
      </w:r>
    </w:p>
    <w:p>
      <w:pPr>
        <w:pStyle w:val="Heading2"/>
      </w:pPr>
      <w:r>
        <w:t xml:space="preserve">2.1 User Base and Transaction Volume</w:t>
      </w:r>
    </w:p>
    <w:p>
      <w:pPr>
        <w:spacing w:after="200" w:line="312"/>
      </w:pPr>
      <w:r>
        <w:rPr>
          <w:rFonts w:ascii="Times New Roman" w:cs="Times New Roman" w:eastAsia="Times New Roman" w:hAnsi="Times New Roman"/>
          <w:color w:val="2D3748"/>
          <w:sz w:val="24"/>
          <w:szCs w:val="24"/>
        </w:rPr>
        <w:t xml:space="preserve">The system is designed to accommodate an unprecedented scale of operations, reflecting the national scope of the initiative. The target metrics represent substantial increases over existing payment infrastructure and require careful architectural planning to ensure performance and reliability: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4680"/>
        <w:gridCol w:w="4680"/>
      </w:tblGrid>
      <w:tr>
        <w:trPr>
          <w:tblHeader/>
        </w:trPr>
        <w:tc>
          <w:tcPr>
            <w:tcW w:type="dxa" w:w="4680"/>
            <w:tcBorders>
              <w:top w:val="single" w:color="718096" w:sz="1"/>
              <w:left w:val="single" w:color="718096" w:sz="1"/>
              <w:bottom w:val="single" w:color="718096" w:sz="1"/>
              <w:right w:val="single" w:color="718096" w:sz="1"/>
            </w:tcBorders>
            <w:shd w:fill="1A365D" w:val="clear"/>
            <w:vAlign w:val="center"/>
          </w:tcPr>
          <w:p>
            <w:pPr>
              <w:jc w:val="center"/>
            </w:pPr>
            <w:r>
              <w:rPr>
                <w:rFonts w:ascii="Times New Roman" w:cs="Times New Roman" w:eastAsia="Times New Roman" w:hAnsi="Times New Roman"/>
                <w:b/>
                <w:bCs/>
                <w:color w:val="FFFFFF"/>
                <w:sz w:val="22"/>
                <w:szCs w:val="22"/>
              </w:rPr>
              <w:t xml:space="preserve">Metric</w:t>
            </w:r>
          </w:p>
        </w:tc>
        <w:tc>
          <w:tcPr>
            <w:tcW w:type="dxa" w:w="4680"/>
            <w:tcBorders>
              <w:top w:val="single" w:color="718096" w:sz="1"/>
              <w:left w:val="single" w:color="718096" w:sz="1"/>
              <w:bottom w:val="single" w:color="718096" w:sz="1"/>
              <w:right w:val="single" w:color="718096" w:sz="1"/>
            </w:tcBorders>
            <w:shd w:fill="1A365D" w:val="clear"/>
            <w:vAlign w:val="center"/>
          </w:tcPr>
          <w:p>
            <w:pPr>
              <w:jc w:val="center"/>
            </w:pPr>
            <w:r>
              <w:rPr>
                <w:rFonts w:ascii="Times New Roman" w:cs="Times New Roman" w:eastAsia="Times New Roman" w:hAnsi="Times New Roman"/>
                <w:b/>
                <w:bCs/>
                <w:color w:val="FFFFFF"/>
                <w:sz w:val="22"/>
                <w:szCs w:val="22"/>
              </w:rPr>
              <w:t xml:space="preserve">Target Value</w:t>
            </w:r>
          </w:p>
        </w:tc>
      </w:tr>
      <w:tr>
        <w:tc>
          <w:tcPr>
            <w:tcW w:type="dxa" w:w="468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Total Registered Users</w:t>
            </w:r>
          </w:p>
        </w:tc>
        <w:tc>
          <w:tcPr>
            <w:tcW w:type="dxa" w:w="468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150 Million</w:t>
            </w:r>
          </w:p>
        </w:tc>
      </w:tr>
      <w:tr>
        <w:tc>
          <w:tcPr>
            <w:tcW w:type="dxa" w:w="468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Daily Active Users</w:t>
            </w:r>
          </w:p>
        </w:tc>
        <w:tc>
          <w:tcPr>
            <w:tcW w:type="dxa" w:w="468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40 Million</w:t>
            </w:r>
          </w:p>
        </w:tc>
      </w:tr>
      <w:tr>
        <w:tc>
          <w:tcPr>
            <w:tcW w:type="dxa" w:w="468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Peak Concurrent Users</w:t>
            </w:r>
          </w:p>
        </w:tc>
        <w:tc>
          <w:tcPr>
            <w:tcW w:type="dxa" w:w="468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5 Million</w:t>
            </w:r>
          </w:p>
        </w:tc>
      </w:tr>
      <w:tr>
        <w:tc>
          <w:tcPr>
            <w:tcW w:type="dxa" w:w="468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Peak Transactions Per Second</w:t>
            </w:r>
          </w:p>
        </w:tc>
        <w:tc>
          <w:tcPr>
            <w:tcW w:type="dxa" w:w="468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50,000+</w:t>
            </w:r>
          </w:p>
        </w:tc>
      </w:tr>
    </w:tbl>
    <w:p>
      <w:pPr>
        <w:spacing w:after="200"/>
      </w:pPr>
    </w:p>
    <w:p>
      <w:pPr>
        <w:spacing w:after="200" w:line="312"/>
      </w:pPr>
      <w:r>
        <w:rPr>
          <w:rFonts w:ascii="Times New Roman" w:cs="Times New Roman" w:eastAsia="Times New Roman" w:hAnsi="Times New Roman"/>
          <w:color w:val="2D3748"/>
          <w:sz w:val="24"/>
          <w:szCs w:val="24"/>
        </w:rPr>
        <w:t xml:space="preserve">These figures place the system among the largest payment platforms globally, comparable to India's Unified Payments Interface (UPI) and China's Alipay in terms of user base and transaction capacity. The architecture must accommodate not only current requirements but also projected growth over the coming decade, with flexibility to scale horizontally as adoption increases.</w:t>
      </w:r>
    </w:p>
    <w:p>
      <w:pPr>
        <w:pStyle w:val="Heading2"/>
      </w:pPr>
      <w:r>
        <w:t xml:space="preserve">2.2 User Segments and Use Cases</w:t>
      </w:r>
    </w:p>
    <w:p>
      <w:pPr>
        <w:spacing w:after="120" w:line="312"/>
      </w:pPr>
      <w:r>
        <w:rPr>
          <w:rFonts w:ascii="Times New Roman" w:cs="Times New Roman" w:eastAsia="Times New Roman" w:hAnsi="Times New Roman"/>
          <w:color w:val="2D3748"/>
          <w:sz w:val="24"/>
          <w:szCs w:val="24"/>
        </w:rPr>
        <w:t xml:space="preserve">The system serves multiple user segments, each with distinct requirements and usage patterns:</w:t>
      </w:r>
    </w:p>
    <w:p>
      <w:pPr>
        <w:pStyle w:val="Heading3"/>
      </w:pPr>
      <w:r>
        <w:t xml:space="preserve">Individual Citizens</w:t>
      </w:r>
    </w:p>
    <w:p>
      <w:pPr>
        <w:spacing w:after="200" w:line="312"/>
      </w:pPr>
      <w:r>
        <w:rPr>
          <w:rFonts w:ascii="Times New Roman" w:cs="Times New Roman" w:eastAsia="Times New Roman" w:hAnsi="Times New Roman"/>
          <w:color w:val="2D3748"/>
          <w:sz w:val="24"/>
          <w:szCs w:val="24"/>
        </w:rPr>
        <w:t xml:space="preserve">Individual users represent the largest segment by volume, utilising the system for peer-to-peer transfers, bill payments, and merchant transactions. Key use cases include splitting bills among friends, paying household utilities, sending remittances to family members, and purchasing goods and services from both online and offline merchants. The user interface must be intuitive across varying levels of digital literacy, with support for multiple languages and accessibility features for users with disabilities.</w:t>
      </w:r>
    </w:p>
    <w:p>
      <w:pPr>
        <w:pStyle w:val="Heading3"/>
      </w:pPr>
      <w:r>
        <w:t xml:space="preserve">Merchants and Businesses</w:t>
      </w:r>
    </w:p>
    <w:p>
      <w:pPr>
        <w:spacing w:after="200" w:line="312"/>
      </w:pPr>
      <w:r>
        <w:rPr>
          <w:rFonts w:ascii="Times New Roman" w:cs="Times New Roman" w:eastAsia="Times New Roman" w:hAnsi="Times New Roman"/>
          <w:color w:val="2D3748"/>
          <w:sz w:val="24"/>
          <w:szCs w:val="24"/>
        </w:rPr>
        <w:t xml:space="preserve">The merchant segment spans small street vendors to large retail chains and e-commerce platforms. Small merchants require simple QR code-based acceptance with minimal technical overhead, while larger businesses need API integration for seamless checkout experiences and reconciliation with their enterprise systems. The merchant dashboard provides real-time transaction visibility, settlement reports, and dispute management capabilities. Merchant onboarding includes verification processes aligned with know-your-customer requirements.</w:t>
      </w:r>
    </w:p>
    <w:p>
      <w:pPr>
        <w:pStyle w:val="Heading3"/>
      </w:pPr>
      <w:r>
        <w:t xml:space="preserve">Banks and Financial Institutions</w:t>
      </w:r>
    </w:p>
    <w:p>
      <w:pPr>
        <w:spacing w:after="200" w:line="312"/>
      </w:pPr>
      <w:r>
        <w:rPr>
          <w:rFonts w:ascii="Times New Roman" w:cs="Times New Roman" w:eastAsia="Times New Roman" w:hAnsi="Times New Roman"/>
          <w:color w:val="2D3748"/>
          <w:sz w:val="24"/>
          <w:szCs w:val="24"/>
        </w:rPr>
        <w:t xml:space="preserve">Banks participate as settlement agents and account providers, maintaining customer accounts and processing settlement instructions. The system must integrate with diverse banking platforms using standardised protocols while accommodating bank-specific variations. Interbank settlement occurs through the central settlement mechanism, with participating banks maintaining settlement accounts and meeting liquidity requirements. The architecture supports both direct participants (banks with direct connectivity) and indirect participants (smaller institutions connecting through sponsor banks).</w:t>
      </w:r>
    </w:p>
    <w:p>
      <w:pPr>
        <w:pStyle w:val="Heading3"/>
      </w:pPr>
      <w:r>
        <w:t xml:space="preserve">Regulators and Government Agencies</w:t>
      </w:r>
    </w:p>
    <w:p>
      <w:pPr>
        <w:spacing w:after="200" w:line="312"/>
      </w:pPr>
      <w:r>
        <w:rPr>
          <w:rFonts w:ascii="Times New Roman" w:cs="Times New Roman" w:eastAsia="Times New Roman" w:hAnsi="Times New Roman"/>
          <w:color w:val="2D3748"/>
          <w:sz w:val="24"/>
          <w:szCs w:val="24"/>
        </w:rPr>
        <w:t xml:space="preserve">Regulatory bodies require comprehensive visibility into system operations for financial stability monitoring and policy development. The system provides automated regulatory reporting, real-time dashboards for systemic risk monitoring, and audit trail access for investigations. Government agencies also utilise the platform for disbursements such as social welfare payments and tax refunds, as well as collections including taxes, fees, and fines.</w:t>
      </w:r>
    </w:p>
    <w:p>
      <w:pPr>
        <w:pStyle w:val="Heading2"/>
      </w:pPr>
      <w:r>
        <w:t xml:space="preserve">2.3 Supported Platforms</w:t>
      </w:r>
    </w:p>
    <w:p>
      <w:pPr>
        <w:spacing w:after="120" w:line="312"/>
      </w:pPr>
      <w:r>
        <w:rPr>
          <w:rFonts w:ascii="Times New Roman" w:cs="Times New Roman" w:eastAsia="Times New Roman" w:hAnsi="Times New Roman"/>
          <w:color w:val="2D3748"/>
          <w:sz w:val="24"/>
          <w:szCs w:val="24"/>
        </w:rPr>
        <w:t xml:space="preserve">The system must accommodate diverse access channels to ensure universal accessibility:</w:t>
      </w:r>
    </w:p>
    <w:p>
      <w:pPr>
        <w:pStyle w:val="ListParagraph"/>
        <w:numPr>
          <w:ilvl w:val="0"/>
          <w:numId w:val="3"/>
        </w:numPr>
      </w:pPr>
      <w:r>
        <w:rPr>
          <w:rFonts w:ascii="Times New Roman" w:cs="Times New Roman" w:eastAsia="Times New Roman" w:hAnsi="Times New Roman"/>
          <w:color w:val="2D3748"/>
          <w:sz w:val="24"/>
          <w:szCs w:val="24"/>
        </w:rPr>
        <w:t xml:space="preserve">Mobile Applications: Native iOS and Android applications providing full functionality including payment initiation, transaction history, and account management. The applications must support offline features for transaction history viewing and QR code generation.</w:t>
      </w:r>
    </w:p>
    <w:p>
      <w:pPr>
        <w:pStyle w:val="ListParagraph"/>
        <w:numPr>
          <w:ilvl w:val="0"/>
          <w:numId w:val="3"/>
        </w:numPr>
      </w:pPr>
      <w:r>
        <w:rPr>
          <w:rFonts w:ascii="Times New Roman" w:cs="Times New Roman" w:eastAsia="Times New Roman" w:hAnsi="Times New Roman"/>
          <w:color w:val="2D3748"/>
          <w:sz w:val="24"/>
          <w:szCs w:val="24"/>
        </w:rPr>
        <w:t xml:space="preserve">Web Applications: Browser-based access for users without mobile devices or for complex operations requiring larger screens, including merchant dashboards and administrative functions.</w:t>
      </w:r>
    </w:p>
    <w:p>
      <w:pPr>
        <w:pStyle w:val="ListParagraph"/>
        <w:numPr>
          <w:ilvl w:val="0"/>
          <w:numId w:val="3"/>
        </w:numPr>
      </w:pPr>
      <w:r>
        <w:rPr>
          <w:rFonts w:ascii="Times New Roman" w:cs="Times New Roman" w:eastAsia="Times New Roman" w:hAnsi="Times New Roman"/>
          <w:color w:val="2D3748"/>
          <w:sz w:val="24"/>
          <w:szCs w:val="24"/>
        </w:rPr>
        <w:t xml:space="preserve">Merchant POS Systems: Integration with point-of-sale terminals for in-person retail transactions, supporting both dedicated payment terminals and mobile phone-based acceptance.</w:t>
      </w:r>
    </w:p>
    <w:p>
      <w:pPr>
        <w:pStyle w:val="ListParagraph"/>
        <w:numPr>
          <w:ilvl w:val="0"/>
          <w:numId w:val="3"/>
        </w:numPr>
      </w:pPr>
      <w:r>
        <w:rPr>
          <w:rFonts w:ascii="Times New Roman" w:cs="Times New Roman" w:eastAsia="Times New Roman" w:hAnsi="Times New Roman"/>
          <w:color w:val="2D3748"/>
          <w:sz w:val="24"/>
          <w:szCs w:val="24"/>
        </w:rPr>
        <w:t xml:space="preserve">Third-Party Integrations: Secure APIs enabling authorised fintech applications, accounting software, and e-commerce platforms to initiate payments and retrieve transaction information.</w:t>
      </w:r>
    </w:p>
    <w:p>
      <w:pPr>
        <w:pStyle w:val="Heading1"/>
      </w:pPr>
      <w:r>
        <w:t xml:space="preserve">3. Functional Requirements Analysis</w:t>
      </w:r>
    </w:p>
    <w:p>
      <w:pPr>
        <w:pStyle w:val="Heading2"/>
      </w:pPr>
      <w:r>
        <w:t xml:space="preserve">3.1 Core Payment Features</w:t>
      </w:r>
    </w:p>
    <w:p>
      <w:pPr>
        <w:spacing w:after="200" w:line="312"/>
      </w:pPr>
      <w:r>
        <w:rPr>
          <w:rFonts w:ascii="Times New Roman" w:cs="Times New Roman" w:eastAsia="Times New Roman" w:hAnsi="Times New Roman"/>
          <w:color w:val="2D3748"/>
          <w:sz w:val="24"/>
          <w:szCs w:val="24"/>
        </w:rPr>
        <w:t xml:space="preserve">The core payment functionality encompasses the complete transaction lifecycle from initiation to settlement. User onboarding includes identity verification through Know Your Customer (KYC) processes, supporting both online verification using identity documents and biometric authentication, and assisted verification through banking agents for users with limited documentation. The system enables users to link multiple bank accounts, providing flexibility in funding source selection and allowing users to maintain their existing banking relationships.</w:t>
      </w:r>
    </w:p>
    <w:p>
      <w:pPr>
        <w:spacing w:after="200" w:line="312"/>
      </w:pPr>
      <w:r>
        <w:rPr>
          <w:rFonts w:ascii="Times New Roman" w:cs="Times New Roman" w:eastAsia="Times New Roman" w:hAnsi="Times New Roman"/>
          <w:color w:val="2D3748"/>
          <w:sz w:val="24"/>
          <w:szCs w:val="24"/>
        </w:rPr>
        <w:t xml:space="preserve">Real-time peer-to-peer payments enable instant fund transfers between individuals using various identifier types including mobile numbers, email addresses, or system-generated identifiers. The system supports payment requests, allowing payees to initiate payment requests that payers can approve with a single action. Peer-to-merchant payments through QR codes support both dynamic QR codes generated for specific transactions and static QR codes displayed at merchant locations for repeated use.</w:t>
      </w:r>
    </w:p>
    <w:p>
      <w:pPr>
        <w:spacing w:after="200" w:line="312"/>
      </w:pPr>
      <w:r>
        <w:rPr>
          <w:rFonts w:ascii="Times New Roman" w:cs="Times New Roman" w:eastAsia="Times New Roman" w:hAnsi="Times New Roman"/>
          <w:color w:val="2D3748"/>
          <w:sz w:val="24"/>
          <w:szCs w:val="24"/>
        </w:rPr>
        <w:t xml:space="preserve">Transaction status tracking provides users with immediate confirmation of successful payments or notification of failures, along with the reasons for any transaction rejections. Digital receipts are generated automatically and can be shared via messaging applications or email. Transaction history maintains searchable records with filtering capabilities by date, amount, counterparty, and transaction type.</w:t>
      </w:r>
    </w:p>
    <w:p>
      <w:pPr>
        <w:pStyle w:val="Heading2"/>
      </w:pPr>
      <w:r>
        <w:t xml:space="preserve">3.2 Banking and Settlement Functions</w:t>
      </w:r>
    </w:p>
    <w:p>
      <w:pPr>
        <w:spacing w:after="200" w:line="312"/>
      </w:pPr>
      <w:r>
        <w:rPr>
          <w:rFonts w:ascii="Times New Roman" w:cs="Times New Roman" w:eastAsia="Times New Roman" w:hAnsi="Times New Roman"/>
          <w:color w:val="2D3748"/>
          <w:sz w:val="24"/>
          <w:szCs w:val="24"/>
        </w:rPr>
        <w:t xml:space="preserve">The banking integration layer provides connectivity to participating financial institutions, abstracting the complexity of diverse banking protocols and enabling a unified payment experience regardless of the underlying banks involved. Integration with all major banks requires support for multiple communication protocols including ISO 20022, ISO 8583, and various proprietary APIs. The adapter framework enables rapid onboarding of new banks without modifications to the core system.</w:t>
      </w:r>
    </w:p>
    <w:p>
      <w:pPr>
        <w:spacing w:after="200" w:line="312"/>
      </w:pPr>
      <w:r>
        <w:rPr>
          <w:rFonts w:ascii="Times New Roman" w:cs="Times New Roman" w:eastAsia="Times New Roman" w:hAnsi="Times New Roman"/>
          <w:color w:val="2D3748"/>
          <w:sz w:val="24"/>
          <w:szCs w:val="24"/>
        </w:rPr>
        <w:t xml:space="preserve">Inter-bank settlement occurs through a central settlement mechanism, with net positions calculated and settled at defined intervals. The system supports real-time gross settlement for high-value transactions requiring immediate finality, and deferred net settlement for retail transactions where efficiency outweighs the need for immediate finality. Settlement reconciliation processes run continuously to identify and resolve discrepancies, with exception handling procedures for failed settlements.</w:t>
      </w:r>
    </w:p>
    <w:p>
      <w:pPr>
        <w:spacing w:after="200" w:line="312"/>
      </w:pPr>
      <w:r>
        <w:rPr>
          <w:rFonts w:ascii="Times New Roman" w:cs="Times New Roman" w:eastAsia="Times New Roman" w:hAnsi="Times New Roman"/>
          <w:color w:val="2D3748"/>
          <w:sz w:val="24"/>
          <w:szCs w:val="24"/>
        </w:rPr>
        <w:t xml:space="preserve">Dispute management functionality enables users and merchants to raise disputes for transactions they believe were processed incorrectly. The dispute workflow includes initial investigation, evidence collection, adjudication, and resolution with appropriate chargebacks or adjustments. Service level agreements define response times and escalation procedures for complex cases.</w:t>
      </w:r>
    </w:p>
    <w:p>
      <w:pPr>
        <w:pStyle w:val="Heading2"/>
      </w:pPr>
      <w:r>
        <w:t xml:space="preserve">3.3 Merchant Capabilities</w:t>
      </w:r>
    </w:p>
    <w:p>
      <w:pPr>
        <w:spacing w:after="200" w:line="312"/>
      </w:pPr>
      <w:r>
        <w:rPr>
          <w:rFonts w:ascii="Times New Roman" w:cs="Times New Roman" w:eastAsia="Times New Roman" w:hAnsi="Times New Roman"/>
          <w:color w:val="2D3748"/>
          <w:sz w:val="24"/>
          <w:szCs w:val="24"/>
        </w:rPr>
        <w:t xml:space="preserve">Merchant registration includes verification of business legitimacy through document submission and validation against business registries. The verification process varies based on merchant category and transaction volume, with enhanced due diligence for higher-risk categories. Once verified, merchants receive QR codes for payment acceptance and access to the merchant dashboard.</w:t>
      </w:r>
    </w:p>
    <w:p>
      <w:pPr>
        <w:spacing w:after="200" w:line="312"/>
      </w:pPr>
      <w:r>
        <w:rPr>
          <w:rFonts w:ascii="Times New Roman" w:cs="Times New Roman" w:eastAsia="Times New Roman" w:hAnsi="Times New Roman"/>
          <w:color w:val="2D3748"/>
          <w:sz w:val="24"/>
          <w:szCs w:val="24"/>
        </w:rPr>
        <w:t xml:space="preserve">The merchant dashboard provides real-time visibility into payment activity, with summary views of daily transactions, pending settlements, and key performance indicators. Detailed transaction-level data supports reconciliation with the merchant's own records. Daily settlement reports summarise the funds to be credited to the merchant's bank account, with drill-down capability to individual transactions. Integration APIs enable larger merchants to embed payment functionality directly into their systems, including e-commerce platforms, point-of-sale systems, and enterprise resource planning applications.</w:t>
      </w:r>
    </w:p>
    <w:p>
      <w:pPr>
        <w:pStyle w:val="Heading2"/>
      </w:pPr>
      <w:r>
        <w:t xml:space="preserve">3.4 Operational and Administrative Features</w:t>
      </w:r>
    </w:p>
    <w:p>
      <w:pPr>
        <w:spacing w:after="200" w:line="312"/>
      </w:pPr>
      <w:r>
        <w:rPr>
          <w:rFonts w:ascii="Times New Roman" w:cs="Times New Roman" w:eastAsia="Times New Roman" w:hAnsi="Times New Roman"/>
          <w:color w:val="2D3748"/>
          <w:sz w:val="24"/>
          <w:szCs w:val="24"/>
        </w:rPr>
        <w:t xml:space="preserve">Administrative dashboards provide operations staff with tools for monitoring system health, managing user accounts, and handling escalations. Role-based access control ensures that staff members have appropriate permissions based on their responsibilities. Audit logs capture all administrative actions for compliance and investigation purposes.</w:t>
      </w:r>
    </w:p>
    <w:p>
      <w:pPr>
        <w:spacing w:after="200" w:line="312"/>
      </w:pPr>
      <w:r>
        <w:rPr>
          <w:rFonts w:ascii="Times New Roman" w:cs="Times New Roman" w:eastAsia="Times New Roman" w:hAnsi="Times New Roman"/>
          <w:color w:val="2D3748"/>
          <w:sz w:val="24"/>
          <w:szCs w:val="24"/>
        </w:rPr>
        <w:t xml:space="preserve">Regulatory reporting functionality generates required reports automatically, including transaction volume statistics, suspicious activity reports, and periodic regulatory filings. Report formats comply with central bank specifications and are submitted through secure channels. The audit log system maintains immutable records of all transactions and system events, with retention periods aligned with regulatory requirements and accessible for regulatory examination.</w:t>
      </w:r>
    </w:p>
    <w:p>
      <w:pPr>
        <w:spacing w:after="200" w:line="312"/>
      </w:pPr>
      <w:r>
        <w:rPr>
          <w:rFonts w:ascii="Times New Roman" w:cs="Times New Roman" w:eastAsia="Times New Roman" w:hAnsi="Times New Roman"/>
          <w:color w:val="2D3748"/>
          <w:sz w:val="24"/>
          <w:szCs w:val="24"/>
        </w:rPr>
        <w:t xml:space="preserve">Fraud detection operates continuously, analysing transaction patterns and user behaviour to identify potentially fraudulent activity. The risk scoring engine assigns risk scores to transactions in real-time, with configurable thresholds triggering additional authentication, manual review, or automatic blocking based on the risk level detected.</w:t>
      </w:r>
    </w:p>
    <w:p>
      <w:pPr>
        <w:pStyle w:val="Heading1"/>
      </w:pPr>
      <w:r>
        <w:t xml:space="preserve">4. Non-Functional Requirements</w:t>
      </w:r>
    </w:p>
    <w:p>
      <w:pPr>
        <w:pStyle w:val="Heading2"/>
      </w:pPr>
      <w:r>
        <w:t xml:space="preserve">4.1 Performance and Scalability</w:t>
      </w:r>
    </w:p>
    <w:p>
      <w:pPr>
        <w:spacing w:after="200" w:line="312"/>
      </w:pPr>
      <w:r>
        <w:rPr>
          <w:rFonts w:ascii="Times New Roman" w:cs="Times New Roman" w:eastAsia="Times New Roman" w:hAnsi="Times New Roman"/>
          <w:color w:val="2D3748"/>
          <w:sz w:val="24"/>
          <w:szCs w:val="24"/>
        </w:rPr>
        <w:t xml:space="preserve">The performance requirements for a national payment system are demanding, reflecting the criticality of payment services to economic activity and user expectations for instant transactions. The system must deliver end-to-end transaction latency of less than two seconds from initiation to confirmation, encompassing all processing steps including validation, fraud checking, bank communication, and final settlement. This latency target applies under normal operating conditions and must be maintained during peak periods with only minimal degradation.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4680"/>
        <w:gridCol w:w="4680"/>
      </w:tblGrid>
      <w:tr>
        <w:trPr>
          <w:tblHeader/>
        </w:trPr>
        <w:tc>
          <w:tcPr>
            <w:tcW w:type="dxa" w:w="4680"/>
            <w:tcBorders>
              <w:top w:val="single" w:color="718096" w:sz="1"/>
              <w:left w:val="single" w:color="718096" w:sz="1"/>
              <w:bottom w:val="single" w:color="718096" w:sz="1"/>
              <w:right w:val="single" w:color="718096" w:sz="1"/>
            </w:tcBorders>
            <w:shd w:fill="1A365D" w:val="clear"/>
            <w:vAlign w:val="center"/>
          </w:tcPr>
          <w:p>
            <w:pPr>
              <w:jc w:val="center"/>
            </w:pPr>
            <w:r>
              <w:rPr>
                <w:rFonts w:ascii="Times New Roman" w:cs="Times New Roman" w:eastAsia="Times New Roman" w:hAnsi="Times New Roman"/>
                <w:b/>
                <w:bCs/>
                <w:color w:val="FFFFFF"/>
                <w:sz w:val="22"/>
                <w:szCs w:val="22"/>
              </w:rPr>
              <w:t xml:space="preserve">Performance Metric</w:t>
            </w:r>
          </w:p>
        </w:tc>
        <w:tc>
          <w:tcPr>
            <w:tcW w:type="dxa" w:w="4680"/>
            <w:tcBorders>
              <w:top w:val="single" w:color="718096" w:sz="1"/>
              <w:left w:val="single" w:color="718096" w:sz="1"/>
              <w:bottom w:val="single" w:color="718096" w:sz="1"/>
              <w:right w:val="single" w:color="718096" w:sz="1"/>
            </w:tcBorders>
            <w:shd w:fill="1A365D" w:val="clear"/>
            <w:vAlign w:val="center"/>
          </w:tcPr>
          <w:p>
            <w:pPr>
              <w:jc w:val="center"/>
            </w:pPr>
            <w:r>
              <w:rPr>
                <w:rFonts w:ascii="Times New Roman" w:cs="Times New Roman" w:eastAsia="Times New Roman" w:hAnsi="Times New Roman"/>
                <w:b/>
                <w:bCs/>
                <w:color w:val="FFFFFF"/>
                <w:sz w:val="22"/>
                <w:szCs w:val="22"/>
              </w:rPr>
              <w:t xml:space="preserve">Requirement</w:t>
            </w:r>
          </w:p>
        </w:tc>
      </w:tr>
      <w:tr>
        <w:tc>
          <w:tcPr>
            <w:tcW w:type="dxa" w:w="468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End-to-End Transaction Latency</w:t>
            </w:r>
          </w:p>
        </w:tc>
        <w:tc>
          <w:tcPr>
            <w:tcW w:type="dxa" w:w="468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&lt; 2 seconds</w:t>
            </w:r>
          </w:p>
        </w:tc>
      </w:tr>
      <w:tr>
        <w:tc>
          <w:tcPr>
            <w:tcW w:type="dxa" w:w="468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System Availability</w:t>
            </w:r>
          </w:p>
        </w:tc>
        <w:tc>
          <w:tcPr>
            <w:tcW w:type="dxa" w:w="468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99.999% (five nines)</w:t>
            </w:r>
          </w:p>
        </w:tc>
      </w:tr>
      <w:tr>
        <w:tc>
          <w:tcPr>
            <w:tcW w:type="dxa" w:w="468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Data Loss</w:t>
            </w:r>
          </w:p>
        </w:tc>
        <w:tc>
          <w:tcPr>
            <w:tcW w:type="dxa" w:w="468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Zero tolerance</w:t>
            </w:r>
          </w:p>
        </w:tc>
      </w:tr>
      <w:tr>
        <w:tc>
          <w:tcPr>
            <w:tcW w:type="dxa" w:w="468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Peak Load Handling</w:t>
            </w:r>
          </w:p>
        </w:tc>
        <w:tc>
          <w:tcPr>
            <w:tcW w:type="dxa" w:w="468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10x baseline capacity</w:t>
            </w:r>
          </w:p>
        </w:tc>
      </w:tr>
      <w:tr>
        <w:tc>
          <w:tcPr>
            <w:tcW w:type="dxa" w:w="468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Recovery Time Objective</w:t>
            </w:r>
          </w:p>
        </w:tc>
        <w:tc>
          <w:tcPr>
            <w:tcW w:type="dxa" w:w="468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&lt; 30 seconds</w:t>
            </w:r>
          </w:p>
        </w:tc>
      </w:tr>
    </w:tbl>
    <w:p>
      <w:pPr>
        <w:spacing w:after="200"/>
      </w:pPr>
    </w:p>
    <w:p>
      <w:pPr>
        <w:spacing w:after="200" w:line="312"/>
      </w:pPr>
      <w:r>
        <w:rPr>
          <w:rFonts w:ascii="Times New Roman" w:cs="Times New Roman" w:eastAsia="Times New Roman" w:hAnsi="Times New Roman"/>
          <w:color w:val="2D3748"/>
          <w:sz w:val="24"/>
          <w:szCs w:val="24"/>
        </w:rPr>
        <w:t xml:space="preserve">System availability of 99.999% translates to approximately five minutes of unplanned downtime per year, requiring redundant architecture with automatic failover capabilities. The horizontal scalability requirement enables the system to expand capacity during peak events such as national festivals, salary days, and tax deadlines when transaction volumes may increase up to tenfold. The infrastructure must support rapid scaling, with new capacity becoming productive within minutes of triggering.</w:t>
      </w:r>
    </w:p>
    <w:p>
      <w:pPr>
        <w:pStyle w:val="Heading2"/>
      </w:pPr>
      <w:r>
        <w:t xml:space="preserve">4.2 Security and Compliance</w:t>
      </w:r>
    </w:p>
    <w:p>
      <w:pPr>
        <w:spacing w:after="200" w:line="312"/>
      </w:pPr>
      <w:r>
        <w:rPr>
          <w:rFonts w:ascii="Times New Roman" w:cs="Times New Roman" w:eastAsia="Times New Roman" w:hAnsi="Times New Roman"/>
          <w:color w:val="2D3748"/>
          <w:sz w:val="24"/>
          <w:szCs w:val="24"/>
        </w:rPr>
        <w:t xml:space="preserve">Security architecture implements defence-in-depth principles with multiple overlapping controls protecting against external attacks and internal fraud. PCI DSS compliance ensures that card payment data is handled according to industry standards, while ISO 27001 certification demonstrates commitment to information security management best practices. Data encryption protects information both in transit using TLS 1.3 and at rest using AES-256 encryption with hardware security modules managing encryption keys.</w:t>
      </w:r>
    </w:p>
    <w:p>
      <w:pPr>
        <w:spacing w:after="200" w:line="312"/>
      </w:pPr>
      <w:r>
        <w:rPr>
          <w:rFonts w:ascii="Times New Roman" w:cs="Times New Roman" w:eastAsia="Times New Roman" w:hAnsi="Times New Roman"/>
          <w:color w:val="2D3748"/>
          <w:sz w:val="24"/>
          <w:szCs w:val="24"/>
        </w:rPr>
        <w:t xml:space="preserve">Authentication mechanisms include multi-factor authentication combining something the user knows (password or PIN), something the user has (mobile device), and something the user is (biometric). Risk-based authentication adjusts authentication requirements based on transaction risk factors, reducing friction for routine transactions while applying stronger authentication for unusual or high-value payments. Authorisation controls ensure that users can only access their own accounts and initiate transactions within their authorised limits.</w:t>
      </w:r>
    </w:p>
    <w:p>
      <w:pPr>
        <w:spacing w:after="200" w:line="312"/>
      </w:pPr>
      <w:r>
        <w:rPr>
          <w:rFonts w:ascii="Times New Roman" w:cs="Times New Roman" w:eastAsia="Times New Roman" w:hAnsi="Times New Roman"/>
          <w:color w:val="2D3748"/>
          <w:sz w:val="24"/>
          <w:szCs w:val="24"/>
        </w:rPr>
        <w:t xml:space="preserve">Compliance with national banking regulations encompasses consumer protection requirements, data localisation mandates, and financial reporting obligations. Data residency and sovereignty laws require that personal and transaction data remain within national borders, with restricted access for foreign entities. The system architecture supports these requirements through region-specific data centres and controlled data flows.</w:t>
      </w:r>
    </w:p>
    <w:p>
      <w:pPr>
        <w:pStyle w:val="Heading2"/>
      </w:pPr>
      <w:r>
        <w:t xml:space="preserve">4.3 Reliability and Resilience</w:t>
      </w:r>
    </w:p>
    <w:p>
      <w:pPr>
        <w:spacing w:after="200" w:line="312"/>
      </w:pPr>
      <w:r>
        <w:rPr>
          <w:rFonts w:ascii="Times New Roman" w:cs="Times New Roman" w:eastAsia="Times New Roman" w:hAnsi="Times New Roman"/>
          <w:color w:val="2D3748"/>
          <w:sz w:val="24"/>
          <w:szCs w:val="24"/>
        </w:rPr>
        <w:t xml:space="preserve">The reliability architecture eliminates single points of failure through redundant deployment of all system components. Geographic distribution across multiple data centres ensures continuity during localised disasters or infrastructure failures. Automatic failover mechanisms detect failures within seconds and redirect traffic to healthy instances without requiring manual intervention.</w:t>
      </w:r>
    </w:p>
    <w:p>
      <w:pPr>
        <w:spacing w:after="200" w:line="312"/>
      </w:pPr>
      <w:r>
        <w:rPr>
          <w:rFonts w:ascii="Times New Roman" w:cs="Times New Roman" w:eastAsia="Times New Roman" w:hAnsi="Times New Roman"/>
          <w:color w:val="2D3748"/>
          <w:sz w:val="24"/>
          <w:szCs w:val="24"/>
        </w:rPr>
        <w:t xml:space="preserve">Graceful degradation ensures that when components fail, the system continues providing essential services even if some non-critical features are temporarily unavailable. For example, if the analytics subsystem experiences issues, core payment processing continues unaffected. Real-time monitoring and alerting systems track hundreds of metrics across the infrastructure, with automated alerting when thresholds are exceeded and escalation procedures for critical incidents.</w:t>
      </w:r>
    </w:p>
    <w:p>
      <w:pPr>
        <w:pStyle w:val="Heading1"/>
      </w:pPr>
      <w:r>
        <w:t xml:space="preserve">5. Risk Analysis and Mitigation</w:t>
      </w:r>
    </w:p>
    <w:p>
      <w:pPr>
        <w:pStyle w:val="Heading2"/>
      </w:pPr>
      <w:r>
        <w:t xml:space="preserve">5.1 Technical Risk Assessment</w:t>
      </w:r>
    </w:p>
    <w:p>
      <w:pPr>
        <w:spacing w:after="200" w:line="312"/>
      </w:pPr>
      <w:r>
        <w:rPr>
          <w:rFonts w:ascii="Times New Roman" w:cs="Times New Roman" w:eastAsia="Times New Roman" w:hAnsi="Times New Roman"/>
          <w:color w:val="2D3748"/>
          <w:sz w:val="24"/>
          <w:szCs w:val="24"/>
        </w:rPr>
        <w:t xml:space="preserve">Technical risks encompass potential failures in infrastructure, software, and integration components. Database failures represent a critical risk, as the transaction database is central to all payment operations. Mitigation strategies include synchronous replication to standby databases with automatic failover, regular backup testing, and comprehensive monitoring of database health metrics including replication lag, query performance, and storage capacity.</w:t>
      </w:r>
    </w:p>
    <w:p>
      <w:pPr>
        <w:spacing w:after="200" w:line="312"/>
      </w:pPr>
      <w:r>
        <w:rPr>
          <w:rFonts w:ascii="Times New Roman" w:cs="Times New Roman" w:eastAsia="Times New Roman" w:hAnsi="Times New Roman"/>
          <w:color w:val="2D3748"/>
          <w:sz w:val="24"/>
          <w:szCs w:val="24"/>
        </w:rPr>
        <w:t xml:space="preserve">Network partition events, where communication between data centres is disrupted, pose risks to data consistency and availability. The architecture implements consensus protocols that maintain consistency during normal operations while providing clear procedures for handling partitions when they occur. Cache failures can dramatically increase load on backend systems, requiring cache warming strategies and fallback mechanisms that maintain acceptable performance during cache outages.</w:t>
      </w:r>
    </w:p>
    <w:p>
      <w:pPr>
        <w:pStyle w:val="Heading2"/>
      </w:pPr>
      <w:r>
        <w:t xml:space="preserve">5.2 Integration Risk Assessment</w:t>
      </w:r>
    </w:p>
    <w:p>
      <w:pPr>
        <w:spacing w:after="200" w:line="312"/>
      </w:pPr>
      <w:r>
        <w:rPr>
          <w:rFonts w:ascii="Times New Roman" w:cs="Times New Roman" w:eastAsia="Times New Roman" w:hAnsi="Times New Roman"/>
          <w:color w:val="2D3748"/>
          <w:sz w:val="24"/>
          <w:szCs w:val="24"/>
        </w:rPr>
        <w:t xml:space="preserve">Integration risks arise from dependencies on external systems, particularly banking partners. Individual bank outages must not impact transactions involving other banks, requiring isolation through per-bank circuit breakers that detect degraded performance and automatically route transactions away from affected institutions. When a bank recovers, the system processes queued transactions in priority order.</w:t>
      </w:r>
    </w:p>
    <w:p>
      <w:pPr>
        <w:spacing w:after="200" w:line="312"/>
      </w:pPr>
      <w:r>
        <w:rPr>
          <w:rFonts w:ascii="Times New Roman" w:cs="Times New Roman" w:eastAsia="Times New Roman" w:hAnsi="Times New Roman"/>
          <w:color w:val="2D3748"/>
          <w:sz w:val="24"/>
          <w:szCs w:val="24"/>
        </w:rPr>
        <w:t xml:space="preserve">Third-party service dependencies including SMS gateways for one-time passwords, identity verification services, and fraud data providers require backup arrangements and fallback procedures. Multi-vendor strategies for critical services ensure continuity when primary providers experience issues. API versioning and compatibility management prevent integration failures when partners update their systems.</w:t>
      </w:r>
    </w:p>
    <w:p>
      <w:pPr>
        <w:pStyle w:val="Heading2"/>
      </w:pPr>
      <w:r>
        <w:t xml:space="preserve">5.3 Mitigation Strategies</w:t>
      </w:r>
    </w:p>
    <w:p>
      <w:pPr>
        <w:spacing w:after="120" w:line="312"/>
      </w:pPr>
      <w:r>
        <w:rPr>
          <w:rFonts w:ascii="Times New Roman" w:cs="Times New Roman" w:eastAsia="Times New Roman" w:hAnsi="Times New Roman"/>
          <w:color w:val="2D3748"/>
          <w:sz w:val="24"/>
          <w:szCs w:val="24"/>
        </w:rPr>
        <w:t xml:space="preserve">The risk mitigation framework combines architectural patterns, operational procedures, and contingency plans:</w:t>
      </w:r>
    </w:p>
    <w:p>
      <w:pPr>
        <w:pStyle w:val="ListParagraph"/>
        <w:numPr>
          <w:ilvl w:val="0"/>
          <w:numId w:val="4"/>
        </w:numPr>
      </w:pPr>
      <w:r>
        <w:rPr>
          <w:rFonts w:ascii="Times New Roman" w:cs="Times New Roman" w:eastAsia="Times New Roman" w:hAnsi="Times New Roman"/>
          <w:color w:val="2D3748"/>
          <w:sz w:val="24"/>
          <w:szCs w:val="24"/>
        </w:rPr>
        <w:t xml:space="preserve">Redundancy: Active-active deployment across multiple availability zones and geographic regions, with automated traffic distribution and failover.</w:t>
      </w:r>
    </w:p>
    <w:p>
      <w:pPr>
        <w:pStyle w:val="ListParagraph"/>
        <w:numPr>
          <w:ilvl w:val="0"/>
          <w:numId w:val="4"/>
        </w:numPr>
      </w:pPr>
      <w:r>
        <w:rPr>
          <w:rFonts w:ascii="Times New Roman" w:cs="Times New Roman" w:eastAsia="Times New Roman" w:hAnsi="Times New Roman"/>
          <w:color w:val="2D3748"/>
          <w:sz w:val="24"/>
          <w:szCs w:val="24"/>
        </w:rPr>
        <w:t xml:space="preserve">Circuit Breakers: Automatic detection of failing dependencies with configurable thresholds for triggering circuit opening and closing, preventing cascade failures.</w:t>
      </w:r>
    </w:p>
    <w:p>
      <w:pPr>
        <w:pStyle w:val="ListParagraph"/>
        <w:numPr>
          <w:ilvl w:val="0"/>
          <w:numId w:val="4"/>
        </w:numPr>
      </w:pPr>
      <w:r>
        <w:rPr>
          <w:rFonts w:ascii="Times New Roman" w:cs="Times New Roman" w:eastAsia="Times New Roman" w:hAnsi="Times New Roman"/>
          <w:color w:val="2D3748"/>
          <w:sz w:val="24"/>
          <w:szCs w:val="24"/>
        </w:rPr>
        <w:t xml:space="preserve">Bulkheads: Isolation of resources for different system components and bank integrations, ensuring that failures in one area do not impact others.</w:t>
      </w:r>
    </w:p>
    <w:p>
      <w:pPr>
        <w:pStyle w:val="ListParagraph"/>
        <w:numPr>
          <w:ilvl w:val="0"/>
          <w:numId w:val="4"/>
        </w:numPr>
      </w:pPr>
      <w:r>
        <w:rPr>
          <w:rFonts w:ascii="Times New Roman" w:cs="Times New Roman" w:eastAsia="Times New Roman" w:hAnsi="Times New Roman"/>
          <w:color w:val="2D3748"/>
          <w:sz w:val="24"/>
          <w:szCs w:val="24"/>
        </w:rPr>
        <w:t xml:space="preserve">Rate Limiting: Protection against overload through request throttling, with queueing for legitimate excess requests and rejection of malicious traffic.</w:t>
      </w:r>
    </w:p>
    <w:p>
      <w:pPr>
        <w:pStyle w:val="ListParagraph"/>
        <w:numPr>
          <w:ilvl w:val="0"/>
          <w:numId w:val="4"/>
        </w:numPr>
      </w:pPr>
      <w:r>
        <w:rPr>
          <w:rFonts w:ascii="Times New Roman" w:cs="Times New Roman" w:eastAsia="Times New Roman" w:hAnsi="Times New Roman"/>
          <w:color w:val="2D3748"/>
          <w:sz w:val="24"/>
          <w:szCs w:val="24"/>
        </w:rPr>
        <w:t xml:space="preserve">Chaos Engineering: Regular failure injection testing to validate resilience mechanisms and identify weaknesses before they cause production incidents.</w:t>
      </w:r>
    </w:p>
    <w:p>
      <w:pPr>
        <w:pStyle w:val="Heading2"/>
      </w:pPr>
      <w:r>
        <w:t xml:space="preserve">5.4 Contingency Planning</w:t>
      </w:r>
    </w:p>
    <w:p>
      <w:pPr>
        <w:spacing w:after="200" w:line="312"/>
      </w:pPr>
      <w:r>
        <w:rPr>
          <w:rFonts w:ascii="Times New Roman" w:cs="Times New Roman" w:eastAsia="Times New Roman" w:hAnsi="Times New Roman"/>
          <w:color w:val="2D3748"/>
          <w:sz w:val="24"/>
          <w:szCs w:val="24"/>
        </w:rPr>
        <w:t xml:space="preserve">When preventive measures fail, contingency plans ensure rapid recovery and minimise business impact. Manual reconciliation procedures define processes for investigating and resolving discrepancies identified through automated reconciliation or user reports. Dedicated teams trained in reconciliation procedures are available around the clock, with escalation paths for complex cases.</w:t>
      </w:r>
    </w:p>
    <w:p>
      <w:pPr>
        <w:spacing w:after="200" w:line="312"/>
      </w:pPr>
      <w:r>
        <w:rPr>
          <w:rFonts w:ascii="Times New Roman" w:cs="Times New Roman" w:eastAsia="Times New Roman" w:hAnsi="Times New Roman"/>
          <w:color w:val="2D3748"/>
          <w:sz w:val="24"/>
          <w:szCs w:val="24"/>
        </w:rPr>
        <w:t xml:space="preserve">Deferred settlement protocols activate when real-time settlement is not possible due to bank outages or system issues. Transactions are queued with appropriate status notifications to users, and settlement proceeds when normal operations resume. Interest calculations for delayed settlements ensure that users are compensated for any holding period when amounts are significant.</w:t>
      </w:r>
    </w:p>
    <w:p>
      <w:pPr>
        <w:spacing w:after="200" w:line="312"/>
      </w:pPr>
      <w:r>
        <w:rPr>
          <w:rFonts w:ascii="Times New Roman" w:cs="Times New Roman" w:eastAsia="Times New Roman" w:hAnsi="Times New Roman"/>
          <w:color w:val="2D3748"/>
          <w:sz w:val="24"/>
          <w:szCs w:val="24"/>
        </w:rPr>
        <w:t xml:space="preserve">User communication strategies maintain trust during incidents by providing transparent, timely information through multiple channels. In-app notifications inform users of known issues and expected resolution times. Status pages provide system-wide visibility, while customer support channels handle individual inquiries. Post-incident communications explain what occurred and what measures are being implemented to prevent recurrence.</w:t>
      </w:r>
    </w:p>
    <w:p>
      <w:pPr>
        <w:pStyle w:val="Heading1"/>
      </w:pPr>
      <w:r>
        <w:t xml:space="preserve">6. Architectural Trade-offs</w:t>
      </w:r>
    </w:p>
    <w:p>
      <w:pPr>
        <w:pStyle w:val="Heading2"/>
      </w:pPr>
      <w:r>
        <w:t xml:space="preserve">6.1 Consistency Versus Availability</w:t>
      </w:r>
    </w:p>
    <w:p>
      <w:pPr>
        <w:spacing w:after="200" w:line="312"/>
      </w:pPr>
      <w:r>
        <w:rPr>
          <w:rFonts w:ascii="Times New Roman" w:cs="Times New Roman" w:eastAsia="Times New Roman" w:hAnsi="Times New Roman"/>
          <w:color w:val="2D3748"/>
          <w:sz w:val="24"/>
          <w:szCs w:val="24"/>
        </w:rPr>
        <w:t xml:space="preserve">The CAP theorem dictates that distributed systems must make trade-offs between consistency and availability during network partitions. For the core transaction processing system, we prioritise strong consistency to ensure financial integrity. Users cannot tolerate seeing inconsistent account balances, and regulatory requirements mandate accurate, auditable transaction records. The architecture implements synchronous replication for transaction data, ensuring that committed transactions are durable across multiple data centres before confirmation is sent to users.</w:t>
      </w:r>
    </w:p>
    <w:p>
      <w:pPr>
        <w:spacing w:after="200" w:line="312"/>
      </w:pPr>
      <w:r>
        <w:rPr>
          <w:rFonts w:ascii="Times New Roman" w:cs="Times New Roman" w:eastAsia="Times New Roman" w:hAnsi="Times New Roman"/>
          <w:color w:val="2D3748"/>
          <w:sz w:val="24"/>
          <w:szCs w:val="24"/>
        </w:rPr>
        <w:t xml:space="preserve">However, not all system components require strong consistency. Analytics dashboards, marketing systems, and certain reporting functions can operate with eventual consistency, accepting some latency in data updates in exchange for improved availability and performance. This hybrid approach enables the system to maintain financial accuracy where required while optimising for user experience in areas where perfect consistency is less critical.</w:t>
      </w:r>
    </w:p>
    <w:p>
      <w:pPr>
        <w:pStyle w:val="Heading2"/>
      </w:pPr>
      <w:r>
        <w:t xml:space="preserve">6.2 Cost Versus Reliability</w:t>
      </w:r>
    </w:p>
    <w:p>
      <w:pPr>
        <w:spacing w:after="200" w:line="312"/>
      </w:pPr>
      <w:r>
        <w:rPr>
          <w:rFonts w:ascii="Times New Roman" w:cs="Times New Roman" w:eastAsia="Times New Roman" w:hAnsi="Times New Roman"/>
          <w:color w:val="2D3748"/>
          <w:sz w:val="24"/>
          <w:szCs w:val="24"/>
        </w:rPr>
        <w:t xml:space="preserve">The architecture prioritises reliability over cost optimisation, reflecting the mission-critical nature of payment services. Redundancy at every layer, cross-region replication, and dedicated failover systems significantly increase infrastructure costs compared to a minimal viable architecture. However, the potential cost of system downtime, including lost transactions, reputational damage, regulatory penalties, and economic disruption, far exceeds the incremental infrastructure investment.</w:t>
      </w:r>
    </w:p>
    <w:p>
      <w:pPr>
        <w:spacing w:after="200" w:line="312"/>
      </w:pPr>
      <w:r>
        <w:rPr>
          <w:rFonts w:ascii="Times New Roman" w:cs="Times New Roman" w:eastAsia="Times New Roman" w:hAnsi="Times New Roman"/>
          <w:color w:val="2D3748"/>
          <w:sz w:val="24"/>
          <w:szCs w:val="24"/>
        </w:rPr>
        <w:t xml:space="preserve">Cost optimisation efforts focus on non-production environments, development tooling, and efficiency improvements rather than production infrastructure reduction. Auto-scaling enables the system to reduce capacity during low-traffic periods while maintaining sufficient headroom for traffic spikes. Reserved capacity commitments provide significant discounts for predictable baseline loads.</w:t>
      </w:r>
    </w:p>
    <w:p>
      <w:pPr>
        <w:pStyle w:val="Heading2"/>
      </w:pPr>
      <w:r>
        <w:t xml:space="preserve">6.3 Real-Time Versus Eventual Processing</w:t>
      </w:r>
    </w:p>
    <w:p>
      <w:pPr>
        <w:spacing w:after="200" w:line="312"/>
      </w:pPr>
      <w:r>
        <w:rPr>
          <w:rFonts w:ascii="Times New Roman" w:cs="Times New Roman" w:eastAsia="Times New Roman" w:hAnsi="Times New Roman"/>
          <w:color w:val="2D3748"/>
          <w:sz w:val="24"/>
          <w:szCs w:val="24"/>
        </w:rPr>
        <w:t xml:space="preserve">The user-facing transaction flow must be real-time to deliver on the core value proposition of instant payments. Users expect immediate confirmation when they send money, and any perceptible delay degrades the experience. However, many supporting processes can operate asynchronously without impacting user experience. Settlement reconciliation with banks, regulatory reporting, fraud model updates, and analytics all operate on eventual processing schedules.</w:t>
      </w:r>
    </w:p>
    <w:p>
      <w:pPr>
        <w:spacing w:after="200" w:line="312"/>
      </w:pPr>
      <w:r>
        <w:rPr>
          <w:rFonts w:ascii="Times New Roman" w:cs="Times New Roman" w:eastAsia="Times New Roman" w:hAnsi="Times New Roman"/>
          <w:color w:val="2D3748"/>
          <w:sz w:val="24"/>
          <w:szCs w:val="24"/>
        </w:rPr>
        <w:t xml:space="preserve">This separation of concerns enables independent optimisation: the real-time path is engineered for minimal latency with simplified processing, while batch processes are optimised for throughput and cost efficiency. Asynchronous processing also provides natural buffering during load spikes, absorbing excess transactions that can be processed when capacity becomes available.</w:t>
      </w:r>
    </w:p>
    <w:p>
      <w:pPr>
        <w:pStyle w:val="Heading2"/>
      </w:pPr>
      <w:r>
        <w:t xml:space="preserve">6.4 Security Depth Versus User Experience</w:t>
      </w:r>
    </w:p>
    <w:p>
      <w:pPr>
        <w:spacing w:after="200" w:line="312"/>
      </w:pPr>
      <w:r>
        <w:rPr>
          <w:rFonts w:ascii="Times New Roman" w:cs="Times New Roman" w:eastAsia="Times New Roman" w:hAnsi="Times New Roman"/>
          <w:color w:val="2D3748"/>
          <w:sz w:val="24"/>
          <w:szCs w:val="24"/>
        </w:rPr>
        <w:t xml:space="preserve">Security measures and user experience exist in inherent tension, as additional authentication steps introduce friction. The system addresses this through risk-based authentication that applies appropriate security measures based on transaction risk profile. Routine, low-value transactions to familiar recipients proceed with minimal friction, while unusual patterns or high-value transactions trigger additional verification steps.</w:t>
      </w:r>
    </w:p>
    <w:p>
      <w:pPr>
        <w:spacing w:after="200" w:line="312"/>
      </w:pPr>
      <w:r>
        <w:rPr>
          <w:rFonts w:ascii="Times New Roman" w:cs="Times New Roman" w:eastAsia="Times New Roman" w:hAnsi="Times New Roman"/>
          <w:color w:val="2D3748"/>
          <w:sz w:val="24"/>
          <w:szCs w:val="24"/>
        </w:rPr>
        <w:t xml:space="preserve">Biometric authentication provides strong security with minimal user effort, using fingerprint or facial recognition available on modern smartphones. The fraud detection system operates invisibly in the background, only intervening when genuine risk indicators are detected. User education programmes help build understanding of security measures and their importance, reducing frustration when additional verification is required.</w:t>
      </w:r>
    </w:p>
    <w:p>
      <w:pPr>
        <w:pStyle w:val="Heading2"/>
      </w:pPr>
      <w:r>
        <w:t xml:space="preserve">6.5 Trade-off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500"/>
        <w:gridCol w:w="3430"/>
        <w:gridCol w:w="3430"/>
      </w:tblGrid>
      <w:tr>
        <w:trPr>
          <w:tblHeader/>
        </w:trPr>
        <w:tc>
          <w:tcPr>
            <w:tcW w:type="dxa" w:w="2500"/>
            <w:tcBorders>
              <w:top w:val="single" w:color="718096" w:sz="1"/>
              <w:left w:val="single" w:color="718096" w:sz="1"/>
              <w:bottom w:val="single" w:color="718096" w:sz="1"/>
              <w:right w:val="single" w:color="718096" w:sz="1"/>
            </w:tcBorders>
            <w:shd w:fill="1A365D" w:val="clear"/>
            <w:vAlign w:val="center"/>
          </w:tcPr>
          <w:p>
            <w:pPr>
              <w:jc w:val="center"/>
            </w:pPr>
            <w:r>
              <w:rPr>
                <w:rFonts w:ascii="Times New Roman" w:cs="Times New Roman" w:eastAsia="Times New Roman" w:hAnsi="Times New Roman"/>
                <w:b/>
                <w:bCs/>
                <w:color w:val="FFFFFF"/>
                <w:sz w:val="22"/>
                <w:szCs w:val="22"/>
              </w:rPr>
              <w:t xml:space="preserve">Trade-off Dimension</w:t>
            </w:r>
          </w:p>
        </w:tc>
        <w:tc>
          <w:tcPr>
            <w:tcW w:type="dxa" w:w="3430"/>
            <w:tcBorders>
              <w:top w:val="single" w:color="718096" w:sz="1"/>
              <w:left w:val="single" w:color="718096" w:sz="1"/>
              <w:bottom w:val="single" w:color="718096" w:sz="1"/>
              <w:right w:val="single" w:color="718096" w:sz="1"/>
            </w:tcBorders>
            <w:shd w:fill="1A365D" w:val="clear"/>
            <w:vAlign w:val="center"/>
          </w:tcPr>
          <w:p>
            <w:pPr>
              <w:jc w:val="center"/>
            </w:pPr>
            <w:r>
              <w:rPr>
                <w:rFonts w:ascii="Times New Roman" w:cs="Times New Roman" w:eastAsia="Times New Roman" w:hAnsi="Times New Roman"/>
                <w:b/>
                <w:bCs/>
                <w:color w:val="FFFFFF"/>
                <w:sz w:val="22"/>
                <w:szCs w:val="22"/>
              </w:rPr>
              <w:t xml:space="preserve">Selected Approach</w:t>
            </w:r>
          </w:p>
        </w:tc>
        <w:tc>
          <w:tcPr>
            <w:tcW w:type="dxa" w:w="3430"/>
            <w:tcBorders>
              <w:top w:val="single" w:color="718096" w:sz="1"/>
              <w:left w:val="single" w:color="718096" w:sz="1"/>
              <w:bottom w:val="single" w:color="718096" w:sz="1"/>
              <w:right w:val="single" w:color="718096" w:sz="1"/>
            </w:tcBorders>
            <w:shd w:fill="1A365D" w:val="clear"/>
            <w:vAlign w:val="center"/>
          </w:tcPr>
          <w:p>
            <w:pPr>
              <w:jc w:val="center"/>
            </w:pPr>
            <w:r>
              <w:rPr>
                <w:rFonts w:ascii="Times New Roman" w:cs="Times New Roman" w:eastAsia="Times New Roman" w:hAnsi="Times New Roman"/>
                <w:b/>
                <w:bCs/>
                <w:color w:val="FFFFFF"/>
                <w:sz w:val="22"/>
                <w:szCs w:val="22"/>
              </w:rPr>
              <w:t xml:space="preserve">Rationale</w:t>
            </w:r>
          </w:p>
        </w:tc>
      </w:tr>
      <w:tr>
        <w:tc>
          <w:tcPr>
            <w:tcW w:type="dxa" w:w="250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Consistency vs Availability</w:t>
            </w:r>
          </w:p>
        </w:tc>
        <w:tc>
          <w:tcPr>
            <w:tcW w:type="dxa" w:w="343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Strong consistency for transactions</w:t>
            </w:r>
          </w:p>
        </w:tc>
        <w:tc>
          <w:tcPr>
            <w:tcW w:type="dxa" w:w="343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Financial integrity is paramount</w:t>
            </w:r>
          </w:p>
        </w:tc>
      </w:tr>
      <w:tr>
        <w:tc>
          <w:tcPr>
            <w:tcW w:type="dxa" w:w="250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Cost vs Reliability</w:t>
            </w:r>
          </w:p>
        </w:tc>
        <w:tc>
          <w:tcPr>
            <w:tcW w:type="dxa" w:w="343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Prioritise reliability</w:t>
            </w:r>
          </w:p>
        </w:tc>
        <w:tc>
          <w:tcPr>
            <w:tcW w:type="dxa" w:w="343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Downtime costs exceed infrastructure investment</w:t>
            </w:r>
          </w:p>
        </w:tc>
      </w:tr>
      <w:tr>
        <w:tc>
          <w:tcPr>
            <w:tcW w:type="dxa" w:w="250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Real-time vs Eventual</w:t>
            </w:r>
          </w:p>
        </w:tc>
        <w:tc>
          <w:tcPr>
            <w:tcW w:type="dxa" w:w="343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Hybrid approach</w:t>
            </w:r>
          </w:p>
        </w:tc>
        <w:tc>
          <w:tcPr>
            <w:tcW w:type="dxa" w:w="343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Real-time for users, eventual for operations</w:t>
            </w:r>
          </w:p>
        </w:tc>
      </w:tr>
      <w:tr>
        <w:tc>
          <w:tcPr>
            <w:tcW w:type="dxa" w:w="250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Security vs Experience</w:t>
            </w:r>
          </w:p>
        </w:tc>
        <w:tc>
          <w:tcPr>
            <w:tcW w:type="dxa" w:w="343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Risk-based authentication</w:t>
            </w:r>
          </w:p>
        </w:tc>
        <w:tc>
          <w:tcPr>
            <w:tcW w:type="dxa" w:w="3430"/>
            <w:tcBorders>
              <w:top w:val="single" w:color="718096" w:sz="1"/>
              <w:left w:val="single" w:color="718096" w:sz="1"/>
              <w:bottom w:val="single" w:color="718096" w:sz="1"/>
              <w:right w:val="single" w:color="718096" w:sz="1"/>
            </w:tcBorders>
            <w:shd w:fill="F7FAFC" w:val="clear"/>
            <w:vAlign w:val="center"/>
          </w:tcPr>
          <w:p>
            <w:pPr>
              <w:jc w:val="center"/>
            </w:pPr>
            <w:r>
              <w:rPr>
                <w:rFonts w:ascii="Times New Roman" w:cs="Times New Roman" w:eastAsia="Times New Roman" w:hAnsi="Times New Roman"/>
                <w:b w:val="false"/>
                <w:bCs w:val="false"/>
                <w:color w:val="2D3748"/>
                <w:sz w:val="20"/>
                <w:szCs w:val="20"/>
              </w:rPr>
              <w:t xml:space="preserve">Security without unnecessary friction</w:t>
            </w:r>
          </w:p>
        </w:tc>
      </w:tr>
    </w:tbl>
    <w:p>
      <w:pPr>
        <w:spacing w:after="200"/>
      </w:pPr>
    </w:p>
    <w:p>
      <w:pPr>
        <w:pStyle w:val="Heading1"/>
      </w:pPr>
      <w:r>
        <w:t xml:space="preserve">7. Global Benchmarks and Best Practices</w:t>
      </w:r>
    </w:p>
    <w:p>
      <w:pPr>
        <w:pStyle w:val="Heading2"/>
      </w:pPr>
      <w:r>
        <w:t xml:space="preserve">7.1 Reference Implementations</w:t>
      </w:r>
    </w:p>
    <w:p>
      <w:pPr>
        <w:spacing w:after="200" w:line="312"/>
      </w:pPr>
      <w:r>
        <w:rPr>
          <w:rFonts w:ascii="Times New Roman" w:cs="Times New Roman" w:eastAsia="Times New Roman" w:hAnsi="Times New Roman"/>
          <w:color w:val="2D3748"/>
          <w:sz w:val="24"/>
          <w:szCs w:val="24"/>
        </w:rPr>
        <w:t xml:space="preserve">Several successful real-time payment implementations worldwide provide valuable lessons and best practices for this initiative. Examining these systems reveals patterns that contribute to success and pitfalls to avoid:</w:t>
      </w:r>
    </w:p>
    <w:p>
      <w:pPr>
        <w:pStyle w:val="Heading3"/>
      </w:pPr>
      <w:r>
        <w:t xml:space="preserve">Unified Payments Interface (India)</w:t>
      </w:r>
    </w:p>
    <w:p>
      <w:pPr>
        <w:spacing w:after="200" w:line="312"/>
      </w:pPr>
      <w:r>
        <w:rPr>
          <w:rFonts w:ascii="Times New Roman" w:cs="Times New Roman" w:eastAsia="Times New Roman" w:hAnsi="Times New Roman"/>
          <w:color w:val="2D3748"/>
          <w:sz w:val="24"/>
          <w:szCs w:val="24"/>
        </w:rPr>
        <w:t xml:space="preserve">India's UPI represents one of the most successful real-time payment implementations globally, processing over 10 billion transactions monthly. The open API approach enabled rapid innovation, with multiple payment applications competing on user experience while sharing common infrastructure. Key success factors include standardised QR code specifications that enable interoperability across payment apps, minimal merchant discount rates that encourage acceptance, and effective handling of seasonal volume spikes during festivals. The governance model, with the National Payments Corporation of India as the central operator, provides a template for our organisational structure.</w:t>
      </w:r>
    </w:p>
    <w:p>
      <w:pPr>
        <w:pStyle w:val="Heading3"/>
      </w:pPr>
      <w:r>
        <w:t xml:space="preserve">Faster Payments Service (United Kingdom)</w:t>
      </w:r>
    </w:p>
    <w:p>
      <w:pPr>
        <w:spacing w:after="200" w:line="312"/>
      </w:pPr>
      <w:r>
        <w:rPr>
          <w:rFonts w:ascii="Times New Roman" w:cs="Times New Roman" w:eastAsia="Times New Roman" w:hAnsi="Times New Roman"/>
          <w:color w:val="2D3748"/>
          <w:sz w:val="24"/>
          <w:szCs w:val="24"/>
        </w:rPr>
        <w:t xml:space="preserve">The UK Faster Payments Service, launched in 2008, demonstrates successful coordination among competing banks for real-time settlement. The tiered participation model, with direct and indirect participants, provides a scalable approach for bank integration that accommodates institutions of varying sizes and technical capabilities. Adoption of ISO 20022 standards ensures interoperability and positions the system for international connectivity. The dispute resolution mechanisms and consumer protection frameworks offer useful patterns for our implementation.</w:t>
      </w:r>
    </w:p>
    <w:p>
      <w:pPr>
        <w:pStyle w:val="Heading3"/>
      </w:pPr>
      <w:r>
        <w:t xml:space="preserve">FedNow Service (United States)</w:t>
      </w:r>
    </w:p>
    <w:p>
      <w:pPr>
        <w:spacing w:after="200" w:line="312"/>
      </w:pPr>
      <w:r>
        <w:rPr>
          <w:rFonts w:ascii="Times New Roman" w:cs="Times New Roman" w:eastAsia="Times New Roman" w:hAnsi="Times New Roman"/>
          <w:color w:val="2D3748"/>
          <w:sz w:val="24"/>
          <w:szCs w:val="24"/>
        </w:rPr>
        <w:t xml:space="preserve">The Federal Reserve's FedNow service, launched in 2023, provides insights into regulatory considerations and adoption strategies for a mature financial market. The focus on fraud prevention through real-time payment credit transfers and the innovative request-for-payment functionality represent features worth incorporating. The phased rollout approach, with initial adoption by early-adopter institutions followed by broader rollout, offers a model for managing launch risk.</w:t>
      </w:r>
    </w:p>
    <w:p>
      <w:pPr>
        <w:pStyle w:val="Heading2"/>
      </w:pPr>
      <w:r>
        <w:t xml:space="preserve">7.2 Recommended Additional Features</w:t>
      </w:r>
    </w:p>
    <w:p>
      <w:pPr>
        <w:spacing w:after="120" w:line="312"/>
      </w:pPr>
      <w:r>
        <w:rPr>
          <w:rFonts w:ascii="Times New Roman" w:cs="Times New Roman" w:eastAsia="Times New Roman" w:hAnsi="Times New Roman"/>
          <w:color w:val="2D3748"/>
          <w:sz w:val="24"/>
          <w:szCs w:val="24"/>
        </w:rPr>
        <w:t xml:space="preserve">Based on global benchmarks and emerging market trends, the following additional features are recommended to differentiate the platform and maximise value for stakeholders:</w:t>
      </w:r>
    </w:p>
    <w:p>
      <w:pPr>
        <w:pStyle w:val="ListParagraph"/>
        <w:numPr>
          <w:ilvl w:val="0"/>
          <w:numId w:val="5"/>
        </w:numPr>
      </w:pPr>
      <w:r>
        <w:rPr>
          <w:rFonts w:ascii="Times New Roman" w:cs="Times New Roman" w:eastAsia="Times New Roman" w:hAnsi="Times New Roman"/>
          <w:color w:val="2D3748"/>
          <w:sz w:val="24"/>
          <w:szCs w:val="24"/>
        </w:rPr>
        <w:t xml:space="preserve">Request-to-Pay Functionality: Enables merchants and individuals to request payments, improving collection efficiency and reducing failed payment attempts. This feature has demonstrated significant adoption in European markets.</w:t>
      </w:r>
    </w:p>
    <w:p>
      <w:pPr>
        <w:pStyle w:val="ListParagraph"/>
        <w:numPr>
          <w:ilvl w:val="0"/>
          <w:numId w:val="5"/>
        </w:numPr>
      </w:pPr>
      <w:r>
        <w:rPr>
          <w:rFonts w:ascii="Times New Roman" w:cs="Times New Roman" w:eastAsia="Times New Roman" w:hAnsi="Times New Roman"/>
          <w:color w:val="2D3748"/>
          <w:sz w:val="24"/>
          <w:szCs w:val="24"/>
        </w:rPr>
        <w:t xml:space="preserve">Scheduled Payments: Allows users to set up recurring payments and future-dated transactions, reducing manual effort for regular bills and subscriptions while providing predictable cash flows for recipients.</w:t>
      </w:r>
    </w:p>
    <w:p>
      <w:pPr>
        <w:pStyle w:val="ListParagraph"/>
        <w:numPr>
          <w:ilvl w:val="0"/>
          <w:numId w:val="5"/>
        </w:numPr>
      </w:pPr>
      <w:r>
        <w:rPr>
          <w:rFonts w:ascii="Times New Roman" w:cs="Times New Roman" w:eastAsia="Times New Roman" w:hAnsi="Times New Roman"/>
          <w:color w:val="2D3748"/>
          <w:sz w:val="24"/>
          <w:szCs w:val="24"/>
        </w:rPr>
        <w:t xml:space="preserve">Split Payment Capability: Enables peer-to-peer bill splitting for restaurants, shared expenses, and group purchases directly within the payment interface, increasing engagement and transaction volume.</w:t>
      </w:r>
    </w:p>
    <w:p>
      <w:pPr>
        <w:pStyle w:val="ListParagraph"/>
        <w:numPr>
          <w:ilvl w:val="0"/>
          <w:numId w:val="5"/>
        </w:numPr>
      </w:pPr>
      <w:r>
        <w:rPr>
          <w:rFonts w:ascii="Times New Roman" w:cs="Times New Roman" w:eastAsia="Times New Roman" w:hAnsi="Times New Roman"/>
          <w:color w:val="2D3748"/>
          <w:sz w:val="24"/>
          <w:szCs w:val="24"/>
        </w:rPr>
        <w:t xml:space="preserve">Payment Links: Generates shareable payment links for remote transactions, enabling e-commerce integration without complex API implementations, particularly valuable for small merchants and social commerce.</w:t>
      </w:r>
    </w:p>
    <w:p>
      <w:pPr>
        <w:pStyle w:val="ListParagraph"/>
        <w:numPr>
          <w:ilvl w:val="0"/>
          <w:numId w:val="5"/>
        </w:numPr>
      </w:pPr>
      <w:r>
        <w:rPr>
          <w:rFonts w:ascii="Times New Roman" w:cs="Times New Roman" w:eastAsia="Times New Roman" w:hAnsi="Times New Roman"/>
          <w:color w:val="2D3748"/>
          <w:sz w:val="24"/>
          <w:szCs w:val="24"/>
        </w:rPr>
        <w:t xml:space="preserve">Multi-Currency Wallet: Supports holding and transacting in multiple currencies, essential for the planned international expansion and cross-border payment capabilities.</w:t>
      </w:r>
    </w:p>
    <w:p>
      <w:pPr>
        <w:pStyle w:val="Heading2"/>
      </w:pPr>
      <w:r>
        <w:t xml:space="preserve">7.3 Impact and Return on Investment</w:t>
      </w:r>
    </w:p>
    <w:p>
      <w:pPr>
        <w:spacing w:after="200" w:line="312"/>
      </w:pPr>
      <w:r>
        <w:rPr>
          <w:rFonts w:ascii="Times New Roman" w:cs="Times New Roman" w:eastAsia="Times New Roman" w:hAnsi="Times New Roman"/>
          <w:color w:val="2D3748"/>
          <w:sz w:val="24"/>
          <w:szCs w:val="24"/>
        </w:rPr>
        <w:t xml:space="preserve">The recommended features deliver significant business value through multiple channels, justifying the additional development investment:</w:t>
      </w:r>
    </w:p>
    <w:p>
      <w:pPr>
        <w:spacing w:after="200" w:line="312"/>
      </w:pPr>
      <w:r>
        <w:rPr>
          <w:rFonts w:ascii="Times New Roman" w:cs="Times New Roman" w:eastAsia="Times New Roman" w:hAnsi="Times New Roman"/>
          <w:color w:val="2D3748"/>
          <w:sz w:val="24"/>
          <w:szCs w:val="24"/>
        </w:rPr>
        <w:t xml:space="preserve">Revenue Enhancement: Request-to-pay and payment link functionalities open new revenue streams through merchant fees and value-added services. Analysis of comparable implementations suggests potential additional annual revenue of 15-20% from these features. Split payment capability increases transaction volume through social sharing mechanics and group purchasing patterns.</w:t>
      </w:r>
    </w:p>
    <w:p>
      <w:pPr>
        <w:spacing w:after="200" w:line="312"/>
      </w:pPr>
      <w:r>
        <w:rPr>
          <w:rFonts w:ascii="Times New Roman" w:cs="Times New Roman" w:eastAsia="Times New Roman" w:hAnsi="Times New Roman"/>
          <w:color w:val="2D3748"/>
          <w:sz w:val="24"/>
          <w:szCs w:val="24"/>
        </w:rPr>
        <w:t xml:space="preserve">Cost Reduction: Scheduled payments reduce failed transaction rates and associated processing costs, with estimated 12% reduction in transaction failures and associated operational overhead. Improved predictability of payment flows enables better liquidity management across the system.</w:t>
      </w:r>
    </w:p>
    <w:p>
      <w:pPr>
        <w:spacing w:after="200" w:line="312"/>
      </w:pPr>
      <w:r>
        <w:rPr>
          <w:rFonts w:ascii="Times New Roman" w:cs="Times New Roman" w:eastAsia="Times New Roman" w:hAnsi="Times New Roman"/>
          <w:color w:val="2D3748"/>
          <w:sz w:val="24"/>
          <w:szCs w:val="24"/>
        </w:rPr>
        <w:t xml:space="preserve">User Acquisition and Retention: Differentiated features position the platform competitively and drive user adoption. Market analysis suggests these features can accelerate user acquisition by 25% compared to basic payment platforms. Enhanced functionality improves user retention by increasing the platform's role in daily financial activities.</w:t>
      </w:r>
    </w:p>
    <w:p>
      <w:pPr>
        <w:spacing w:after="200" w:line="312"/>
      </w:pPr>
      <w:r>
        <w:rPr>
          <w:rFonts w:ascii="Times New Roman" w:cs="Times New Roman" w:eastAsia="Times New Roman" w:hAnsi="Times New Roman"/>
          <w:color w:val="2D3748"/>
          <w:sz w:val="24"/>
          <w:szCs w:val="24"/>
        </w:rPr>
        <w:t xml:space="preserve">International Expansion Readiness: Multi-currency support positions the platform for seamless international expansion, unlocking markets with an estimated $50 billion in annual cross-border transaction value. Early implementation of international standards reduces future migration costs.</w:t>
      </w:r>
    </w:p>
    <w:p>
      <w:pPr>
        <w:pStyle w:val="Heading1"/>
      </w:pPr>
      <w:r>
        <w:t xml:space="preserve">8. Conclusion and Recommendations</w:t>
      </w:r>
    </w:p>
    <w:p>
      <w:pPr>
        <w:pStyle w:val="Heading2"/>
      </w:pPr>
      <w:r>
        <w:t xml:space="preserve">8.1 Summary of Key Findings</w:t>
      </w:r>
    </w:p>
    <w:p>
      <w:pPr>
        <w:spacing w:after="200" w:line="312"/>
      </w:pPr>
      <w:r>
        <w:rPr>
          <w:rFonts w:ascii="Times New Roman" w:cs="Times New Roman" w:eastAsia="Times New Roman" w:hAnsi="Times New Roman"/>
          <w:color w:val="2D3748"/>
          <w:sz w:val="24"/>
          <w:szCs w:val="24"/>
        </w:rPr>
        <w:t xml:space="preserve">The National Real-Time Payments System represents a transformative opportunity to modernise the nation's payment infrastructure and establish a foundation for digital economic growth. The proposed architecture balances the competing demands of performance, reliability, security, and user experience, while providing a scalable platform for future expansion. By incorporating lessons from successful implementations globally and adding innovative features tailored to market needs, the system is positioned to achieve market leadership and deliver substantial economic value.</w:t>
      </w:r>
    </w:p>
    <w:p>
      <w:pPr>
        <w:spacing w:after="200" w:line="312"/>
      </w:pPr>
      <w:r>
        <w:rPr>
          <w:rFonts w:ascii="Times New Roman" w:cs="Times New Roman" w:eastAsia="Times New Roman" w:hAnsi="Times New Roman"/>
          <w:color w:val="2D3748"/>
          <w:sz w:val="24"/>
          <w:szCs w:val="24"/>
        </w:rPr>
        <w:t xml:space="preserve">The scale of the initiative, serving 150 million users with real-time processing of 50,000 transactions per second, places it among the most ambitious payment modernisation projects globally. Success requires meticulous attention to architectural principles, rigorous implementation practices, and continuous operational excellence. The risk mitigation framework, combining redundancy, circuit breakers, and comprehensive contingency planning, addresses the technical and operational challenges inherent in a system of this magnitude.</w:t>
      </w:r>
    </w:p>
    <w:p>
      <w:pPr>
        <w:pStyle w:val="Heading2"/>
      </w:pPr>
      <w:r>
        <w:t xml:space="preserve">8.2 Strategic Recommendations</w:t>
      </w:r>
    </w:p>
    <w:p>
      <w:pPr>
        <w:spacing w:after="120" w:line="312"/>
      </w:pPr>
      <w:r>
        <w:rPr>
          <w:rFonts w:ascii="Times New Roman" w:cs="Times New Roman" w:eastAsia="Times New Roman" w:hAnsi="Times New Roman"/>
          <w:color w:val="2D3748"/>
          <w:sz w:val="24"/>
          <w:szCs w:val="24"/>
        </w:rPr>
        <w:t xml:space="preserve">Based on the comprehensive analysis presented in this report, the following strategic recommendations are proposed:</w:t>
      </w:r>
    </w:p>
    <w:p>
      <w:pPr>
        <w:pStyle w:val="ListParagraph"/>
        <w:numPr>
          <w:ilvl w:val="0"/>
          <w:numId w:val="6"/>
        </w:numPr>
      </w:pPr>
      <w:r>
        <w:rPr>
          <w:rFonts w:ascii="Times New Roman" w:cs="Times New Roman" w:eastAsia="Times New Roman" w:hAnsi="Times New Roman"/>
          <w:color w:val="2D3748"/>
          <w:sz w:val="24"/>
          <w:szCs w:val="24"/>
        </w:rPr>
        <w:t xml:space="preserve">Proceed with the recommended microservices architecture, enabling independent scaling and deployment of system components while maintaining overall coherence and reliability.</w:t>
      </w:r>
    </w:p>
    <w:p>
      <w:pPr>
        <w:pStyle w:val="ListParagraph"/>
        <w:numPr>
          <w:ilvl w:val="0"/>
          <w:numId w:val="6"/>
        </w:numPr>
      </w:pPr>
      <w:r>
        <w:rPr>
          <w:rFonts w:ascii="Times New Roman" w:cs="Times New Roman" w:eastAsia="Times New Roman" w:hAnsi="Times New Roman"/>
          <w:color w:val="2D3748"/>
          <w:sz w:val="24"/>
          <w:szCs w:val="24"/>
        </w:rPr>
        <w:t xml:space="preserve">Implement the multi-region, active-active deployment model from inception, recognising that retrofitting high availability into a production system is significantly more complex and risky.</w:t>
      </w:r>
    </w:p>
    <w:p>
      <w:pPr>
        <w:pStyle w:val="ListParagraph"/>
        <w:numPr>
          <w:ilvl w:val="0"/>
          <w:numId w:val="6"/>
        </w:numPr>
      </w:pPr>
      <w:r>
        <w:rPr>
          <w:rFonts w:ascii="Times New Roman" w:cs="Times New Roman" w:eastAsia="Times New Roman" w:hAnsi="Times New Roman"/>
          <w:color w:val="2D3748"/>
          <w:sz w:val="24"/>
          <w:szCs w:val="24"/>
        </w:rPr>
        <w:t xml:space="preserve">Adopt a phased rollout strategy, beginning with limited user groups and expanding progressively as the system demonstrates stability and performance.</w:t>
      </w:r>
    </w:p>
    <w:p>
      <w:pPr>
        <w:pStyle w:val="ListParagraph"/>
        <w:numPr>
          <w:ilvl w:val="0"/>
          <w:numId w:val="6"/>
        </w:numPr>
      </w:pPr>
      <w:r>
        <w:rPr>
          <w:rFonts w:ascii="Times New Roman" w:cs="Times New Roman" w:eastAsia="Times New Roman" w:hAnsi="Times New Roman"/>
          <w:color w:val="2D3748"/>
          <w:sz w:val="24"/>
          <w:szCs w:val="24"/>
        </w:rPr>
        <w:t xml:space="preserve">Invest in the recommended additional features, recognising their contribution to differentiation, user acquisition, and long-term platform value.</w:t>
      </w:r>
    </w:p>
    <w:p>
      <w:pPr>
        <w:pStyle w:val="ListParagraph"/>
        <w:numPr>
          <w:ilvl w:val="0"/>
          <w:numId w:val="6"/>
        </w:numPr>
      </w:pPr>
      <w:r>
        <w:rPr>
          <w:rFonts w:ascii="Times New Roman" w:cs="Times New Roman" w:eastAsia="Times New Roman" w:hAnsi="Times New Roman"/>
          <w:color w:val="2D3748"/>
          <w:sz w:val="24"/>
          <w:szCs w:val="24"/>
        </w:rPr>
        <w:t xml:space="preserve">Establish robust governance frameworks encompassing technology standards, operational procedures, and stakeholder coordination mechanisms.</w:t>
      </w:r>
    </w:p>
    <w:p>
      <w:pPr>
        <w:pStyle w:val="Heading2"/>
      </w:pPr>
      <w:r>
        <w:t xml:space="preserve">8.3 Next Steps</w:t>
      </w:r>
    </w:p>
    <w:p>
      <w:pPr>
        <w:spacing w:after="200" w:line="312"/>
      </w:pPr>
      <w:r>
        <w:rPr>
          <w:rFonts w:ascii="Times New Roman" w:cs="Times New Roman" w:eastAsia="Times New Roman" w:hAnsi="Times New Roman"/>
          <w:color w:val="2D3748"/>
          <w:sz w:val="24"/>
          <w:szCs w:val="24"/>
        </w:rPr>
        <w:t xml:space="preserve">Successful execution of this initiative requires coordinated action across multiple workstreams. Immediate priorities include finalising the detailed technical architecture, establishing the project governance structure, initiating procurement for critical infrastructure components, and beginning the bank integration planning process. Regular progress reviews and stakeholder communication will ensure alignment throughout the implementation lifecycle.</w:t>
      </w:r>
    </w:p>
    <w:p>
      <w:pPr>
        <w:spacing w:after="200" w:line="312"/>
      </w:pPr>
      <w:r>
        <w:rPr>
          <w:rFonts w:ascii="Times New Roman" w:cs="Times New Roman" w:eastAsia="Times New Roman" w:hAnsi="Times New Roman"/>
          <w:color w:val="2D3748"/>
          <w:sz w:val="24"/>
          <w:szCs w:val="24"/>
        </w:rPr>
        <w:t xml:space="preserve">With proper execution and stakeholder commitment, the National Real-Time Payments System will serve as the backbone of the nation's digital economy for decades to come, enabling financial inclusion, economic efficiency, and technological innovation across all sectors of society. The investment in this infrastructure represents a strategic commitment to the nation's digital future and its position in the global financial ecosystem.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A5568"/>
        <w:sz w:val="18"/>
        <w:szCs w:val="18"/>
      </w:rPr>
      <w:t xml:space="preserve">Page </w:t>
    </w:r>
    <w:r>
      <w:rPr>
        <w:rFonts w:ascii="Times New Roman" w:cs="Times New Roman" w:eastAsia="Times New Roman" w:hAnsi="Times New Roman"/>
        <w:color w:val="4A5568"/>
        <w:sz w:val="18"/>
        <w:szCs w:val="18"/>
      </w:rPr>
      <w:fldChar w:fldCharType="begin"/>
      <w:instrText xml:space="preserve">PAGE</w:instrText>
      <w:fldChar w:fldCharType="separate"/>
      <w:fldChar w:fldCharType="end"/>
    </w:r>
    <w:r>
      <w:rPr>
        <w:rFonts w:ascii="Times New Roman" w:cs="Times New Roman" w:eastAsia="Times New Roman" w:hAnsi="Times New Roman"/>
        <w:color w:val="4A5568"/>
        <w:sz w:val="18"/>
        <w:szCs w:val="18"/>
      </w:rPr>
      <w:t xml:space="preserve"> of </w:t>
    </w:r>
    <w:r>
      <w:rPr>
        <w:rFonts w:ascii="Times New Roman" w:cs="Times New Roman" w:eastAsia="Times New Roman" w:hAnsi="Times New Roman"/>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4A5568"/>
        <w:sz w:val="18"/>
        <w:szCs w:val="18"/>
      </w:rPr>
      <w:t xml:space="preserve">National Real-Time Payments System - Business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2"/>
    <w:lvlOverride w:ilvl="0">
      <w:startOverride w:val="1"/>
    </w:lvlOverride>
  </w:num>
  <w:num w:numId="3">
    <w:abstractNumId w:val="2"/>
    <w:lvlOverride w:ilvl="0">
      <w:startOverride w:val="1"/>
    </w:lvlOverride>
  </w:num>
  <w:num w:numId="4">
    <w:abstractNumId w:val="3"/>
    <w:lvlOverride w:ilvl="0">
      <w:startOverride w:val="1"/>
    </w:lvlOverride>
  </w:num>
  <w:num w:numId="5">
    <w:abstractNumId w:val="13"/>
    <w:lvlOverride w:ilvl="0">
      <w:startOverride w:val="1"/>
    </w:lvlOverride>
  </w:num>
  <w:num w:numId="6">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1A365D"/>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A365D"/>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A365D"/>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2026-03-04T09:26:29.244Z</dcterms:created>
  <dcterms:modified xsi:type="dcterms:W3CDTF">2026-03-04T09:26:29.244Z</dcterms:modified>
</cp:coreProperties>
</file>

<file path=docProps/custom.xml><?xml version="1.0" encoding="utf-8"?>
<Properties xmlns="http://schemas.openxmlformats.org/officeDocument/2006/custom-properties" xmlns:vt="http://schemas.openxmlformats.org/officeDocument/2006/docPropsVTypes"/>
</file>